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360680</wp:posOffset>
            </wp:positionV>
            <wp:extent cx="4219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140" w:right="5359" w:hanging="685"/>
        <w:spacing w:after="0" w:line="313" w:lineRule="auto"/>
        <w:tabs>
          <w:tab w:leader="none" w:pos="114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Annual Report Pursuant to Section 13 or 15(d) of the Securities Exchange Act of 1934</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80" w:type="dxa"/>
            <w:vAlign w:val="bottom"/>
            <w:gridSpan w:val="3"/>
          </w:tcPr>
          <w:p>
            <w:pPr>
              <w:ind w:left="2020"/>
              <w:spacing w:after="0"/>
              <w:rPr>
                <w:sz w:val="20"/>
                <w:szCs w:val="20"/>
                <w:color w:val="auto"/>
              </w:rPr>
            </w:pPr>
            <w:r>
              <w:rPr>
                <w:rFonts w:ascii="Arial" w:cs="Arial" w:eastAsia="Arial" w:hAnsi="Arial"/>
                <w:sz w:val="18"/>
                <w:szCs w:val="18"/>
                <w:b w:val="1"/>
                <w:bCs w:val="1"/>
                <w:color w:val="auto"/>
              </w:rPr>
              <w:t>For the Fiscal Year Ended December 31, 2016</w:t>
            </w: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72"/>
              </w:rPr>
              <w:t>o</w:t>
            </w:r>
          </w:p>
        </w:tc>
        <w:tc>
          <w:tcPr>
            <w:tcW w:w="60" w:type="dxa"/>
            <w:vAlign w:val="bottom"/>
          </w:tcPr>
          <w:p>
            <w:pPr>
              <w:spacing w:after="0"/>
              <w:rPr>
                <w:sz w:val="24"/>
                <w:szCs w:val="24"/>
                <w:color w:val="auto"/>
              </w:rPr>
            </w:pPr>
          </w:p>
        </w:tc>
        <w:tc>
          <w:tcPr>
            <w:tcW w:w="7080" w:type="dxa"/>
            <w:vAlign w:val="bottom"/>
            <w:gridSpan w:val="3"/>
          </w:tcPr>
          <w:p>
            <w:pPr>
              <w:ind w:left="100"/>
              <w:spacing w:after="0"/>
              <w:rPr>
                <w:sz w:val="20"/>
                <w:szCs w:val="20"/>
                <w:color w:val="auto"/>
              </w:rPr>
            </w:pPr>
            <w:r>
              <w:rPr>
                <w:rFonts w:ascii="Arial" w:cs="Arial" w:eastAsia="Arial" w:hAnsi="Arial"/>
                <w:sz w:val="18"/>
                <w:szCs w:val="18"/>
                <w:b w:val="1"/>
                <w:bCs w:val="1"/>
                <w:color w:val="auto"/>
              </w:rPr>
              <w:t>Transition Report Pursuant to Section 13 or 15(d)</w:t>
            </w: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80" w:type="dxa"/>
            <w:vAlign w:val="bottom"/>
            <w:gridSpan w:val="3"/>
          </w:tcPr>
          <w:p>
            <w:pPr>
              <w:ind w:left="100"/>
              <w:spacing w:after="0"/>
              <w:rPr>
                <w:sz w:val="20"/>
                <w:szCs w:val="20"/>
                <w:color w:val="auto"/>
              </w:rPr>
            </w:pPr>
            <w:r>
              <w:rPr>
                <w:rFonts w:ascii="Arial" w:cs="Arial" w:eastAsia="Arial" w:hAnsi="Arial"/>
                <w:sz w:val="18"/>
                <w:szCs w:val="18"/>
                <w:b w:val="1"/>
                <w:bCs w:val="1"/>
                <w:color w:val="auto"/>
              </w:rPr>
              <w:t>of the Securities Exchange Act of 1934</w:t>
            </w: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60" w:type="dxa"/>
            <w:vAlign w:val="bottom"/>
          </w:tcPr>
          <w:p>
            <w:pPr>
              <w:spacing w:after="0"/>
              <w:rPr>
                <w:sz w:val="24"/>
                <w:szCs w:val="24"/>
                <w:color w:val="auto"/>
              </w:rPr>
            </w:pPr>
          </w:p>
        </w:tc>
        <w:tc>
          <w:tcPr>
            <w:tcW w:w="7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Exact name of registrant as specified in its charter, address of principal executive</w:t>
            </w:r>
          </w:p>
        </w:tc>
        <w:tc>
          <w:tcPr>
            <w:tcW w:w="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7"/>
              </w:rPr>
              <w:t>I.R.S. Employer</w:t>
            </w: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File Number</w:t>
            </w:r>
          </w:p>
        </w:tc>
        <w:tc>
          <w:tcPr>
            <w:tcW w:w="60" w:type="dxa"/>
            <w:vAlign w:val="bottom"/>
          </w:tcPr>
          <w:p>
            <w:pPr>
              <w:spacing w:after="0"/>
              <w:rPr>
                <w:sz w:val="14"/>
                <w:szCs w:val="14"/>
                <w:color w:val="auto"/>
              </w:rPr>
            </w:pPr>
          </w:p>
        </w:tc>
        <w:tc>
          <w:tcPr>
            <w:tcW w:w="7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office, telephone number and state or other jurisdiction of incorporation or organization</w:t>
            </w:r>
          </w:p>
        </w:tc>
        <w:tc>
          <w:tcPr>
            <w:tcW w:w="4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228"/>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814-01022</w:t>
            </w:r>
          </w:p>
        </w:tc>
        <w:tc>
          <w:tcPr>
            <w:tcW w:w="60" w:type="dxa"/>
            <w:vAlign w:val="bottom"/>
          </w:tcPr>
          <w:p>
            <w:pPr>
              <w:spacing w:after="0"/>
              <w:rPr>
                <w:sz w:val="19"/>
                <w:szCs w:val="19"/>
                <w:color w:val="auto"/>
              </w:rPr>
            </w:pPr>
          </w:p>
        </w:tc>
        <w:tc>
          <w:tcPr>
            <w:tcW w:w="7080" w:type="dxa"/>
            <w:vAlign w:val="bottom"/>
            <w:gridSpan w:val="3"/>
            <w:vMerge w:val="restart"/>
          </w:tcPr>
          <w:p>
            <w:pPr>
              <w:jc w:val="center"/>
              <w:spacing w:after="0" w:line="339" w:lineRule="exact"/>
              <w:rPr>
                <w:sz w:val="20"/>
                <w:szCs w:val="20"/>
                <w:color w:val="auto"/>
              </w:rPr>
            </w:pPr>
            <w:r>
              <w:rPr>
                <w:rFonts w:ascii="Arial" w:cs="Arial" w:eastAsia="Arial" w:hAnsi="Arial"/>
                <w:sz w:val="32"/>
                <w:szCs w:val="32"/>
                <w:b w:val="1"/>
                <w:bCs w:val="1"/>
                <w:color w:val="auto"/>
                <w:w w:val="93"/>
              </w:rPr>
              <w:t>Capitala Finance Corp.</w:t>
            </w:r>
          </w:p>
        </w:tc>
        <w:tc>
          <w:tcPr>
            <w:tcW w:w="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90-0945675</w:t>
            </w:r>
          </w:p>
        </w:tc>
        <w:tc>
          <w:tcPr>
            <w:tcW w:w="0" w:type="dxa"/>
            <w:vAlign w:val="bottom"/>
          </w:tcPr>
          <w:p>
            <w:pPr>
              <w:spacing w:after="0"/>
              <w:rPr>
                <w:sz w:val="1"/>
                <w:szCs w:val="1"/>
                <w:color w:val="auto"/>
              </w:rPr>
            </w:pPr>
          </w:p>
        </w:tc>
      </w:tr>
      <w:tr>
        <w:trPr>
          <w:trHeight w:val="112"/>
        </w:trPr>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4201 Congress St., Suite 360</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Charlotte, North Carolina, 28209</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Telephone: (704) 376-5502</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State of Incorporation: Maryland</w:t>
            </w: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-1748790</wp:posOffset>
            </wp:positionV>
            <wp:extent cx="4219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1957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-1054100</wp:posOffset>
            </wp:positionV>
            <wp:extent cx="610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188595</wp:posOffset>
            </wp:positionV>
            <wp:extent cx="15436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6209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40" w:type="dxa"/>
            <w:vAlign w:val="bottom"/>
          </w:tcPr>
          <w:p>
            <w:pPr>
              <w:spacing w:after="0"/>
              <w:rPr>
                <w:sz w:val="14"/>
                <w:szCs w:val="14"/>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91"/>
        </w:trPr>
        <w:tc>
          <w:tcPr>
            <w:tcW w:w="4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40" w:type="dxa"/>
            <w:vAlign w:val="bottom"/>
          </w:tcPr>
          <w:p>
            <w:pPr>
              <w:spacing w:after="0"/>
              <w:rPr>
                <w:sz w:val="16"/>
                <w:szCs w:val="16"/>
                <w:color w:val="auto"/>
              </w:rPr>
            </w:pPr>
          </w:p>
        </w:tc>
        <w:tc>
          <w:tcPr>
            <w:tcW w:w="48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The NASDAQ Global Select Market</w:t>
            </w:r>
          </w:p>
        </w:tc>
      </w:tr>
      <w:tr>
        <w:trPr>
          <w:trHeight w:val="234"/>
        </w:trPr>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89"/>
              </w:rPr>
              <w:t>7.125% Notes due 2021</w:t>
            </w:r>
          </w:p>
        </w:tc>
        <w:tc>
          <w:tcPr>
            <w:tcW w:w="4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r>
    </w:tbl>
    <w:p>
      <w:pPr>
        <w:spacing w:after="0" w:line="90"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5831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76"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10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5831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76"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109" w:lineRule="exact"/>
        <w:rPr>
          <w:sz w:val="24"/>
          <w:szCs w:val="24"/>
          <w:color w:val="auto"/>
        </w:rPr>
      </w:pPr>
    </w:p>
    <w:p>
      <w:pPr>
        <w:jc w:val="both"/>
        <w:ind w:left="60" w:right="599" w:firstLine="270"/>
        <w:spacing w:after="0" w:line="27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831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0"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3"/>
          <w:szCs w:val="13"/>
          <w:color w:val="auto"/>
        </w:rPr>
        <w:t>No o</w:t>
      </w:r>
    </w:p>
    <w:p>
      <w:pPr>
        <w:spacing w:after="0" w:line="109" w:lineRule="exact"/>
        <w:rPr>
          <w:sz w:val="24"/>
          <w:szCs w:val="24"/>
          <w:color w:val="auto"/>
        </w:rPr>
      </w:pPr>
    </w:p>
    <w:p>
      <w:pPr>
        <w:ind w:left="60" w:right="679" w:firstLine="270"/>
        <w:spacing w:after="0" w:line="27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831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0"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o</w:t>
      </w:r>
    </w:p>
    <w:p>
      <w:pPr>
        <w:spacing w:after="0" w:line="109" w:lineRule="exact"/>
        <w:rPr>
          <w:sz w:val="24"/>
          <w:szCs w:val="24"/>
          <w:color w:val="auto"/>
        </w:rPr>
      </w:pPr>
    </w:p>
    <w:p>
      <w:pPr>
        <w:jc w:val="both"/>
        <w:ind w:left="60" w:right="519" w:firstLine="270"/>
        <w:spacing w:after="0" w:line="277"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831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0" w:lineRule="exact"/>
        <w:rPr>
          <w:sz w:val="24"/>
          <w:szCs w:val="24"/>
          <w:color w:val="auto"/>
        </w:rPr>
      </w:pPr>
    </w:p>
    <w:p>
      <w:pPr>
        <w:ind w:left="7780"/>
        <w:spacing w:after="0"/>
        <w:rPr>
          <w:sz w:val="20"/>
          <w:szCs w:val="20"/>
          <w:color w:val="auto"/>
        </w:rPr>
      </w:pPr>
      <w:r>
        <w:rPr>
          <w:rFonts w:ascii="Arial" w:cs="Arial" w:eastAsia="Arial" w:hAnsi="Arial"/>
          <w:sz w:val="14"/>
          <w:szCs w:val="14"/>
          <w:color w:val="auto"/>
        </w:rPr>
        <w:t>o</w:t>
      </w:r>
    </w:p>
    <w:p>
      <w:pPr>
        <w:spacing w:after="0" w:line="109" w:lineRule="exact"/>
        <w:rPr>
          <w:sz w:val="24"/>
          <w:szCs w:val="24"/>
          <w:color w:val="auto"/>
        </w:rPr>
      </w:pPr>
    </w:p>
    <w:p>
      <w:pPr>
        <w:ind w:left="60" w:right="779" w:firstLine="270"/>
        <w:spacing w:after="0" w:line="33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5831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ectPr>
          <w:pgSz w:w="11900" w:h="16838" w:orient="portrait"/>
          <w:cols w:equalWidth="0" w:num="1">
            <w:col w:w="10099"/>
          </w:cols>
          <w:pgMar w:left="360" w:top="1440" w:right="1440" w:bottom="23" w:gutter="0" w:footer="0" w:header="0"/>
        </w:sectPr>
      </w:pPr>
    </w:p>
    <w:p>
      <w:pPr>
        <w:spacing w:after="0" w:line="16"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 o</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Accelerated filer x</w:t>
      </w:r>
    </w:p>
    <w:p>
      <w:pPr>
        <w:spacing w:after="0"/>
        <w:rPr>
          <w:sz w:val="20"/>
          <w:szCs w:val="20"/>
          <w:color w:val="auto"/>
        </w:rPr>
      </w:pPr>
      <w:r>
        <w:rPr>
          <w:rFonts w:ascii="Arial" w:cs="Arial" w:eastAsia="Arial" w:hAnsi="Arial"/>
          <w:sz w:val="13"/>
          <w:szCs w:val="13"/>
          <w:color w:val="auto"/>
        </w:rPr>
        <w:t>Smaller reporting company o</w:t>
      </w:r>
    </w:p>
    <w:p>
      <w:pPr>
        <w:spacing w:after="0" w:line="109" w:lineRule="exact"/>
        <w:rPr>
          <w:sz w:val="24"/>
          <w:szCs w:val="24"/>
          <w:color w:val="auto"/>
        </w:rPr>
      </w:pPr>
    </w:p>
    <w:p>
      <w:pPr>
        <w:sectPr>
          <w:pgSz w:w="11900" w:h="16838" w:orient="portrait"/>
          <w:cols w:equalWidth="0" w:num="2">
            <w:col w:w="3980" w:space="720"/>
            <w:col w:w="5399"/>
          </w:cols>
          <w:pgMar w:left="360" w:top="1440" w:right="1440" w:bottom="23" w:gutter="0" w:footer="0" w:header="0"/>
          <w:type w:val="continuous"/>
        </w:sect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5831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76"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109" w:lineRule="exact"/>
        <w:rPr>
          <w:sz w:val="24"/>
          <w:szCs w:val="24"/>
          <w:color w:val="auto"/>
        </w:rPr>
      </w:pPr>
    </w:p>
    <w:p>
      <w:pPr>
        <w:ind w:left="60" w:right="519" w:firstLine="270"/>
        <w:spacing w:after="0" w:line="277"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$202.8 million based on the number of shares held by non-affiliates of the registrant as of June 30, 2016, which was the last business day of the registrant’s most recently completed second fiscal quarter. For the purposes of calculating this amount only, all directors and executive officers of the registrant have been treated as affiliates.</w:t>
      </w:r>
    </w:p>
    <w:p>
      <w:pPr>
        <w:spacing w:after="0" w:line="7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Capitala Finance Corp.’s common stock, $0.01 par value, outstanding as of March 6, 2017 was 15,878,544.</w:t>
      </w:r>
    </w:p>
    <w:p>
      <w:pPr>
        <w:spacing w:after="0" w:line="218"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0099"/>
          </w:cols>
          <w:pgMar w:left="360" w:top="1440" w:right="1440" w:bottom="23" w:gutter="0" w:footer="0" w:header="0"/>
          <w:type w:val="continuous"/>
        </w:sectPr>
      </w:pPr>
    </w:p>
    <w:bookmarkStart w:id="1" w:name="page2"/>
    <w:bookmarkEnd w:id="1"/>
    <w:p>
      <w:pPr>
        <w:ind w:right="719" w:firstLine="270"/>
        <w:spacing w:after="0" w:line="277"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pursuant to Regulation 14A relating to the registrant’s 2017 Annual Meeting of Stockholders, to be filed with the Securities and Exchange Commission within 120 days following the end of the Company’s fiscal year, are incorporated by reference in Part III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768350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18415</wp:posOffset>
            </wp:positionV>
            <wp:extent cx="6071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43815</wp:posOffset>
            </wp:positionV>
            <wp:extent cx="6071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39"/>
          </w:cols>
          <w:pgMar w:left="420" w:top="188" w:right="1440"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gridSpan w:val="11"/>
          </w:tcPr>
          <w:p>
            <w:pPr>
              <w:ind w:left="40"/>
              <w:spacing w:after="0"/>
              <w:rPr>
                <w:sz w:val="20"/>
                <w:szCs w:val="20"/>
                <w:color w:val="auto"/>
              </w:rPr>
            </w:pPr>
            <w:r>
              <w:rPr>
                <w:rFonts w:ascii="Arial" w:cs="Arial" w:eastAsia="Arial" w:hAnsi="Arial"/>
                <w:sz w:val="18"/>
                <w:szCs w:val="18"/>
                <w:b w:val="1"/>
                <w:bCs w:val="1"/>
                <w:color w:val="auto"/>
              </w:rPr>
              <w:t>TABLE OF CONTENTS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PAGE</w:t>
            </w:r>
          </w:p>
        </w:tc>
      </w:tr>
      <w:tr>
        <w:trPr>
          <w:trHeight w:val="210"/>
        </w:trPr>
        <w:tc>
          <w:tcPr>
            <w:tcW w:w="20" w:type="dxa"/>
            <w:vAlign w:val="bottom"/>
            <w:shd w:val="clear" w:color="auto" w:fill="CCEEFF"/>
          </w:tcPr>
          <w:p>
            <w:pPr>
              <w:spacing w:after="0"/>
              <w:rPr>
                <w:sz w:val="18"/>
                <w:szCs w:val="18"/>
                <w:color w:val="auto"/>
              </w:rPr>
            </w:pPr>
          </w:p>
        </w:tc>
        <w:tc>
          <w:tcPr>
            <w:tcW w:w="1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PART 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Item 1A.</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Item 1B.</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Unresolved Staff Comments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2.</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Properties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3.</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Legal Proceedings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4.</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Mine Safety Disclosures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PART II</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5.</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Market for Registrant’s Common Equity, Related Stockholder Matters and Issuer</w:t>
              </w:r>
            </w:hyperlink>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40" w:type="dxa"/>
            <w:vAlign w:val="bottom"/>
            <w:tcBorders>
              <w:top w:val="single" w:sz="8" w:color="0000EE"/>
            </w:tcBorders>
            <w:gridSpan w:val="25"/>
            <w:shd w:val="clear" w:color="auto" w:fill="CCEEFF"/>
          </w:tcPr>
          <w:p>
            <w:pPr>
              <w:ind w:left="18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Purchases of Equity Securities</w:t>
              </w:r>
            </w:hyperlink>
          </w:p>
        </w:tc>
        <w:tc>
          <w:tcPr>
            <w:tcW w:w="7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5"/>
            <w:shd w:val="clear" w:color="auto" w:fill="CCEEFF"/>
          </w:tcPr>
          <w:p>
            <w:pPr>
              <w:jc w:val="right"/>
              <w:ind w:right="8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Item 6.</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Selected Consolidated Financial Data</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7.</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Management’s Discussion and Analysis of Financial Condition and Results of</w:t>
              </w:r>
            </w:hyperlink>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0000EE"/>
            </w:tcBorders>
            <w:gridSpan w:val="22"/>
            <w:shd w:val="clear" w:color="auto" w:fill="CCEEFF"/>
          </w:tcPr>
          <w:p>
            <w:pPr>
              <w:ind w:left="180"/>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Operations</w:t>
              </w:r>
            </w:hyperlink>
          </w:p>
        </w:tc>
        <w:tc>
          <w:tcPr>
            <w:tcW w:w="960" w:type="dxa"/>
            <w:vAlign w:val="bottom"/>
            <w:tcBorders>
              <w:top w:val="single" w:sz="8" w:color="CCEEFF"/>
            </w:tcBorders>
            <w:gridSpan w:val="4"/>
            <w:shd w:val="clear" w:color="auto" w:fill="CCEEFF"/>
          </w:tcPr>
          <w:p>
            <w:pPr>
              <w:spacing w:after="0"/>
              <w:rPr>
                <w:sz w:val="17"/>
                <w:szCs w:val="17"/>
                <w:color w:val="auto"/>
              </w:rPr>
            </w:pPr>
          </w:p>
        </w:tc>
        <w:tc>
          <w:tcPr>
            <w:tcW w:w="540" w:type="dxa"/>
            <w:vAlign w:val="bottom"/>
            <w:tcBorders>
              <w:top w:val="single" w:sz="8" w:color="CCEEFF"/>
            </w:tcBorders>
            <w:gridSpan w:val="5"/>
            <w:shd w:val="clear" w:color="auto" w:fill="CCEEFF"/>
          </w:tcPr>
          <w:p>
            <w:pPr>
              <w:jc w:val="right"/>
              <w:ind w:right="80"/>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Item 7A.</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Quantitative and Qualitative Disclosures about Market Risk</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95</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Item 8.</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Consolidated Financial Statements and Supplementary Data</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96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Item 9.</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Changes in and Disagreements with Accountants on Accounting and Financial</w:t>
              </w:r>
            </w:hyperlink>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60" w:type="dxa"/>
            <w:vAlign w:val="bottom"/>
            <w:tcBorders>
              <w:top w:val="single" w:sz="8" w:color="0000EE"/>
            </w:tcBorders>
            <w:gridSpan w:val="23"/>
          </w:tcPr>
          <w:p>
            <w:pPr>
              <w:ind w:left="180"/>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Disclosure</w:t>
              </w:r>
            </w:hyperlink>
          </w:p>
        </w:tc>
        <w:tc>
          <w:tcPr>
            <w:tcW w:w="920" w:type="dxa"/>
            <w:vAlign w:val="bottom"/>
            <w:gridSpan w:val="3"/>
          </w:tcPr>
          <w:p>
            <w:pPr>
              <w:spacing w:after="0"/>
              <w:rPr>
                <w:sz w:val="17"/>
                <w:szCs w:val="17"/>
                <w:color w:val="auto"/>
              </w:rPr>
            </w:pPr>
          </w:p>
        </w:tc>
        <w:tc>
          <w:tcPr>
            <w:tcW w:w="540" w:type="dxa"/>
            <w:vAlign w:val="bottom"/>
            <w:gridSpan w:val="5"/>
          </w:tcPr>
          <w:p>
            <w:pPr>
              <w:jc w:val="right"/>
              <w:ind w:right="80"/>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97</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2"/>
              </w:rPr>
            </w:pPr>
            <w:hyperlink w:anchor="page159">
              <w:r>
                <w:rPr>
                  <w:rFonts w:ascii="Arial" w:cs="Arial" w:eastAsia="Arial" w:hAnsi="Arial"/>
                  <w:sz w:val="18"/>
                  <w:szCs w:val="18"/>
                  <w:color w:val="0000EE"/>
                  <w:w w:val="92"/>
                </w:rPr>
                <w:t>Item 9A.</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Controls and Procedures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97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2"/>
              </w:rPr>
            </w:pPr>
            <w:hyperlink w:anchor="page159">
              <w:r>
                <w:rPr>
                  <w:rFonts w:ascii="Arial" w:cs="Arial" w:eastAsia="Arial" w:hAnsi="Arial"/>
                  <w:sz w:val="18"/>
                  <w:szCs w:val="18"/>
                  <w:color w:val="0000EE"/>
                  <w:w w:val="92"/>
                </w:rPr>
                <w:t>Item 9B.</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Other Information</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97</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PART III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60">
              <w:r>
                <w:rPr>
                  <w:rFonts w:ascii="Arial" w:cs="Arial" w:eastAsia="Arial" w:hAnsi="Arial"/>
                  <w:sz w:val="18"/>
                  <w:szCs w:val="18"/>
                  <w:color w:val="0000EE"/>
                  <w:w w:val="95"/>
                </w:rPr>
                <w:t>Item 10.</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Directors, Executive Officers and Corporate Governance</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98</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5"/>
              </w:rPr>
            </w:pPr>
            <w:hyperlink w:anchor="page160">
              <w:r>
                <w:rPr>
                  <w:rFonts w:ascii="Arial" w:cs="Arial" w:eastAsia="Arial" w:hAnsi="Arial"/>
                  <w:sz w:val="18"/>
                  <w:szCs w:val="18"/>
                  <w:color w:val="0000EE"/>
                  <w:w w:val="95"/>
                </w:rPr>
                <w:t>Item 11.</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Executive Compensation</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98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60">
              <w:r>
                <w:rPr>
                  <w:rFonts w:ascii="Arial" w:cs="Arial" w:eastAsia="Arial" w:hAnsi="Arial"/>
                  <w:sz w:val="18"/>
                  <w:szCs w:val="18"/>
                  <w:color w:val="0000EE"/>
                  <w:w w:val="95"/>
                </w:rPr>
                <w:t>Item 12.</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Security Ownership of Certain Beneficial Owners and Management and Related</w:t>
              </w:r>
            </w:hyperlink>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Borders>
              <w:top w:val="single" w:sz="8" w:color="0000EE"/>
            </w:tcBorders>
            <w:gridSpan w:val="24"/>
          </w:tcPr>
          <w:p>
            <w:pPr>
              <w:ind w:left="180"/>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Stockholder Matters</w:t>
              </w:r>
            </w:hyperlink>
          </w:p>
        </w:tc>
        <w:tc>
          <w:tcPr>
            <w:tcW w:w="800" w:type="dxa"/>
            <w:vAlign w:val="bottom"/>
            <w:gridSpan w:val="2"/>
          </w:tcPr>
          <w:p>
            <w:pPr>
              <w:spacing w:after="0"/>
              <w:rPr>
                <w:sz w:val="17"/>
                <w:szCs w:val="17"/>
                <w:color w:val="auto"/>
              </w:rPr>
            </w:pPr>
          </w:p>
        </w:tc>
        <w:tc>
          <w:tcPr>
            <w:tcW w:w="540" w:type="dxa"/>
            <w:vAlign w:val="bottom"/>
            <w:gridSpan w:val="5"/>
          </w:tcPr>
          <w:p>
            <w:pPr>
              <w:jc w:val="right"/>
              <w:ind w:right="80"/>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98</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5"/>
              </w:rPr>
            </w:pPr>
            <w:hyperlink w:anchor="page160">
              <w:r>
                <w:rPr>
                  <w:rFonts w:ascii="Arial" w:cs="Arial" w:eastAsia="Arial" w:hAnsi="Arial"/>
                  <w:sz w:val="18"/>
                  <w:szCs w:val="18"/>
                  <w:color w:val="0000EE"/>
                  <w:w w:val="95"/>
                </w:rPr>
                <w:t>Item 13.</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Certain Relationships and Related Transactions, and Director Independence</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98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60">
              <w:r>
                <w:rPr>
                  <w:rFonts w:ascii="Arial" w:cs="Arial" w:eastAsia="Arial" w:hAnsi="Arial"/>
                  <w:sz w:val="18"/>
                  <w:szCs w:val="18"/>
                  <w:color w:val="0000EE"/>
                  <w:w w:val="95"/>
                </w:rPr>
                <w:t>Item 14.</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Principal Accountant Fees and Services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98</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PART IV</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61">
              <w:r>
                <w:rPr>
                  <w:rFonts w:ascii="Arial" w:cs="Arial" w:eastAsia="Arial" w:hAnsi="Arial"/>
                  <w:sz w:val="18"/>
                  <w:szCs w:val="18"/>
                  <w:color w:val="0000EE"/>
                  <w:w w:val="95"/>
                </w:rPr>
                <w:t>Item 15.</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Exhibits and Consolidated Financial Statement Schedules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99</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5"/>
              </w:rPr>
            </w:pPr>
            <w:hyperlink w:anchor="page163">
              <w:r>
                <w:rPr>
                  <w:rFonts w:ascii="Arial" w:cs="Arial" w:eastAsia="Arial" w:hAnsi="Arial"/>
                  <w:sz w:val="18"/>
                  <w:szCs w:val="18"/>
                  <w:color w:val="0000EE"/>
                  <w:w w:val="95"/>
                </w:rPr>
                <w:t>Item 16.</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Form 10-K Summary</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101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2"/>
          </w:tcPr>
          <w:p>
            <w:pPr>
              <w:spacing w:after="0" w:line="176" w:lineRule="exact"/>
              <w:rPr>
                <w:rFonts w:ascii="Arial" w:cs="Arial" w:eastAsia="Arial" w:hAnsi="Arial"/>
                <w:sz w:val="18"/>
                <w:szCs w:val="18"/>
                <w:color w:val="0000EE"/>
                <w:w w:val="85"/>
              </w:rPr>
            </w:pPr>
            <w:hyperlink w:anchor="page164">
              <w:r>
                <w:rPr>
                  <w:rFonts w:ascii="Arial" w:cs="Arial" w:eastAsia="Arial" w:hAnsi="Arial"/>
                  <w:sz w:val="18"/>
                  <w:szCs w:val="18"/>
                  <w:color w:val="0000EE"/>
                  <w:w w:val="85"/>
                </w:rPr>
                <w:t>Signatures</w:t>
              </w:r>
            </w:hyperlink>
          </w:p>
        </w:tc>
        <w:tc>
          <w:tcPr>
            <w:tcW w:w="24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64">
              <w:r>
                <w:rPr>
                  <w:rFonts w:ascii="Arial" w:cs="Arial" w:eastAsia="Arial" w:hAnsi="Arial"/>
                  <w:sz w:val="18"/>
                  <w:szCs w:val="18"/>
                  <w:color w:val="0000EE"/>
                </w:rPr>
                <w:t>102</w:t>
              </w:r>
            </w:hyperlink>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-4312920</wp:posOffset>
            </wp:positionV>
            <wp:extent cx="52139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this Annual Report on Form 10-K, except as otherwise indicated, the terms:</w:t>
      </w:r>
    </w:p>
    <w:p>
      <w:pPr>
        <w:spacing w:after="0" w:line="117" w:lineRule="exact"/>
        <w:rPr>
          <w:sz w:val="20"/>
          <w:szCs w:val="20"/>
          <w:color w:val="auto"/>
        </w:rPr>
      </w:pPr>
    </w:p>
    <w:p>
      <w:pPr>
        <w:ind w:left="600" w:right="1439" w:hanging="32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“us,” “our,” “Capitala Finance” and the “Company” refer to Capitala Finance Corp., together with its consolidated subsidiaries;</w:t>
      </w:r>
    </w:p>
    <w:p>
      <w:pPr>
        <w:spacing w:after="0" w:line="62" w:lineRule="exact"/>
        <w:rPr>
          <w:rFonts w:ascii="Arial" w:cs="Arial" w:eastAsia="Arial" w:hAnsi="Arial"/>
          <w:sz w:val="18"/>
          <w:szCs w:val="18"/>
          <w:color w:val="auto"/>
        </w:rPr>
      </w:pPr>
    </w:p>
    <w:p>
      <w:pPr>
        <w:ind w:left="600" w:right="579" w:hanging="32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“Investment Advisor” and “Capitala Investment Advisors” refer to Capitala Investment Advisors, LLC, our investment adviser;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“Administrator” refers to Capitala Advisors Corp., our administrator.</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FORMATION OF OUR COMPANY</w:t>
      </w:r>
    </w:p>
    <w:p>
      <w:pPr>
        <w:spacing w:after="0" w:line="121"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We are an externally managed non-diversified closed-end management investment company incorporated in Maryland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We commenced operations on May 24, 2013 and completed our initial public offering (“IPO”) on September 30, 2013. We are managed by the Investment Advisor, an investment adviser that is registered as an investment adviser under the Investment Advisers Act of 1940, as amended (the “Advisers Act”), and the Administrator provides the administrative services necessary for us to operate. For United States (“U.S.”) federal income tax purposes, we have elected to be treated, and we intend to comply with the requirements to continue to qualify annually, as a regulated investment company (“RIC”) under Subchapter M of the Internal Revenue Code of 1986, as amended (the “Code”).</w:t>
      </w:r>
    </w:p>
    <w:p>
      <w:pPr>
        <w:spacing w:after="0" w:line="70"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We were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57"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Our investment objective is to generate both current income and capital appreciation through debt and equity investments. Both directly and through our subsidiaries that are licensed by the U.S. Small Business Administration (“SBA”) under the Small Business Investment Company (“SBIC”) Act, we offer customized financing to business owners, management teams and financial sponsors for change of ownership transactions, recapitalizations, strategic acquisitions, business expansion and other growth initiatives. We invest in first lien, second lien and subordinated loans, and, to a lesser extent, equity securities issued by lower middle-market companies and traditional middle-market companies.</w:t>
      </w:r>
    </w:p>
    <w:p>
      <w:pPr>
        <w:spacing w:after="0" w:line="70"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On September 24, 2013, we acquired 100% of the limited partnership interests in Fund II, Fund III and Florida Sidecar and each of their respective general partners, as well as certain assets from Fund I and Fund III Parent, in exchange for an aggregate of 8,974,420 shares of our common stock (the “Formation Transactions”). Fund II, Fund III and Florida Sidecar became our wholly owned subsidiaries. Fund II and Fund III retained their SBIC licenses, continued to hold their existing investments and continue to make new investments. The IPO consisted of the sale of 4,000,000 shares of our common stock at a price of $20.00 per share resulting in net proceeds to us of $74.25 million, after deducting underwriting fees and commissions totaling $4.0 million and offering expenses totaling $1.75 million. The other costs of the IPO were borne by the limited partners of the Legacy Funds.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INVESTMENT STRATEGY</w:t>
      </w:r>
    </w:p>
    <w:p>
      <w:pPr>
        <w:spacing w:after="0" w:line="121"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Our investment objective is to generate both current income and capital appreciation through debt and equity investments. We expect the companies in which we invest will generally have between $4.5 million and $30 million in trailing twelve month earnings before interest, tax, depreciation and amortization</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68" w:lineRule="auto"/>
        <w:rPr>
          <w:sz w:val="20"/>
          <w:szCs w:val="20"/>
          <w:color w:val="auto"/>
        </w:rPr>
      </w:pPr>
      <w:r>
        <w:rPr>
          <w:rFonts w:ascii="Arial" w:cs="Arial" w:eastAsia="Arial" w:hAnsi="Arial"/>
          <w:sz w:val="17"/>
          <w:szCs w:val="17"/>
          <w:color w:val="auto"/>
        </w:rPr>
        <w:t>(“EBITDA”). We believe our focus on direct lending to private companies enables us to receive higher interest rates and more substantial equity participation. As part of that strategy, we may invest in first lien loans, which have a first priority security interest in all or some of the borrower’s assets. In addition, our first lien loans may include positions in “stretch” senior secured loans, also referred to as “unitranche” loans, which combine characteristics of traditional first lien senior secured loans and second lien loans, providing us with greater influence and security in the primary collateral of a borrower and potentially mitigating loss of principal should a borrower default. We also may invest in second lien loans, which have a second priority security interest in all or substantially all of the borrower’s assets. In addition to first and second lien loans, we invest in subordinated loans, which may include mezzanine and other types of junior debt investments. Like second lien loans, our subordinated loans typically have a second lien on all or substantially all of the borrower’s assets; however, the principal difference between subordinated loans and second lien loans is that in a subordinated loan, we may be subject to the interruption of cash interest payments, at the discretion of the first lien lender, upon certain events of default. In addition to debt securities, we may acquire equity or detachable equity-related interests (including warrants) from a borrower. Typically, the debt in which we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We intend to target investments that mature in four to six years from our investment.</w:t>
      </w:r>
    </w:p>
    <w:p>
      <w:pPr>
        <w:spacing w:after="0" w:line="73"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We typically will not limit the size of our loan commitments to a specific percentage of a borrower’s assets that serve as collateral for our loan, although we attempt to protect against risk of loss on our debt investments by structuring, underwriting and pricing loans based on anticipated cash flows of our borrowers. As of December 31, 2016, our Investment Advisor underwrote investments in 121 lower middle-market and traditional middle-market companies totaling more than $1.1 billion of invested capital since 2000, and we believe that a continuation of this strategy allows us to make structured investments with more attractive pricing and greater opportunities for meaningful equity participation than traditional asset-based, senior secured loans. Further, we believe that we benefit from our Investment Advisor’s long-standing relationships with many private equity fund sponsors, whose participation in portfolio companies, we believe, makes repayment from refinancing, asset sales and/or sales of the borrowers themselves more likely than a strategy whereby we consider investments only in founder-owned or non-sponsored borrowers.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INVESTMENT ADVISOR</w:t>
      </w:r>
    </w:p>
    <w:p>
      <w:pPr>
        <w:spacing w:after="0" w:line="121" w:lineRule="exact"/>
        <w:rPr>
          <w:sz w:val="20"/>
          <w:szCs w:val="20"/>
          <w:color w:val="auto"/>
        </w:rPr>
      </w:pPr>
    </w:p>
    <w:p>
      <w:pPr>
        <w:ind w:left="40" w:right="539" w:firstLine="270"/>
        <w:spacing w:after="0" w:line="267" w:lineRule="auto"/>
        <w:rPr>
          <w:sz w:val="20"/>
          <w:szCs w:val="20"/>
          <w:color w:val="auto"/>
        </w:rPr>
      </w:pPr>
      <w:r>
        <w:rPr>
          <w:rFonts w:ascii="Arial" w:cs="Arial" w:eastAsia="Arial" w:hAnsi="Arial"/>
          <w:sz w:val="17"/>
          <w:szCs w:val="17"/>
          <w:color w:val="auto"/>
        </w:rPr>
        <w:t>We are managed by the Investment Advisor, whose investment team members have significant and diverse experience financing, advising, operating and investing in lower middle-market and middle-market companies. Moreover, our Investment Advisor’s investment team has refined its investment strategy by sourcing, reviewing, acquiring and monitoring 121 portfolio companies totaling more than $1.1 billion of invested capital from 2000 through December 31, 2016. The Investment Advisor’s investment team also manages CapitalSouth Partners SBIC Fund IV, L.P. (“Fund IV”), a private investment limited partnership providing financing solutions to smaller and lower middle-market companies. Fund IV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providing financing solutions to the lower middle-market and traditional middle-market.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w:t>
      </w:r>
    </w:p>
    <w:p>
      <w:pPr>
        <w:spacing w:after="0" w:line="200" w:lineRule="exact"/>
        <w:rPr>
          <w:sz w:val="20"/>
          <w:szCs w:val="20"/>
          <w:color w:val="auto"/>
        </w:rPr>
      </w:pPr>
    </w:p>
    <w:p>
      <w:pPr>
        <w:spacing w:after="0" w:line="34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77" w:lineRule="auto"/>
        <w:rPr>
          <w:sz w:val="20"/>
          <w:szCs w:val="20"/>
          <w:color w:val="auto"/>
        </w:rPr>
      </w:pPr>
      <w:r>
        <w:rPr>
          <w:rFonts w:ascii="Arial" w:cs="Arial" w:eastAsia="Arial" w:hAnsi="Arial"/>
          <w:sz w:val="18"/>
          <w:szCs w:val="18"/>
          <w:color w:val="auto"/>
        </w:rPr>
        <w:t>for investment opportunities, with Fund IV because its focus and investment strategy differs from our own. However, we do expect to make, and have made, co-investments with Fund V given its similar investment strategy.</w:t>
      </w:r>
    </w:p>
    <w:p>
      <w:pPr>
        <w:spacing w:after="0" w:line="62"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On September 10, 2015, we, Fund II, Fund III, Fund V, and the Investment Advisor filed an application for exemptive relief with the SEC to permit an investment fund and one or more affiliated investment funds, including future affiliated investment funds, to participate in the same investment opportunities through a proposed co-investment program where such participation would otherwise be prohibited under the 1940 Act. On June 1, 2016, the SEC issued an order permitting this relief. This exemptive relief is subject to certain conditions designed to ensure that the participation by one investment fund in a co-investment transaction would not be on a basis different from or less advantageous than that of other affiliated investment funds.</w:t>
      </w:r>
    </w:p>
    <w:p>
      <w:pPr>
        <w:spacing w:after="0" w:line="57"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Our Investment Advisor is led by Joseph B. Alala, III, our chief executive officer, chairman of our Board of Directors (the “Board”), and the managing partner and chief investment officer of our Investment Advisor, Hunt Broyhill, a member of the Board and a partner of our Investment Advisor, Stephen A. Arnall, our chief financial officer, and John F. McGlinn, our chief operating officer, secretary and treasurer, and a director of our Investment Advisor. Messrs. Alala, Broyhill and McGlinn serve as our Investment Advisor’s investment committee. They are assisted by Christopher B. Norton, who serves as the chief risk officer and a director of our Investment Advisor, Michael S. Marr, Richard Wheelahan, Adam Richeson, and Davis Hutchens who each serve as directors of our Investment Advisor, as well as eleven other investment professionals.</w:t>
      </w:r>
    </w:p>
    <w:p>
      <w:pPr>
        <w:spacing w:after="0" w:line="70" w:lineRule="exact"/>
        <w:rPr>
          <w:sz w:val="20"/>
          <w:szCs w:val="20"/>
          <w:color w:val="auto"/>
        </w:rPr>
      </w:pPr>
    </w:p>
    <w:p>
      <w:pPr>
        <w:ind w:left="40" w:right="519" w:firstLine="270"/>
        <w:spacing w:after="0" w:line="254" w:lineRule="auto"/>
        <w:rPr>
          <w:sz w:val="20"/>
          <w:szCs w:val="20"/>
          <w:color w:val="auto"/>
        </w:rPr>
      </w:pPr>
      <w:r>
        <w:rPr>
          <w:rFonts w:ascii="Arial" w:cs="Arial" w:eastAsia="Arial" w:hAnsi="Arial"/>
          <w:sz w:val="18"/>
          <w:szCs w:val="18"/>
          <w:color w:val="auto"/>
        </w:rPr>
        <w:t>Our Investment Advisor’s investment committee, as well as certain key investment team members that are involved in screening and underwriting portfolio transactions, have worked together for more than ten years. These investment professionals have an average of over 20 years of experience in various finance-related fields, including operations, corporate finance, investment banking, business law and merchant banking, and have collectively developed a broad network of contacts that can offer us investment opportunities. Much of our Investment Advisor’s investment team has worked together screening opportunities, underwriting new investments and managing a portfolio of investments in lower middle-market and traditional middle-market companies through two recessions, a credit crunch, the dot-com boom and bust and a historic, leverage-fueled asset valuation bubble.</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40" w:right="599" w:firstLine="270"/>
        <w:spacing w:after="0" w:line="253" w:lineRule="auto"/>
        <w:rPr>
          <w:sz w:val="20"/>
          <w:szCs w:val="20"/>
          <w:color w:val="auto"/>
        </w:rPr>
      </w:pPr>
      <w:r>
        <w:rPr>
          <w:rFonts w:ascii="Arial" w:cs="Arial" w:eastAsia="Arial" w:hAnsi="Arial"/>
          <w:sz w:val="18"/>
          <w:szCs w:val="18"/>
          <w:color w:val="auto"/>
        </w:rPr>
        <w:t>We will engage in various investment strategies from time to time in order to achieve our overall lending and investment objectives. Our strategies will generally require current cash yields and sensible leverage and fixed charge coverage ratios and either a first or second lien position (subject to limited instances in which we will not obtain security) in the collateral of the portfolio company. The strategy we select will depend upon, among other things, market opportunities, the skills and experience of our Investment Advisor’s investment team, the result of our financial, operational and strategic evaluation of the opportunity, and our overall portfolio composition. Most of our existing debt investments offer, and we expect most of our future debt investments will offer, the opportunity to participate in a borrower’s equity performance through warrant participation, direct equity ownership or otherwise, and many notes that we purchase will require the borrower to pay an early termination fee. Collectively, these attributes have been, and are expected to be, important contributors to the returns generated by our Investment Advisor’s investment team.</w:t>
      </w:r>
    </w:p>
    <w:p>
      <w:pPr>
        <w:spacing w:after="0" w:line="87"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The Investment Advisor’s investment team uses a disciplined investment portfolio monitoring and risk management process that emphasizes strict underwriting standards and guidelines, strong due diligence investigation, regular portfolio review, analysis and performance-guided responses, and proper investment diversification. We allocate capital among different industries, geographies and private equity sponsors on the basis of relative risk/reward profiles as a function of their associated downside risk, volatility, perceived fundamental risk and our ability to obtain favorable investment protection terms.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Types of Investments</w:t>
      </w:r>
    </w:p>
    <w:p>
      <w:pPr>
        <w:spacing w:after="0" w:line="117"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We will target debt investments that yield meaningful current income and, in many cases, provide the opportunity for capital appreciation through equity securities. In each case, the following criteria and guidelines are applied to the review of a potential investment; however, not all criteria are met in every single investment in our portfolio, nor do we guarantee that all criteria will be met in the investments we will make in the future.</w:t>
      </w: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599" w:hanging="322"/>
        <w:spacing w:after="0" w:line="259"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Companies With Positive Cash Flow. </w:t>
      </w:r>
      <w:r>
        <w:rPr>
          <w:rFonts w:ascii="Arial" w:cs="Arial" w:eastAsia="Arial" w:hAnsi="Arial"/>
          <w:sz w:val="18"/>
          <w:szCs w:val="18"/>
          <w:color w:val="auto"/>
        </w:rPr>
        <w:t>We seek to invest in established companies with a history of generating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and positive cash flows. We intend to focus on companies with a history of profitability and minimum trailing twelve-month EBITDA of $4.5 million. We do not intend to invest in start-up companies, distressed or “turn-around” situations or companies with business plans that we do not understand.</w:t>
      </w:r>
    </w:p>
    <w:p>
      <w:pPr>
        <w:spacing w:after="0" w:line="78" w:lineRule="exact"/>
        <w:rPr>
          <w:rFonts w:ascii="Arial" w:cs="Arial" w:eastAsia="Arial" w:hAnsi="Arial"/>
          <w:sz w:val="18"/>
          <w:szCs w:val="18"/>
          <w:color w:val="auto"/>
        </w:rPr>
      </w:pPr>
    </w:p>
    <w:p>
      <w:pPr>
        <w:ind w:left="600" w:right="799" w:hanging="322"/>
        <w:spacing w:after="0" w:line="259"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Management Teams with Meaningful Investment. </w:t>
      </w:r>
      <w:r>
        <w:rPr>
          <w:rFonts w:ascii="Arial" w:cs="Arial" w:eastAsia="Arial" w:hAnsi="Arial"/>
          <w:sz w:val="18"/>
          <w:szCs w:val="18"/>
          <w:color w:val="auto"/>
        </w:rPr>
        <w:t>We seek to invest in companies in which senior or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managers have significant company or industry-level experience and have significant equity ownership. It has been our experience that these management teams are more committed to the company’s success and more likely to manage the company in a manner that protects our debt and equity investments.</w:t>
      </w:r>
    </w:p>
    <w:p>
      <w:pPr>
        <w:spacing w:after="0" w:line="78" w:lineRule="exact"/>
        <w:rPr>
          <w:rFonts w:ascii="Arial" w:cs="Arial" w:eastAsia="Arial" w:hAnsi="Arial"/>
          <w:sz w:val="18"/>
          <w:szCs w:val="18"/>
          <w:color w:val="auto"/>
        </w:rPr>
      </w:pPr>
    </w:p>
    <w:p>
      <w:pPr>
        <w:ind w:left="600" w:right="579" w:hanging="322"/>
        <w:spacing w:after="0" w:line="279"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Invested Capital. </w:t>
      </w:r>
      <w:r>
        <w:rPr>
          <w:rFonts w:ascii="Arial" w:cs="Arial" w:eastAsia="Arial" w:hAnsi="Arial"/>
          <w:sz w:val="17"/>
          <w:szCs w:val="17"/>
          <w:color w:val="auto"/>
        </w:rPr>
        <w:t>We believe that the existence of an appropriate amount of equity beneath our debt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provides valuable support for our investment. In addition, the degree to which the particular investment is a meaningful one for the portfolio company’s financial sponsor, and the financial sponsor’s ability and willingness to invest additional equity capital as and to the extent necessary, are also important considerations.</w:t>
      </w:r>
    </w:p>
    <w:p>
      <w:pPr>
        <w:spacing w:after="0" w:line="63" w:lineRule="exact"/>
        <w:rPr>
          <w:rFonts w:ascii="Arial" w:cs="Arial" w:eastAsia="Arial" w:hAnsi="Arial"/>
          <w:sz w:val="17"/>
          <w:szCs w:val="17"/>
          <w:color w:val="auto"/>
        </w:rPr>
      </w:pPr>
    </w:p>
    <w:p>
      <w:pPr>
        <w:jc w:val="both"/>
        <w:ind w:left="600" w:right="699" w:hanging="322"/>
        <w:spacing w:after="0" w:line="259"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Appropriate Capital Structures. </w:t>
      </w:r>
      <w:r>
        <w:rPr>
          <w:rFonts w:ascii="Arial" w:cs="Arial" w:eastAsia="Arial" w:hAnsi="Arial"/>
          <w:sz w:val="18"/>
          <w:szCs w:val="18"/>
          <w:color w:val="auto"/>
        </w:rPr>
        <w:t>We seek to invest in companies that are appropriately capitalized. First, we examine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equity that is being invested by the company’s private equity sponsor to determine whether there is a sufficient capital cushion beneath our invested capital. We also analyze the amount of leverage and the characteristics of senior debt with lien priority over our investment.</w:t>
      </w:r>
    </w:p>
    <w:p>
      <w:pPr>
        <w:spacing w:after="0" w:line="78" w:lineRule="exact"/>
        <w:rPr>
          <w:rFonts w:ascii="Arial" w:cs="Arial" w:eastAsia="Arial" w:hAnsi="Arial"/>
          <w:sz w:val="18"/>
          <w:szCs w:val="18"/>
          <w:color w:val="auto"/>
        </w:rPr>
      </w:pPr>
    </w:p>
    <w:p>
      <w:pPr>
        <w:ind w:left="600" w:right="579" w:hanging="322"/>
        <w:spacing w:after="0" w:line="276"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Competitive Position. </w:t>
      </w:r>
      <w:r>
        <w:rPr>
          <w:rFonts w:ascii="Arial" w:cs="Arial" w:eastAsia="Arial" w:hAnsi="Arial"/>
          <w:sz w:val="17"/>
          <w:szCs w:val="17"/>
          <w:color w:val="auto"/>
        </w:rPr>
        <w:t>We intend to invest in companies that have developed strong, defensible product or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offerings within their respective market segments. These companies should be well positioned to capitalize on organic and strategic growth opportunities, and should compete in industries with strong fundamentals and meaningful barriers to entry. We further analyze prospective portfolio investments in order to identify competitive advantages within their respective industries, which may result in superior operating margins or industry-leading growth.</w:t>
      </w:r>
    </w:p>
    <w:p>
      <w:pPr>
        <w:spacing w:after="0" w:line="64" w:lineRule="exact"/>
        <w:rPr>
          <w:rFonts w:ascii="Arial" w:cs="Arial" w:eastAsia="Arial" w:hAnsi="Arial"/>
          <w:sz w:val="17"/>
          <w:szCs w:val="17"/>
          <w:color w:val="auto"/>
        </w:rPr>
      </w:pPr>
    </w:p>
    <w:p>
      <w:pPr>
        <w:ind w:left="600" w:right="579" w:hanging="322"/>
        <w:spacing w:after="0" w:line="272"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and Supplier Diversification. </w:t>
      </w:r>
      <w:r>
        <w:rPr>
          <w:rFonts w:ascii="Arial" w:cs="Arial" w:eastAsia="Arial" w:hAnsi="Arial"/>
          <w:sz w:val="17"/>
          <w:szCs w:val="17"/>
          <w:color w:val="auto"/>
        </w:rPr>
        <w:t>We expect to invest in companies with sufficiently diverse customer and supplier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bases. We believe these companies will be better able to endure industry consolidation, economic contraction and increased competition than those that are not sufficiently diversified. However, we also recognize that from time to time, an attractive investment opportunity with some concentration among its customer base or supply chain will present itself. We believe that concentration issues can be evaluated and, in some instances (whether due to supplier or customer product or platform diversification, the existence and quality of long-term agreements with such customers or suppliers or other select factors), mitigated, thus presenting a superior risk-adjusted pricing scenario.</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The Investment Advisor’s investment team tailors the terms of each debt investment to the facts and circumstances of the transaction, the needs of the prospective portfolio company and, as applicable, its financial sponsor, negotiating a structure that seeks to protect our rights and manage our risk while creating incentives for the portfolio company to achieve its business plan. As of December 31, 2016, 50.5% of our debt investments were secured by a first lien on the assets of the portfolio company, 46.2% of our debt investments were secured by a second lien on the assets of the portfolio company and 3.3% of our debt investments were unsecured. We expect our primary source of return to be the monthly cash interest we will collect on our debt investments. We also typically seek board observation rights with each portfolio company and we offer (and have historically provided) managerial and strategic assistance to these companies. We seek to further protect invested principal by negotiating appropriate affirmative, negative and financial covenants in our debt documents that are conservative enough to represent a prudent cushion at closing or to budgeted projections, but that are flexible enough to afford our portfolio companies and their financial sponsors sufficient latitude to allow them to grow their businesses. Typical covenants include default triggers and remedies (including penalties), lien protection, leverage and fixed charge coverage ratios, change of control</w:t>
      </w:r>
    </w:p>
    <w:p>
      <w:pPr>
        <w:spacing w:after="0" w:line="200" w:lineRule="exact"/>
        <w:rPr>
          <w:sz w:val="20"/>
          <w:szCs w:val="20"/>
          <w:color w:val="auto"/>
        </w:rPr>
      </w:pPr>
    </w:p>
    <w:p>
      <w:pPr>
        <w:spacing w:after="0" w:line="32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provisions and put rights. Most of our loans feature call protection to enhance our total return on debt investments that are repaid prior to maturity.</w:t>
      </w:r>
    </w:p>
    <w:p>
      <w:pPr>
        <w:spacing w:after="0" w:line="62"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Most of our debt investments are structured as first lien loans, and as of December 31, 2016, 50.5% of the fair value of our debt investments consisted of such investments.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In some cases, first lien loans may be subordinated, solely with respect to the payment of cash interest, to an asset based revolving credit facility. A form of first lien loan, unitranche debt financing typically involves issuing one debt security that blends the risk and return profiles of both senior secured and subordinated debt in one debt security. We believe that unitranche debt can be attractive for many lower middle-market and traditional middle-market businesses, given the reduced structural complexity, single lender interface and elimination of intercreditor or potential agency conflicts among lenders.</w:t>
      </w:r>
    </w:p>
    <w:p>
      <w:pPr>
        <w:spacing w:after="0" w:line="74" w:lineRule="exact"/>
        <w:rPr>
          <w:sz w:val="20"/>
          <w:szCs w:val="20"/>
          <w:color w:val="auto"/>
        </w:rPr>
      </w:pPr>
    </w:p>
    <w:p>
      <w:pPr>
        <w:ind w:left="40" w:right="959" w:firstLine="270"/>
        <w:spacing w:after="0" w:line="259" w:lineRule="auto"/>
        <w:rPr>
          <w:sz w:val="20"/>
          <w:szCs w:val="20"/>
          <w:color w:val="auto"/>
        </w:rPr>
      </w:pPr>
      <w:r>
        <w:rPr>
          <w:rFonts w:ascii="Arial" w:cs="Arial" w:eastAsia="Arial" w:hAnsi="Arial"/>
          <w:sz w:val="18"/>
          <w:szCs w:val="18"/>
          <w:color w:val="auto"/>
        </w:rPr>
        <w:t>We may also invest in debt instruments structured as second lien loans. On a fair market value basis, 16.0% of our debt investments consisted of second lien loans as of December 31, 2016. Second lien loans are loans which have a second priority security interest in all or substantially all of the borrower’s assets, and which are not subject to the blockage of cash interest payments to us at the first lien lender’s discretion.</w:t>
      </w:r>
    </w:p>
    <w:p>
      <w:pPr>
        <w:spacing w:after="0" w:line="79"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In addition to first and second lien loans, we may also invest in subordinated loans. On a fair market value basis, 33.5% of our debt investments consisted of subordinated loans as of December 31, 2016. Subordinated loans typically have second lien loans on all or substantially all of the borrower’s assets, and unlike second lien loans, may be subject to the interruption of cash interest payments upon certain events of default, at the discretion of the first lien lender. Our subordinated loans are typically issued with five to six year terms.</w:t>
      </w:r>
    </w:p>
    <w:p>
      <w:pPr>
        <w:spacing w:after="0" w:line="80"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Some of our debt investments have payment-in-kind (“PIK”) interest, which is a form of interest that is not paid currently in cash, but is accrued and added to the loan balance until paid at the end of the term. While we generally seek to minimize the percentage of our fixed return that is in the form of PIK interest, we sometimes receive PIK interest due to prevailing market conditions that do not support the overall blended interest yield on our debt investments being paid in all-cash interest. As of December 31, 2016, our weighted average PIK yield, exclusive of the impact on non-accrual debt investments, is 1.5%. In addition to yield in the form of current cash and PIK interest, some of our debt investments include an equity component, such as a warrant to purchase a common equity interest in the borrower for a nominal price. As of December 31, 2016, the weighted average annualized yield on our debt portfolio was 13.2%, exclusive of the impact of non-accrual debt investments.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When we make a debt investment, we may be granted equity participation in the form of detachable warrants to purchase common equity in the company in the same class of security that the owners or equity sponsors receive upon funding. In addition, we may make non-control equity co-investments in conjunction with a loan transaction with a borrower. The Investment Advisor’s investment team generally seeks to structure our equity investments, such as direct equity co-investments, to provide us with minority rights provisions and, to the extent available, event-driven put rights. They also seek to obtain limited registration rights in connection with these investments, which may include “piggyback” registration rights. In addition to warrants and equity co-investments, our debt investments in the future may contain a synthetic equity position.</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PROCESS</w:t>
      </w:r>
    </w:p>
    <w:p>
      <w:pPr>
        <w:spacing w:after="0" w:line="121" w:lineRule="exact"/>
        <w:rPr>
          <w:sz w:val="20"/>
          <w:szCs w:val="20"/>
          <w:color w:val="auto"/>
        </w:rPr>
      </w:pPr>
    </w:p>
    <w:p>
      <w:pPr>
        <w:ind w:left="40" w:right="699" w:firstLine="270"/>
        <w:spacing w:after="0" w:line="255" w:lineRule="auto"/>
        <w:rPr>
          <w:sz w:val="20"/>
          <w:szCs w:val="20"/>
          <w:color w:val="auto"/>
        </w:rPr>
      </w:pPr>
      <w:r>
        <w:rPr>
          <w:rFonts w:ascii="Arial" w:cs="Arial" w:eastAsia="Arial" w:hAnsi="Arial"/>
          <w:sz w:val="18"/>
          <w:szCs w:val="18"/>
          <w:color w:val="auto"/>
        </w:rPr>
        <w:t>Our Investment Advisor’s investment team is led by its investment committee and is responsible for all aspects of our investment process. The current members of the investment committee are Joseph B. Alala, III, our chief executive officer, chairman of our Board and the managing partner and chief investment officer of our Investment Advisor, Hunt Broyhill, a partner of our Investment Advisor, and John F. McGlinn, our chief operating officer, secretary and treasurer, and a director of our Investment Advisor. Christopher B. Norton serves as chief risk officer and a director of our Investment Advisor. Richard Wheelahan, our chief compliance officer, Michael S. Marr, Randall Fontes, Adam Richeson, Mario Shaffer, and Davis Hutchens, serve as</w:t>
      </w:r>
    </w:p>
    <w:p>
      <w:pPr>
        <w:spacing w:after="0" w:line="200" w:lineRule="exact"/>
        <w:rPr>
          <w:sz w:val="20"/>
          <w:szCs w:val="20"/>
          <w:color w:val="auto"/>
        </w:rPr>
      </w:pPr>
    </w:p>
    <w:p>
      <w:pPr>
        <w:spacing w:after="0" w:line="32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55" w:lineRule="auto"/>
        <w:rPr>
          <w:sz w:val="20"/>
          <w:szCs w:val="20"/>
          <w:color w:val="auto"/>
        </w:rPr>
      </w:pPr>
      <w:r>
        <w:rPr>
          <w:rFonts w:ascii="Arial" w:cs="Arial" w:eastAsia="Arial" w:hAnsi="Arial"/>
          <w:sz w:val="18"/>
          <w:szCs w:val="18"/>
          <w:color w:val="auto"/>
        </w:rPr>
        <w:t>directors of our Investment Advisor, and Casey Swercheck, Eric Althofer, Christian MacCarron, and Jack Vander Leeuw each serve as vice presidents of our Investment Advisor. While the investment strategy involves a team approach, whereby potential transactions are screened by various members of the investment team, Mr. Alala and one other member of the investment committee of the Investment Advisor must approve investments in order for them to proceed. Messrs. Alala and McGlinn meet weekly and, together with Mr. Broyhill, on an as needed basis, depending on the nature and volume of investment opportunities. The Investment Advisor’s investment committee has worked together for over ten years. The stages of our investment selection process are as follows: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Deal Generation/Origination</w:t>
      </w:r>
    </w:p>
    <w:p>
      <w:pPr>
        <w:spacing w:after="0" w:line="117"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Deal generation and origination is maximized through long-standing and extensive relationships with industry contacts, brokers, commercial and investment bankers, entrepreneurs, service providers (such as lawyers and accountants), as well as current and former clients, portfolio companies and investors. Our Investment Advisor’s investment team supplements these lead generators by also utilizing broader marketing efforts, such as attendance at prospective borrower industry conventions, an active calling effort to investment banking boutiques, private equity firms and independent sponsors that are also investing in high quality lower middle-market and traditional middle-market companies, and, most importantly, based on our Investment Advisor’s track record as a responsive, flexible, value-add lender and co-investor, as demonstrated by 121 investments in lower middle-market and traditional middle-market businesses and equity co-investments with reputed private equity firms since 2000. We believe we have developed a reputation as a knowledgeable and reliable source of capital, providing value-added industry advice and financing assistance to borrowers’ businesses and in executing financial sponsors’ growth strategies. Furthermore, with offices throughout the United States, we have the ability to cover a large geographical area and to market to unique groups from each office. Specifically, our Charlotte, Raleigh, Fort Lauderdale, Atlanta, Washington D.C., and Los Angeles offices cover significant territory that is traditionally underserved, allowing us to source a high volume of direct deal flow.</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Screening</w:t>
      </w:r>
    </w:p>
    <w:p>
      <w:pPr>
        <w:spacing w:after="0" w:line="117"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All potential investments that are received are screened for suitability and consistency with our investment criteria (see “— Due Diligence and Underwriting,” below). In screening potential investments, our Investment Advisor’s investment team utilizes the same value-oriented investment philosophy they employed in their work with the Legacy Funds and commits resources to managing downside exposure. If a potential investment meets our basic investment criteria, a deal team is assigned to perform preliminary due diligence. In doing so, we consider some or all of the following factors:</w:t>
      </w:r>
    </w:p>
    <w:p>
      <w:pPr>
        <w:spacing w:after="0" w:line="64" w:lineRule="exact"/>
        <w:rPr>
          <w:sz w:val="20"/>
          <w:szCs w:val="20"/>
          <w:color w:val="auto"/>
        </w:rPr>
      </w:pPr>
    </w:p>
    <w:p>
      <w:pPr>
        <w:ind w:left="600" w:right="539" w:hanging="322"/>
        <w:spacing w:after="0" w:line="302"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comprehensive financial model that we prepare based on quantitative analysis of historical financial performance, financial projections made by management or the financial sponsor, and pro forma financial ratios assuming an investment consistent with possible structures. In analyzing our model, we test various investment structures, pricing options, downside scenarios and other sensitivities in order to better understand potential risks and possible financial covenant ratios;</w:t>
      </w:r>
    </w:p>
    <w:p>
      <w:pPr>
        <w:spacing w:after="0" w:line="46" w:lineRule="exact"/>
        <w:rPr>
          <w:rFonts w:ascii="Arial" w:cs="Arial" w:eastAsia="Arial" w:hAnsi="Arial"/>
          <w:sz w:val="16"/>
          <w:szCs w:val="16"/>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competitive landscape and industry dynamics impacting the potential portfolio company;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Strengths and weaknesses of the potential investment’s business strategy and industry outlook; and</w:t>
      </w:r>
    </w:p>
    <w:p>
      <w:pPr>
        <w:spacing w:after="0" w:line="117" w:lineRule="exact"/>
        <w:rPr>
          <w:rFonts w:ascii="Arial" w:cs="Arial" w:eastAsia="Arial" w:hAnsi="Arial"/>
          <w:sz w:val="18"/>
          <w:szCs w:val="18"/>
          <w:color w:val="auto"/>
        </w:rPr>
      </w:pPr>
    </w:p>
    <w:p>
      <w:pPr>
        <w:ind w:left="600" w:right="999"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of a broad qualitative analysis of the company’s products or services, market position and outlook, customers, suppliers and quality of management.</w:t>
      </w:r>
    </w:p>
    <w:p>
      <w:pPr>
        <w:spacing w:after="0" w:line="62" w:lineRule="exact"/>
        <w:rPr>
          <w:sz w:val="20"/>
          <w:szCs w:val="20"/>
          <w:color w:val="auto"/>
        </w:rPr>
      </w:pPr>
    </w:p>
    <w:p>
      <w:pPr>
        <w:jc w:val="both"/>
        <w:ind w:left="40" w:right="579" w:firstLine="270"/>
        <w:spacing w:after="0" w:line="264" w:lineRule="auto"/>
        <w:rPr>
          <w:sz w:val="20"/>
          <w:szCs w:val="20"/>
          <w:color w:val="auto"/>
        </w:rPr>
      </w:pPr>
      <w:r>
        <w:rPr>
          <w:rFonts w:ascii="Arial" w:cs="Arial" w:eastAsia="Arial" w:hAnsi="Arial"/>
          <w:sz w:val="18"/>
          <w:szCs w:val="18"/>
          <w:color w:val="auto"/>
        </w:rPr>
        <w:t>If the results of this preliminary due diligence are satisfactory, the deal team prepares an executive summary that is presented to our Investment Advisor’s investment committee in a meeting that includes all members of the portfolio and investment teams. This executive summary includes the following areas:</w:t>
      </w:r>
    </w:p>
    <w:p>
      <w:pPr>
        <w:spacing w:after="0" w:line="73" w:lineRule="exact"/>
        <w:rPr>
          <w:sz w:val="20"/>
          <w:szCs w:val="20"/>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history and summary of product(s) and/or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overview of investors, anticipated capital sources and transaction timing;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structure and expected returns, including initial projected financial ratios;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Analysis of historical financial results and key assumptions;</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Analysis of the company’s business strategy;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Analysis of the financial sponsor’s relevant experience or expected strategy;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strengths, weaknesses and priority issues to be addressed in due diligence;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 forma capitalization and ownership.</w:t>
      </w:r>
    </w:p>
    <w:p>
      <w:pPr>
        <w:spacing w:after="0" w:line="117"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7"/>
          <w:szCs w:val="17"/>
          <w:color w:val="auto"/>
        </w:rPr>
        <w:t>If our investment committee recommends moving forward, we will issue a non-binding term sheet or indication of interest to the potential portfolio company and, when applicable, its financial sponsor. If a term sheet is successfully negotiated, we will begin more formal due diligence and underwriting as we progress towards the ultimate investment approval and closing.</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Due Diligence and Underwriting</w:t>
      </w:r>
    </w:p>
    <w:p>
      <w:pPr>
        <w:spacing w:after="0" w:line="117" w:lineRule="exact"/>
        <w:rPr>
          <w:sz w:val="20"/>
          <w:szCs w:val="20"/>
          <w:color w:val="auto"/>
        </w:rPr>
      </w:pPr>
    </w:p>
    <w:p>
      <w:pPr>
        <w:ind w:left="40" w:right="699" w:firstLine="270"/>
        <w:spacing w:after="0" w:line="271" w:lineRule="auto"/>
        <w:rPr>
          <w:sz w:val="20"/>
          <w:szCs w:val="20"/>
          <w:color w:val="auto"/>
        </w:rPr>
      </w:pPr>
      <w:r>
        <w:rPr>
          <w:rFonts w:ascii="Arial" w:cs="Arial" w:eastAsia="Arial" w:hAnsi="Arial"/>
          <w:sz w:val="17"/>
          <w:szCs w:val="17"/>
          <w:color w:val="auto"/>
        </w:rPr>
        <w:t>The completion of due diligence deliverables is led by at least two investment professionals. However, all investment and portfolio team members are regularly updated with due diligence progress, especially any issues that emerge. The two investment professionals leading the due diligence efforts are typically assigned to the original deal team that worked on the executive summary. However, post-term sheet deal teams sometimes contain one or more additional investment professionals and may include other professionals from business development, portfolio or other areas if a particular skill or experience set would be especially valuable in the due diligence process. The members of the underwriting team complete due diligence and analyze the relationships among the prospective portfolio company’s business plan, operations and expected financial performance. Due diligence consists of some or all of the following:</w:t>
      </w:r>
    </w:p>
    <w:p>
      <w:pPr>
        <w:spacing w:after="0" w:line="71" w:lineRule="exact"/>
        <w:rPr>
          <w:sz w:val="20"/>
          <w:szCs w:val="20"/>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On-site visits with management and relevant key employees;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In-depth review of historical and projected financial statements, including covenant calculation work sheets;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Interviews with customers and suppliers;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background checks;</w:t>
      </w:r>
    </w:p>
    <w:p>
      <w:pPr>
        <w:spacing w:after="0" w:line="117"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reports by third-party accountants, outside counsel and other industry, operational or financial experts, whether retained by us or the financial sponsor;</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material contracts;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financial sponsor’s due diligence package and internal executive summaries.</w:t>
      </w:r>
    </w:p>
    <w:p>
      <w:pPr>
        <w:spacing w:after="0" w:line="117"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Typically, we utilize outside experts to analyze the legal affairs, accounting systems and financial results and, where appropriate, we engage specialists to investigate certain issues. During the underwriting process, significant, ongoing attention is devoted to sensitivity analyses regarding whether a company might bear a significant “downside” case and remain profitable and in compliance with assumed financial covenants. These “downside” scenarios typically involve assumptions regarding the loss of key customers and/or suppliers, an economic downturn, adverse regulatory changes and other relevant stressors that we attempt to simulate in our quantitative and qualitative analyses. Further, we continually examine the effect of these scenarios on financial ratios and other metrics.</w:t>
      </w:r>
    </w:p>
    <w:p>
      <w:pPr>
        <w:spacing w:after="0" w:line="81" w:lineRule="exact"/>
        <w:rPr>
          <w:sz w:val="20"/>
          <w:szCs w:val="20"/>
          <w:color w:val="auto"/>
        </w:rPr>
      </w:pPr>
    </w:p>
    <w:p>
      <w:pPr>
        <w:jc w:val="both"/>
        <w:ind w:left="40" w:right="599" w:firstLine="270"/>
        <w:spacing w:after="0" w:line="312" w:lineRule="auto"/>
        <w:rPr>
          <w:sz w:val="20"/>
          <w:szCs w:val="20"/>
          <w:color w:val="auto"/>
        </w:rPr>
      </w:pPr>
      <w:r>
        <w:rPr>
          <w:rFonts w:ascii="Arial" w:cs="Arial" w:eastAsia="Arial" w:hAnsi="Arial"/>
          <w:sz w:val="16"/>
          <w:szCs w:val="16"/>
          <w:color w:val="auto"/>
        </w:rPr>
        <w:t>During the underwriting process, the executive summary that was completed for the initial investment committee presentation is updated and changes are presented at subsequent, weekly meetings of the investment committee for continued discussion and, to the extent applicable, the investment committee issues new instructions to the underwriting team from the investment committee.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Approval, Documentation and Closing</w:t>
      </w:r>
    </w:p>
    <w:p>
      <w:pPr>
        <w:spacing w:after="0" w:line="117"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color w:val="auto"/>
        </w:rPr>
        <w:t>The underwriting team for the proposed investment presents the updated executive summary and key findings from due diligence to the investment committee on an ongoing, weekly basis. Prior to the commencement of documentation, approval from the investment committee is sought and, if approved, the underwriting professionals heretofore involved proceed to documentation.</w:t>
      </w:r>
    </w:p>
    <w:p>
      <w:pPr>
        <w:spacing w:after="0" w:line="200" w:lineRule="exact"/>
        <w:rPr>
          <w:sz w:val="20"/>
          <w:szCs w:val="20"/>
          <w:color w:val="auto"/>
        </w:rPr>
      </w:pPr>
    </w:p>
    <w:p>
      <w:pPr>
        <w:spacing w:after="0" w:line="28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At all times during the documentation process, the underwriting professionals who conducted the due diligence remain involved; likewise, all extensively negotiated documentation decisions are made by the lead underwriting team member, in accordance with input from at least one investment committee member and guidance from outside counsel. As and to the extent necessary, key documentation challenges are brought before the investment committee for prompt discussion and resolution. Upon the completion of satisfactory documentation and the satisfaction of closing conditions, final approval is sought from the investment committee before closing and funding.</w:t>
      </w:r>
    </w:p>
    <w:p>
      <w:pPr>
        <w:spacing w:after="0" w:line="108" w:lineRule="exact"/>
        <w:rPr>
          <w:sz w:val="20"/>
          <w:szCs w:val="20"/>
          <w:color w:val="auto"/>
        </w:rPr>
      </w:pPr>
    </w:p>
    <w:p>
      <w:pPr>
        <w:ind w:left="40" w:right="4819"/>
        <w:spacing w:after="0" w:line="401" w:lineRule="auto"/>
        <w:rPr>
          <w:sz w:val="20"/>
          <w:szCs w:val="20"/>
          <w:color w:val="auto"/>
        </w:rPr>
      </w:pPr>
      <w:r>
        <w:rPr>
          <w:rFonts w:ascii="Arial" w:cs="Arial" w:eastAsia="Arial" w:hAnsi="Arial"/>
          <w:sz w:val="18"/>
          <w:szCs w:val="18"/>
          <w:b w:val="1"/>
          <w:bCs w:val="1"/>
          <w:color w:val="auto"/>
        </w:rPr>
        <w:t xml:space="preserve">ONGOING RELATIONSHIPS WITH PORTFOLIO COMPANIES </w:t>
      </w:r>
      <w:r>
        <w:rPr>
          <w:rFonts w:ascii="Arial" w:cs="Arial" w:eastAsia="Arial" w:hAnsi="Arial"/>
          <w:sz w:val="18"/>
          <w:szCs w:val="18"/>
          <w:b w:val="1"/>
          <w:bCs w:val="1"/>
          <w:i w:val="1"/>
          <w:iCs w:val="1"/>
          <w:color w:val="auto"/>
        </w:rPr>
        <w:t>Monitoring</w:t>
      </w:r>
    </w:p>
    <w:p>
      <w:pPr>
        <w:spacing w:after="0" w:line="1" w:lineRule="exact"/>
        <w:rPr>
          <w:sz w:val="20"/>
          <w:szCs w:val="20"/>
          <w:color w:val="auto"/>
        </w:rPr>
      </w:pPr>
    </w:p>
    <w:p>
      <w:pPr>
        <w:ind w:left="40" w:right="759" w:firstLine="270"/>
        <w:spacing w:after="0" w:line="290" w:lineRule="auto"/>
        <w:rPr>
          <w:sz w:val="20"/>
          <w:szCs w:val="20"/>
          <w:color w:val="auto"/>
        </w:rPr>
      </w:pPr>
      <w:r>
        <w:rPr>
          <w:rFonts w:ascii="Arial" w:cs="Arial" w:eastAsia="Arial" w:hAnsi="Arial"/>
          <w:sz w:val="16"/>
          <w:szCs w:val="16"/>
          <w:color w:val="auto"/>
        </w:rPr>
        <w:t>Our Investment Advisor monitors our portfolio companies on an ongoing basis. It monitors the financial trends of each portfolio company to determine if it is meeting its business plan and to assess the appropriate course of action for each company. We generally require our portfolio companies to provide annual audited financial statements and quarterly unaudited financial statements, in each case, with management discussion and analysis and covenant compliance certificates, and monthly unaudited financial statements. Using the monthly financial statements, we calculate and evaluate all financial covenants and additional financial coverage ratios that might not be part of our covenant package in the loan documents. For purposes of analyzing a portfolio company’s financial performance, we may adjust their financial statements to reflect pro forma results in the event of a recent change of control, sale, acquisition or anticipated cost savings.</w:t>
      </w:r>
    </w:p>
    <w:p>
      <w:pPr>
        <w:spacing w:after="0" w:line="58"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Our Investment Advisor has several methods of evaluating and monitoring the performance and fair value of our investments, including the following:</w:t>
      </w:r>
    </w:p>
    <w:p>
      <w:pPr>
        <w:spacing w:after="0" w:line="62" w:lineRule="exact"/>
        <w:rPr>
          <w:sz w:val="20"/>
          <w:szCs w:val="20"/>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Assessment of success in adhering to each portfolio company’s business plan and compliance with covenants;</w:t>
      </w:r>
    </w:p>
    <w:p>
      <w:pPr>
        <w:spacing w:after="0" w:line="117" w:lineRule="exact"/>
        <w:rPr>
          <w:rFonts w:ascii="Arial" w:cs="Arial" w:eastAsia="Arial" w:hAnsi="Arial"/>
          <w:sz w:val="18"/>
          <w:szCs w:val="18"/>
          <w:color w:val="auto"/>
        </w:rPr>
      </w:pPr>
    </w:p>
    <w:p>
      <w:pPr>
        <w:ind w:left="600" w:right="719"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Comparisons to our other portfolio companies in the industry, if any;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Attendance at and participation in the board meetings;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17"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In addition to various risk management and monitoring tools, our Investment Advisor also uses an investment rating system to characterize and monitor our expected level of return on each investment in our portfolio.</w:t>
      </w:r>
    </w:p>
    <w:p>
      <w:pPr>
        <w:spacing w:after="0" w:line="62"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200" w:lineRule="exact"/>
        <w:rPr>
          <w:sz w:val="20"/>
          <w:szCs w:val="20"/>
          <w:color w:val="auto"/>
        </w:rPr>
      </w:pPr>
    </w:p>
    <w:p>
      <w:pPr>
        <w:spacing w:after="0" w:line="33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167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13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80" w:type="dxa"/>
            <w:vAlign w:val="bottom"/>
          </w:tcPr>
          <w:p>
            <w:pPr>
              <w:jc w:val="center"/>
              <w:ind w:right="1328"/>
              <w:spacing w:after="0"/>
              <w:rPr>
                <w:sz w:val="20"/>
                <w:szCs w:val="20"/>
                <w:color w:val="auto"/>
              </w:rPr>
            </w:pPr>
            <w:r>
              <w:rPr>
                <w:rFonts w:ascii="Arial" w:cs="Arial" w:eastAsia="Arial" w:hAnsi="Arial"/>
                <w:sz w:val="14"/>
                <w:szCs w:val="14"/>
                <w:b w:val="1"/>
                <w:bCs w:val="1"/>
                <w:color w:val="auto"/>
                <w:w w:val="91"/>
              </w:rPr>
              <w:t>Investment</w:t>
            </w:r>
          </w:p>
        </w:tc>
        <w:tc>
          <w:tcPr>
            <w:tcW w:w="2760" w:type="dxa"/>
            <w:vAlign w:val="bottom"/>
            <w:vMerge w:val="restart"/>
          </w:tcPr>
          <w:p>
            <w:pPr>
              <w:ind w:left="1400"/>
              <w:spacing w:after="0"/>
              <w:rPr>
                <w:sz w:val="20"/>
                <w:szCs w:val="20"/>
                <w:color w:val="auto"/>
              </w:rPr>
            </w:pPr>
            <w:r>
              <w:rPr>
                <w:rFonts w:ascii="Arial" w:cs="Arial" w:eastAsia="Arial" w:hAnsi="Arial"/>
                <w:sz w:val="14"/>
                <w:szCs w:val="14"/>
                <w:b w:val="1"/>
                <w:bCs w:val="1"/>
                <w:color w:val="auto"/>
                <w:w w:val="92"/>
              </w:rPr>
              <w:t>Summary Description</w:t>
            </w:r>
          </w:p>
        </w:tc>
        <w:tc>
          <w:tcPr>
            <w:tcW w:w="0" w:type="dxa"/>
            <w:vAlign w:val="bottom"/>
          </w:tcPr>
          <w:p>
            <w:pPr>
              <w:spacing w:after="0"/>
              <w:rPr>
                <w:sz w:val="1"/>
                <w:szCs w:val="1"/>
                <w:color w:val="auto"/>
              </w:rPr>
            </w:pPr>
          </w:p>
        </w:tc>
      </w:tr>
      <w:tr>
        <w:trPr>
          <w:trHeight w:val="186"/>
        </w:trPr>
        <w:tc>
          <w:tcPr>
            <w:tcW w:w="2080" w:type="dxa"/>
            <w:vAlign w:val="bottom"/>
          </w:tcPr>
          <w:p>
            <w:pPr>
              <w:jc w:val="center"/>
              <w:ind w:right="1348"/>
              <w:spacing w:after="0"/>
              <w:rPr>
                <w:sz w:val="20"/>
                <w:szCs w:val="20"/>
                <w:color w:val="auto"/>
              </w:rPr>
            </w:pPr>
            <w:r>
              <w:rPr>
                <w:rFonts w:ascii="Arial" w:cs="Arial" w:eastAsia="Arial" w:hAnsi="Arial"/>
                <w:sz w:val="14"/>
                <w:szCs w:val="14"/>
                <w:b w:val="1"/>
                <w:bCs w:val="1"/>
                <w:color w:val="auto"/>
                <w:w w:val="96"/>
              </w:rPr>
              <w:t>Rating</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-8890</wp:posOffset>
            </wp:positionV>
            <wp:extent cx="4751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ind w:left="1340" w:right="2919" w:hanging="731"/>
        <w:spacing w:after="0" w:line="264" w:lineRule="auto"/>
        <w:tabs>
          <w:tab w:leader="none" w:pos="1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general, the investment may be performing above our internal expectations. Full return of principal and interest is expected. Capital gain is expected.</w:t>
      </w:r>
    </w:p>
    <w:p>
      <w:pPr>
        <w:spacing w:after="0" w:line="1" w:lineRule="exact"/>
        <w:rPr>
          <w:sz w:val="20"/>
          <w:szCs w:val="20"/>
          <w:color w:val="auto"/>
        </w:rPr>
      </w:pPr>
    </w:p>
    <w:p>
      <w:pPr>
        <w:ind w:left="1340" w:hanging="731"/>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w:t>
      </w:r>
    </w:p>
    <w:p>
      <w:pPr>
        <w:spacing w:after="0" w:line="9" w:lineRule="exact"/>
        <w:rPr>
          <w:sz w:val="20"/>
          <w:szCs w:val="20"/>
          <w:color w:val="auto"/>
        </w:rPr>
      </w:pPr>
    </w:p>
    <w:p>
      <w:pPr>
        <w:ind w:left="1340" w:right="2839"/>
        <w:spacing w:after="0" w:line="250" w:lineRule="auto"/>
        <w:rPr>
          <w:sz w:val="20"/>
          <w:szCs w:val="20"/>
          <w:color w:val="auto"/>
        </w:rPr>
      </w:pPr>
      <w:r>
        <w:rPr>
          <w:rFonts w:ascii="Arial" w:cs="Arial" w:eastAsia="Arial" w:hAnsi="Arial"/>
          <w:sz w:val="18"/>
          <w:szCs w:val="18"/>
          <w:color w:val="auto"/>
        </w:rPr>
        <w:t>potential risks to the applicable investment are considered to be neutral or favorable compared to any potential risks at the time of the original investment. All new investments are initially given this rating.</w:t>
      </w:r>
    </w:p>
    <w:p>
      <w:pPr>
        <w:spacing w:after="0" w:line="1" w:lineRule="exact"/>
        <w:rPr>
          <w:sz w:val="20"/>
          <w:szCs w:val="20"/>
          <w:color w:val="auto"/>
        </w:rPr>
      </w:pPr>
    </w:p>
    <w:p>
      <w:pPr>
        <w:ind w:left="1340" w:right="2699" w:hanging="731"/>
        <w:spacing w:after="0" w:line="281" w:lineRule="auto"/>
        <w:tabs>
          <w:tab w:leader="none" w:pos="1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general, the investment may be performing below our internal expectations and therefore, investments in this category may require closer internal monitoring; however, the valuation team believes that no loss of investment return (interest and/or</w:t>
      </w:r>
    </w:p>
    <w:p>
      <w:pPr>
        <w:spacing w:after="0" w:line="2" w:lineRule="exact"/>
        <w:rPr>
          <w:sz w:val="20"/>
          <w:szCs w:val="20"/>
          <w:color w:val="auto"/>
        </w:rPr>
      </w:pPr>
    </w:p>
    <w:p>
      <w:pPr>
        <w:ind w:left="1340" w:right="2939"/>
        <w:spacing w:after="0" w:line="250" w:lineRule="auto"/>
        <w:rPr>
          <w:sz w:val="20"/>
          <w:szCs w:val="20"/>
          <w:color w:val="auto"/>
        </w:rPr>
      </w:pPr>
      <w:r>
        <w:rPr>
          <w:rFonts w:ascii="Arial" w:cs="Arial" w:eastAsia="Arial" w:hAnsi="Arial"/>
          <w:sz w:val="18"/>
          <w:szCs w:val="18"/>
          <w:color w:val="auto"/>
        </w:rPr>
        <w:t>dividends) or principal is expected. The investment also may be out of compliance with certain debt financial covenants.</w:t>
      </w:r>
    </w:p>
    <w:p>
      <w:pPr>
        <w:spacing w:after="0" w:line="1" w:lineRule="exact"/>
        <w:rPr>
          <w:sz w:val="20"/>
          <w:szCs w:val="20"/>
          <w:color w:val="auto"/>
        </w:rPr>
      </w:pPr>
    </w:p>
    <w:p>
      <w:pPr>
        <w:ind w:left="1340" w:hanging="731"/>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w:t>
      </w:r>
    </w:p>
    <w:p>
      <w:pPr>
        <w:spacing w:after="0" w:line="9" w:lineRule="exact"/>
        <w:rPr>
          <w:sz w:val="20"/>
          <w:szCs w:val="20"/>
          <w:color w:val="auto"/>
        </w:rPr>
      </w:pPr>
    </w:p>
    <w:p>
      <w:pPr>
        <w:ind w:left="1340" w:right="2939"/>
        <w:spacing w:after="0" w:line="250" w:lineRule="auto"/>
        <w:rPr>
          <w:sz w:val="20"/>
          <w:szCs w:val="20"/>
          <w:color w:val="auto"/>
        </w:rPr>
      </w:pPr>
      <w:r>
        <w:rPr>
          <w:rFonts w:ascii="Arial" w:cs="Arial" w:eastAsia="Arial" w:hAnsi="Arial"/>
          <w:sz w:val="18"/>
          <w:szCs w:val="18"/>
          <w:color w:val="auto"/>
        </w:rPr>
        <w:t>quantitative or qualitative risks may have increased substantially since the original investment. Loss of some or all principal is expected.</w:t>
      </w:r>
    </w:p>
    <w:p>
      <w:pPr>
        <w:spacing w:after="0" w:line="1" w:lineRule="exact"/>
        <w:rPr>
          <w:sz w:val="20"/>
          <w:szCs w:val="20"/>
          <w:color w:val="auto"/>
        </w:rPr>
      </w:pPr>
    </w:p>
    <w:p>
      <w:pPr>
        <w:ind w:left="1340" w:right="2799" w:hanging="731"/>
        <w:spacing w:after="0" w:line="302" w:lineRule="auto"/>
        <w:tabs>
          <w:tab w:leader="none" w:pos="1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47" w:lineRule="exact"/>
        <w:rPr>
          <w:sz w:val="20"/>
          <w:szCs w:val="20"/>
          <w:color w:val="auto"/>
        </w:rPr>
      </w:pPr>
    </w:p>
    <w:p>
      <w:pPr>
        <w:ind w:left="180" w:right="659" w:firstLine="270"/>
        <w:spacing w:after="0" w:line="259"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and our Board will affirm such ratings. The investment rating of a particular investment should not, however, be deemed to be a guarantee of the investment’s future performance.</w:t>
      </w:r>
    </w:p>
    <w:p>
      <w:pPr>
        <w:spacing w:after="0" w:line="79" w:lineRule="exact"/>
        <w:rPr>
          <w:sz w:val="20"/>
          <w:szCs w:val="20"/>
          <w:color w:val="auto"/>
        </w:rPr>
      </w:pPr>
    </w:p>
    <w:p>
      <w:pPr>
        <w:ind w:left="180" w:right="619" w:firstLine="270"/>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2016 and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1796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85"/>
              </w:rPr>
              <w:t>As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December 31, 2015</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Investments</w:t>
            </w:r>
          </w:p>
        </w:tc>
        <w:tc>
          <w:tcPr>
            <w:tcW w:w="160" w:type="dxa"/>
            <w:vAlign w:val="bottom"/>
          </w:tcPr>
          <w:p>
            <w:pPr>
              <w:spacing w:after="0"/>
              <w:rPr>
                <w:sz w:val="10"/>
                <w:szCs w:val="10"/>
                <w:color w:val="auto"/>
              </w:rPr>
            </w:pPr>
          </w:p>
        </w:tc>
        <w:tc>
          <w:tcPr>
            <w:tcW w:w="8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8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160" w:type="dxa"/>
            <w:vAlign w:val="bottom"/>
          </w:tcPr>
          <w:p>
            <w:pPr>
              <w:spacing w:after="0"/>
              <w:rPr>
                <w:sz w:val="10"/>
                <w:szCs w:val="10"/>
                <w:color w:val="auto"/>
              </w:rPr>
            </w:pP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Performance Rating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99"/>
              </w:rPr>
              <w:t>at Fair</w:t>
            </w: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at Fair</w:t>
            </w: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9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w w:val="95"/>
              </w:rPr>
              <w:t>183,826</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191,894</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5"/>
              </w:rPr>
              <w:t>215,058</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335,388</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w w:val="95"/>
              </w:rPr>
              <w:t>125,381</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37,164</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6.3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17,374</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28,010</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541,639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592,456</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9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-659765</wp:posOffset>
            </wp:positionV>
            <wp:extent cx="5213985"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AGREEMENTS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Advisory Agreement</w:t>
      </w:r>
    </w:p>
    <w:p>
      <w:pPr>
        <w:spacing w:after="0" w:line="121" w:lineRule="exact"/>
        <w:rPr>
          <w:sz w:val="20"/>
          <w:szCs w:val="20"/>
          <w:color w:val="auto"/>
        </w:rPr>
      </w:pPr>
    </w:p>
    <w:p>
      <w:pPr>
        <w:jc w:val="both"/>
        <w:ind w:left="40" w:right="599" w:firstLine="270"/>
        <w:spacing w:after="0" w:line="286" w:lineRule="auto"/>
        <w:rPr>
          <w:sz w:val="20"/>
          <w:szCs w:val="20"/>
          <w:color w:val="auto"/>
        </w:rPr>
      </w:pPr>
      <w:r>
        <w:rPr>
          <w:rFonts w:ascii="Arial" w:cs="Arial" w:eastAsia="Arial" w:hAnsi="Arial"/>
          <w:sz w:val="17"/>
          <w:szCs w:val="17"/>
          <w:color w:val="auto"/>
        </w:rPr>
        <w:t>Our Investment Advisor is registered as an investment adviser under the Advisers Act. Subject to the overall supervision of our Board, our Investment Advisor manages our day-to-day operations, and provides investment advisory and management services to us. Under the terms of our Investment Advisory Agreement, the Investment Advisor:</w:t>
      </w:r>
    </w:p>
    <w:p>
      <w:pPr>
        <w:spacing w:after="0" w:line="57" w:lineRule="exact"/>
        <w:rPr>
          <w:sz w:val="20"/>
          <w:szCs w:val="20"/>
          <w:color w:val="auto"/>
        </w:rPr>
      </w:pPr>
    </w:p>
    <w:p>
      <w:pPr>
        <w:ind w:left="600" w:right="113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62" w:lineRule="exact"/>
        <w:rPr>
          <w:rFonts w:ascii="Arial" w:cs="Arial" w:eastAsia="Arial" w:hAnsi="Arial"/>
          <w:sz w:val="18"/>
          <w:szCs w:val="18"/>
          <w:color w:val="auto"/>
        </w:rPr>
      </w:pPr>
    </w:p>
    <w:p>
      <w:pPr>
        <w:ind w:left="600" w:right="81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117"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 Fee</w:t>
      </w:r>
    </w:p>
    <w:p>
      <w:pPr>
        <w:spacing w:after="0" w:line="117" w:lineRule="exact"/>
        <w:rPr>
          <w:sz w:val="20"/>
          <w:szCs w:val="20"/>
          <w:color w:val="auto"/>
        </w:rPr>
      </w:pPr>
    </w:p>
    <w:p>
      <w:pPr>
        <w:ind w:left="40" w:right="699" w:firstLine="270"/>
        <w:spacing w:after="0" w:line="308" w:lineRule="auto"/>
        <w:rPr>
          <w:sz w:val="20"/>
          <w:szCs w:val="20"/>
          <w:color w:val="auto"/>
        </w:rPr>
      </w:pPr>
      <w:r>
        <w:rPr>
          <w:rFonts w:ascii="Arial" w:cs="Arial" w:eastAsia="Arial" w:hAnsi="Arial"/>
          <w:sz w:val="17"/>
          <w:szCs w:val="17"/>
          <w:color w:val="auto"/>
        </w:rPr>
        <w:t>Pursuant to the Investment Advisory Agreement, we have agreed to pay the Investment Advisor a fee for investment advisory and management services consisting of two components — a base management fee and an incentive fee.</w:t>
      </w:r>
    </w:p>
    <w:p>
      <w:pPr>
        <w:spacing w:after="0" w:line="38"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The base management fee is calculated at an annual rate of 1.75% of our gross assets, which is our total assets as reflected on our consolidated statements of assets and liabilities and includes any borrowings for investment purposes. Although we do not anticipate making significant investments in derivative financial instruments, the fair value of any such investments, which will not necessarily equal their notional value, will be included in our calculation of gross assets. For services rendered under the Investment Advisory Agreement, the base management fee is payable quarterly in arrears. The base management fee was initially calculated based on the value of our gross assets at the end of the first calendar quarter subsequent to our IPO, and thereafter based on the average value of our gross assets at the end of the two most recently completed calendar quarters, and appropriately adjusted for any share issuances or repurchases during the current calendar quarter. For the first twelve months following our IPO, the Investment Advisor waived the portion of the base management fee payable on cash and cash equivalents held at the Capitala Finance level, excluding cash and cash equivalents held by the Legacy Funds that were acquired by Capitala Finance in connection with the Formation Transactions.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incentive fee consists of the following two parts:</w:t>
      </w:r>
    </w:p>
    <w:p>
      <w:pPr>
        <w:spacing w:after="0" w:line="117"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6"/>
          <w:szCs w:val="16"/>
          <w:color w:val="auto"/>
        </w:rPr>
        <w:t>The first part of 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Our net investment income used to calculate this part of the incentive fee is also included in the amount of our</w:t>
      </w: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color w:val="auto"/>
        </w:rPr>
        <w:t>gross assets used to calculate the 1.75% base management fee. We pay the Investment Advisor an incentive fee with respect to our pre-incentive fee net investment income in each calendar quarter as follows:</w:t>
      </w:r>
    </w:p>
    <w:p>
      <w:pPr>
        <w:spacing w:after="0" w:line="62" w:lineRule="exact"/>
        <w:rPr>
          <w:sz w:val="20"/>
          <w:szCs w:val="20"/>
          <w:color w:val="auto"/>
        </w:rPr>
      </w:pPr>
    </w:p>
    <w:p>
      <w:pPr>
        <w:ind w:left="600" w:right="579" w:hanging="322"/>
        <w:spacing w:after="0" w:line="277"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our pre-incentive fee net investment income does not exceed the hurdle of 2.0%;</w:t>
      </w:r>
    </w:p>
    <w:p>
      <w:pPr>
        <w:spacing w:after="0" w:line="62" w:lineRule="exact"/>
        <w:rPr>
          <w:rFonts w:ascii="Arial" w:cs="Arial" w:eastAsia="Arial" w:hAnsi="Arial"/>
          <w:sz w:val="18"/>
          <w:szCs w:val="18"/>
          <w:color w:val="auto"/>
        </w:rPr>
      </w:pPr>
    </w:p>
    <w:p>
      <w:pPr>
        <w:ind w:left="600" w:right="559" w:hanging="322"/>
        <w:spacing w:after="0" w:line="297"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100% of our pre-incentive fee net investment income with respect to that portion of such pre-incentive fee net investment income, if any, that exceeds the hurdle but is less than 2.5% in any calendar quarter (10.0% annualized). We refer to this portion of our pre-incentive fee net investment income (which exceeds the hurdle but is less than 2.5%) as the “catch-up.” The “catch-up” is meant to provide our Investment Advisor with 20% of our pre-incentive fee net investment income as if a hurdle did not apply if this net investment income exceeds 2.5% in any calendar quarter; and</w:t>
      </w:r>
    </w:p>
    <w:p>
      <w:pPr>
        <w:spacing w:after="0" w:line="50" w:lineRule="exact"/>
        <w:rPr>
          <w:rFonts w:ascii="Arial" w:cs="Arial" w:eastAsia="Arial" w:hAnsi="Arial"/>
          <w:sz w:val="16"/>
          <w:szCs w:val="16"/>
          <w:color w:val="auto"/>
        </w:rPr>
      </w:pPr>
    </w:p>
    <w:p>
      <w:pPr>
        <w:ind w:left="600" w:right="539" w:hanging="322"/>
        <w:spacing w:after="0" w:line="264"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73"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As announced on January 4, 2016, the Investment Advisor has voluntarily agreed to waive all or such portion of the quarterly incentive fees earned by the Investment Advisor that would otherwise cause our quarterly net investment income to be less than the distribution payments declared by our Board. Quarterly incentive fees are earned by the Investment Adviser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2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1399540</wp:posOffset>
            </wp:positionH>
            <wp:positionV relativeFrom="paragraph">
              <wp:posOffset>74295</wp:posOffset>
            </wp:positionV>
            <wp:extent cx="3302000" cy="462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Percentage of pre-incentive fee net investment income allocated to the Capitala Investment Advisors</w:t>
      </w:r>
    </w:p>
    <w:p>
      <w:pPr>
        <w:spacing w:after="0" w:line="133"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These calculations are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Advisor with respect to pre-incentive fee net investment income.</w:t>
      </w:r>
    </w:p>
    <w:p>
      <w:pPr>
        <w:spacing w:after="0" w:line="64"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80" w:lineRule="exact"/>
        <w:rPr>
          <w:sz w:val="20"/>
          <w:szCs w:val="20"/>
          <w:color w:val="auto"/>
        </w:rPr>
      </w:pPr>
    </w:p>
    <w:p>
      <w:pPr>
        <w:ind w:left="40" w:right="719" w:firstLine="270"/>
        <w:spacing w:after="0" w:line="257" w:lineRule="auto"/>
        <w:rPr>
          <w:sz w:val="20"/>
          <w:szCs w:val="20"/>
          <w:color w:val="auto"/>
        </w:rPr>
      </w:pPr>
      <w:r>
        <w:rPr>
          <w:rFonts w:ascii="Arial" w:cs="Arial" w:eastAsia="Arial" w:hAnsi="Arial"/>
          <w:sz w:val="18"/>
          <w:szCs w:val="18"/>
          <w:color w:val="auto"/>
        </w:rPr>
        <w:t>We will defer cash payment of the portion of any incentive fee otherwise earned by our Investment Advisor that would, when taken together with all other incentive fees paid to our Investment Advisor during the most recent 12 full calendar month period ending on or prior to the date such payment is to be made, exceed 20% of the sum of (a) our pre-incentive fee net investment income during such period, (b) our net unrealized appreciation or depreciation during such period and (c) our net realized capital gains or losses</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 w:name="page15"/>
    <w:bookmarkEnd w:id="14"/>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859"/>
        <w:spacing w:after="0" w:line="277" w:lineRule="auto"/>
        <w:rPr>
          <w:sz w:val="20"/>
          <w:szCs w:val="20"/>
          <w:color w:val="auto"/>
        </w:rPr>
      </w:pPr>
      <w:r>
        <w:rPr>
          <w:rFonts w:ascii="Arial" w:cs="Arial" w:eastAsia="Arial" w:hAnsi="Arial"/>
          <w:sz w:val="18"/>
          <w:szCs w:val="18"/>
          <w:color w:val="auto"/>
        </w:rPr>
        <w:t>during such period. Any deferred incentive fees will be carried over for payment in subsequent calculation periods to the extent such payment is payable under the Investment Advisory Agreement.</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Example 1: Income Related Portion of Incentive Fee*</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Alternative 1:</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Investment income (including interest, dividends, fees, etc.) = 1.25%</w:t>
      </w:r>
    </w:p>
    <w:p>
      <w:pPr>
        <w:ind w:left="180"/>
        <w:spacing w:after="0" w:line="233" w:lineRule="auto"/>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2.0%</w:t>
      </w:r>
    </w:p>
    <w:p>
      <w:pPr>
        <w:ind w:left="180"/>
        <w:spacing w:after="0" w:line="197" w:lineRule="auto"/>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ind w:left="180"/>
        <w:spacing w:after="0" w:line="185" w:lineRule="auto"/>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Pre-incentive fee net investment income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 (management fee + other expenses)) = 0.55%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net investment income does not exceed hurdle rate, therefore there is no incentive fee.</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Alternative 2:</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Investment income (including interest, dividends, fees, etc.) = 2.9%</w:t>
      </w:r>
    </w:p>
    <w:p>
      <w:pPr>
        <w:ind w:left="180"/>
        <w:spacing w:after="0" w:line="233" w:lineRule="auto"/>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2.0%</w:t>
      </w:r>
    </w:p>
    <w:p>
      <w:pPr>
        <w:ind w:left="180"/>
        <w:spacing w:after="0" w:line="197" w:lineRule="auto"/>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ind w:left="180"/>
        <w:spacing w:after="0" w:line="185" w:lineRule="auto"/>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Pre-incentive fee net investment income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 (management fee + other expenses)) = 2.2%</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Incentive fee = 100% × pre-incentive fee net investment income, subject to the “catch-up”</w:t>
      </w:r>
      <w:r>
        <w:rPr>
          <w:rFonts w:ascii="Arial" w:cs="Arial" w:eastAsia="Arial" w:hAnsi="Arial"/>
          <w:sz w:val="30"/>
          <w:szCs w:val="30"/>
          <w:color w:val="auto"/>
          <w:vertAlign w:val="superscript"/>
        </w:rPr>
        <w:t>(4)</w:t>
      </w:r>
    </w:p>
    <w:p>
      <w:pPr>
        <w:spacing w:after="0" w:line="32" w:lineRule="exact"/>
        <w:rPr>
          <w:sz w:val="20"/>
          <w:szCs w:val="20"/>
          <w:color w:val="auto"/>
        </w:rPr>
      </w:pPr>
    </w:p>
    <w:p>
      <w:pPr>
        <w:ind w:left="1360" w:hanging="137"/>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 (2.2% – 2.0%)</w:t>
      </w:r>
    </w:p>
    <w:p>
      <w:pPr>
        <w:spacing w:after="0" w:line="101" w:lineRule="exact"/>
        <w:rPr>
          <w:rFonts w:ascii="Arial" w:cs="Arial" w:eastAsia="Arial" w:hAnsi="Arial"/>
          <w:sz w:val="18"/>
          <w:szCs w:val="18"/>
          <w:color w:val="auto"/>
        </w:rPr>
      </w:pPr>
    </w:p>
    <w:p>
      <w:pPr>
        <w:ind w:left="1360" w:hanging="137"/>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0.20%</w:t>
      </w:r>
    </w:p>
    <w:p>
      <w:pPr>
        <w:spacing w:after="0" w:line="117" w:lineRule="exact"/>
        <w:rPr>
          <w:sz w:val="20"/>
          <w:szCs w:val="20"/>
          <w:color w:val="auto"/>
        </w:rPr>
      </w:pPr>
    </w:p>
    <w:p>
      <w:pPr>
        <w:ind w:left="180" w:right="739" w:firstLine="270"/>
        <w:spacing w:after="0" w:line="277" w:lineRule="auto"/>
        <w:rPr>
          <w:sz w:val="20"/>
          <w:szCs w:val="20"/>
          <w:color w:val="auto"/>
        </w:rPr>
      </w:pPr>
      <w:r>
        <w:rPr>
          <w:rFonts w:ascii="Arial" w:cs="Arial" w:eastAsia="Arial" w:hAnsi="Arial"/>
          <w:sz w:val="18"/>
          <w:szCs w:val="18"/>
          <w:color w:val="auto"/>
        </w:rPr>
        <w:t>Pre-incentive fee net investment income exceeds the hurdle rate, but does not fully satisfy the “catch-up” provision, therefore the income related portion of the incentive fee is 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151765</wp:posOffset>
            </wp:positionV>
            <wp:extent cx="617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20" w:hanging="272"/>
        <w:spacing w:after="0"/>
        <w:tabs>
          <w:tab w:leader="none" w:pos="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hypothetical amount of pre-incentive fee net investment income shown is based on a percentage of total net assets.</w:t>
      </w:r>
    </w:p>
    <w:p>
      <w:pPr>
        <w:spacing w:after="0" w:line="128" w:lineRule="exact"/>
        <w:rPr>
          <w:rFonts w:ascii="Arial" w:cs="Arial" w:eastAsia="Arial" w:hAnsi="Arial"/>
          <w:sz w:val="17"/>
          <w:szCs w:val="17"/>
          <w:color w:val="auto"/>
        </w:rPr>
      </w:pPr>
    </w:p>
    <w:p>
      <w:pPr>
        <w:ind w:left="140"/>
        <w:spacing w:after="0"/>
        <w:rPr>
          <w:rFonts w:ascii="Arial" w:cs="Arial" w:eastAsia="Arial" w:hAnsi="Arial"/>
          <w:sz w:val="17"/>
          <w:szCs w:val="17"/>
          <w:color w:val="auto"/>
        </w:rPr>
      </w:pPr>
      <w:r>
        <w:rPr>
          <w:rFonts w:ascii="Arial" w:cs="Arial" w:eastAsia="Arial" w:hAnsi="Arial"/>
          <w:sz w:val="18"/>
          <w:szCs w:val="18"/>
          <w:color w:val="auto"/>
        </w:rPr>
        <w:t>(1) Represents 8.0% annualized hurdle rate.</w:t>
      </w:r>
    </w:p>
    <w:p>
      <w:pPr>
        <w:spacing w:after="0" w:line="117" w:lineRule="exact"/>
        <w:rPr>
          <w:rFonts w:ascii="Arial" w:cs="Arial" w:eastAsia="Arial" w:hAnsi="Arial"/>
          <w:sz w:val="17"/>
          <w:szCs w:val="17"/>
          <w:color w:val="auto"/>
        </w:rPr>
      </w:pPr>
    </w:p>
    <w:p>
      <w:pPr>
        <w:ind w:left="140"/>
        <w:spacing w:after="0"/>
        <w:rPr>
          <w:rFonts w:ascii="Arial" w:cs="Arial" w:eastAsia="Arial" w:hAnsi="Arial"/>
          <w:sz w:val="17"/>
          <w:szCs w:val="17"/>
          <w:color w:val="auto"/>
        </w:rPr>
      </w:pPr>
      <w:r>
        <w:rPr>
          <w:rFonts w:ascii="Arial" w:cs="Arial" w:eastAsia="Arial" w:hAnsi="Arial"/>
          <w:sz w:val="18"/>
          <w:szCs w:val="18"/>
          <w:color w:val="auto"/>
        </w:rPr>
        <w:t>(2) Represents 2.00% annualized management fee.</w:t>
      </w:r>
    </w:p>
    <w:p>
      <w:pPr>
        <w:spacing w:after="0" w:line="117" w:lineRule="exact"/>
        <w:rPr>
          <w:rFonts w:ascii="Arial" w:cs="Arial" w:eastAsia="Arial" w:hAnsi="Arial"/>
          <w:sz w:val="17"/>
          <w:szCs w:val="17"/>
          <w:color w:val="auto"/>
        </w:rPr>
      </w:pPr>
    </w:p>
    <w:p>
      <w:pPr>
        <w:ind w:left="140"/>
        <w:spacing w:after="0"/>
        <w:rPr>
          <w:rFonts w:ascii="Arial" w:cs="Arial" w:eastAsia="Arial" w:hAnsi="Arial"/>
          <w:sz w:val="17"/>
          <w:szCs w:val="17"/>
          <w:color w:val="auto"/>
        </w:rPr>
      </w:pPr>
      <w:r>
        <w:rPr>
          <w:rFonts w:ascii="Arial" w:cs="Arial" w:eastAsia="Arial" w:hAnsi="Arial"/>
          <w:sz w:val="18"/>
          <w:szCs w:val="18"/>
          <w:color w:val="auto"/>
        </w:rPr>
        <w:t>(3) Excludes organizational and offering expenses.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Alternative 3:</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Investment income (including interest, dividends, fees, etc.) = 3.50%</w:t>
      </w:r>
    </w:p>
    <w:p>
      <w:pPr>
        <w:ind w:left="180"/>
        <w:spacing w:after="0" w:line="233" w:lineRule="auto"/>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2.0%</w:t>
      </w:r>
    </w:p>
    <w:p>
      <w:pPr>
        <w:ind w:left="180"/>
        <w:spacing w:after="0" w:line="197" w:lineRule="auto"/>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ind w:left="180"/>
        <w:spacing w:after="0" w:line="185" w:lineRule="auto"/>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Pre-incentive fee net investment income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 (management fee + other expenses)) = 2.80%</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1160" w:type="dxa"/>
            <w:vAlign w:val="bottom"/>
          </w:tcPr>
          <w:p>
            <w:pPr>
              <w:ind w:left="180"/>
              <w:spacing w:after="0"/>
              <w:rPr>
                <w:sz w:val="20"/>
                <w:szCs w:val="20"/>
                <w:color w:val="auto"/>
              </w:rPr>
            </w:pPr>
            <w:r>
              <w:rPr>
                <w:rFonts w:ascii="Arial" w:cs="Arial" w:eastAsia="Arial" w:hAnsi="Arial"/>
                <w:sz w:val="18"/>
                <w:szCs w:val="18"/>
                <w:color w:val="auto"/>
                <w:w w:val="94"/>
              </w:rPr>
              <w:t>Incentive fee</w:t>
            </w:r>
          </w:p>
        </w:tc>
        <w:tc>
          <w:tcPr>
            <w:tcW w:w="8440" w:type="dxa"/>
            <w:vAlign w:val="bottom"/>
          </w:tcPr>
          <w:p>
            <w:pPr>
              <w:ind w:left="60"/>
              <w:spacing w:after="0"/>
              <w:rPr>
                <w:sz w:val="20"/>
                <w:szCs w:val="20"/>
                <w:color w:val="auto"/>
              </w:rPr>
            </w:pPr>
            <w:r>
              <w:rPr>
                <w:rFonts w:ascii="Arial" w:cs="Arial" w:eastAsia="Arial" w:hAnsi="Arial"/>
                <w:sz w:val="18"/>
                <w:szCs w:val="18"/>
                <w:color w:val="auto"/>
              </w:rPr>
              <w:t>= 20% × pre-incentive fee net investment income, subject to “catch-up”</w:t>
            </w:r>
            <w:r>
              <w:rPr>
                <w:rFonts w:ascii="Arial" w:cs="Arial" w:eastAsia="Arial" w:hAnsi="Arial"/>
                <w:sz w:val="30"/>
                <w:szCs w:val="30"/>
                <w:color w:val="auto"/>
                <w:vertAlign w:val="superscript"/>
              </w:rPr>
              <w:t>(4)</w:t>
            </w: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w w:val="94"/>
              </w:rPr>
              <w:t>Incentive fee</w:t>
            </w:r>
          </w:p>
        </w:tc>
        <w:tc>
          <w:tcPr>
            <w:tcW w:w="8440" w:type="dxa"/>
            <w:vAlign w:val="bottom"/>
          </w:tcPr>
          <w:p>
            <w:pPr>
              <w:ind w:left="60"/>
              <w:spacing w:after="0"/>
              <w:rPr>
                <w:sz w:val="20"/>
                <w:szCs w:val="20"/>
                <w:color w:val="auto"/>
              </w:rPr>
            </w:pPr>
            <w:r>
              <w:rPr>
                <w:rFonts w:ascii="Arial" w:cs="Arial" w:eastAsia="Arial" w:hAnsi="Arial"/>
                <w:sz w:val="18"/>
                <w:szCs w:val="18"/>
                <w:color w:val="auto"/>
              </w:rPr>
              <w:t>= 100% × “catch-up” + (20% × (pre-incentive fee net investment income – 2.5%))</w:t>
            </w: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Catch-up</w:t>
            </w:r>
          </w:p>
        </w:tc>
        <w:tc>
          <w:tcPr>
            <w:tcW w:w="8440" w:type="dxa"/>
            <w:vAlign w:val="bottom"/>
          </w:tcPr>
          <w:p>
            <w:pPr>
              <w:ind w:left="140"/>
              <w:spacing w:after="0"/>
              <w:rPr>
                <w:sz w:val="20"/>
                <w:szCs w:val="20"/>
                <w:color w:val="auto"/>
              </w:rPr>
            </w:pPr>
            <w:r>
              <w:rPr>
                <w:rFonts w:ascii="Arial" w:cs="Arial" w:eastAsia="Arial" w:hAnsi="Arial"/>
                <w:sz w:val="18"/>
                <w:szCs w:val="18"/>
                <w:color w:val="auto"/>
              </w:rPr>
              <w:t>= 2.5% – 2.0%</w:t>
            </w:r>
          </w:p>
        </w:tc>
      </w:tr>
      <w:tr>
        <w:trPr>
          <w:trHeight w:val="230"/>
        </w:trPr>
        <w:tc>
          <w:tcPr>
            <w:tcW w:w="1160" w:type="dxa"/>
            <w:vAlign w:val="bottom"/>
          </w:tcPr>
          <w:p>
            <w:pPr>
              <w:spacing w:after="0"/>
              <w:rPr>
                <w:sz w:val="20"/>
                <w:szCs w:val="20"/>
                <w:color w:val="auto"/>
              </w:rPr>
            </w:pPr>
          </w:p>
        </w:tc>
        <w:tc>
          <w:tcPr>
            <w:tcW w:w="8440" w:type="dxa"/>
            <w:vAlign w:val="bottom"/>
          </w:tcPr>
          <w:p>
            <w:pPr>
              <w:jc w:val="right"/>
              <w:ind w:right="7730"/>
              <w:spacing w:after="0"/>
              <w:rPr>
                <w:sz w:val="20"/>
                <w:szCs w:val="20"/>
                <w:color w:val="auto"/>
              </w:rPr>
            </w:pPr>
            <w:r>
              <w:rPr>
                <w:rFonts w:ascii="Arial" w:cs="Arial" w:eastAsia="Arial" w:hAnsi="Arial"/>
                <w:sz w:val="18"/>
                <w:szCs w:val="18"/>
                <w:color w:val="auto"/>
              </w:rPr>
              <w:t>= 0.5%</w:t>
            </w:r>
          </w:p>
        </w:tc>
      </w:tr>
      <w:tr>
        <w:trPr>
          <w:trHeight w:val="783"/>
        </w:trPr>
        <w:tc>
          <w:tcPr>
            <w:tcW w:w="1160" w:type="dxa"/>
            <w:vAlign w:val="bottom"/>
          </w:tcPr>
          <w:p>
            <w:pPr>
              <w:spacing w:after="0"/>
              <w:rPr>
                <w:sz w:val="24"/>
                <w:szCs w:val="24"/>
                <w:color w:val="auto"/>
              </w:rPr>
            </w:pPr>
          </w:p>
        </w:tc>
        <w:tc>
          <w:tcPr>
            <w:tcW w:w="8440" w:type="dxa"/>
            <w:vAlign w:val="bottom"/>
          </w:tcPr>
          <w:p>
            <w:pPr>
              <w:jc w:val="right"/>
              <w:ind w:right="4630"/>
              <w:spacing w:after="0"/>
              <w:rPr>
                <w:sz w:val="20"/>
                <w:szCs w:val="20"/>
                <w:color w:val="auto"/>
              </w:rPr>
            </w:pPr>
            <w:r>
              <w:rPr>
                <w:rFonts w:ascii="Arial" w:cs="Arial" w:eastAsia="Arial" w:hAnsi="Arial"/>
                <w:sz w:val="18"/>
                <w:szCs w:val="18"/>
                <w:color w:val="auto"/>
              </w:rPr>
              <w:t>12</w:t>
            </w:r>
          </w:p>
        </w:tc>
      </w:tr>
      <w:tr>
        <w:trPr>
          <w:trHeight w:val="162"/>
        </w:trPr>
        <w:tc>
          <w:tcPr>
            <w:tcW w:w="1160" w:type="dxa"/>
            <w:vAlign w:val="bottom"/>
            <w:tcBorders>
              <w:bottom w:val="single" w:sz="8" w:color="9A9A9A"/>
            </w:tcBorders>
          </w:tcPr>
          <w:p>
            <w:pPr>
              <w:spacing w:after="0"/>
              <w:rPr>
                <w:sz w:val="14"/>
                <w:szCs w:val="14"/>
                <w:color w:val="auto"/>
              </w:rPr>
            </w:pPr>
          </w:p>
        </w:tc>
        <w:tc>
          <w:tcPr>
            <w:tcW w:w="8440" w:type="dxa"/>
            <w:vAlign w:val="bottom"/>
            <w:tcBorders>
              <w:bottom w:val="single" w:sz="8" w:color="9A9A9A"/>
            </w:tcBorders>
          </w:tcPr>
          <w:p>
            <w:pPr>
              <w:spacing w:after="0"/>
              <w:rPr>
                <w:sz w:val="14"/>
                <w:szCs w:val="14"/>
                <w:color w:val="auto"/>
              </w:rPr>
            </w:pPr>
          </w:p>
        </w:tc>
      </w:tr>
      <w:tr>
        <w:trPr>
          <w:trHeight w:val="21"/>
        </w:trPr>
        <w:tc>
          <w:tcPr>
            <w:tcW w:w="1160" w:type="dxa"/>
            <w:vAlign w:val="bottom"/>
            <w:tcBorders>
              <w:bottom w:val="single" w:sz="8" w:color="EEEEEE"/>
            </w:tcBorders>
          </w:tcPr>
          <w:p>
            <w:pPr>
              <w:spacing w:after="0" w:line="20" w:lineRule="exact"/>
              <w:rPr>
                <w:sz w:val="1"/>
                <w:szCs w:val="1"/>
                <w:color w:val="auto"/>
              </w:rPr>
            </w:pPr>
          </w:p>
        </w:tc>
        <w:tc>
          <w:tcPr>
            <w:tcW w:w="84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968"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Incentive fee  = (100% × 0.5%) + (20% × (2.80% – 2.5%))</w:t>
      </w:r>
    </w:p>
    <w:p>
      <w:pPr>
        <w:spacing w:after="0" w:line="117" w:lineRule="exact"/>
        <w:rPr>
          <w:sz w:val="20"/>
          <w:szCs w:val="20"/>
          <w:color w:val="auto"/>
        </w:rPr>
      </w:pPr>
    </w:p>
    <w:p>
      <w:pPr>
        <w:ind w:left="1280" w:hanging="152"/>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0.5% + (20%× 0.3%)</w:t>
      </w:r>
    </w:p>
    <w:p>
      <w:pPr>
        <w:spacing w:after="0" w:line="117" w:lineRule="exact"/>
        <w:rPr>
          <w:rFonts w:ascii="Arial" w:cs="Arial" w:eastAsia="Arial" w:hAnsi="Arial"/>
          <w:sz w:val="18"/>
          <w:szCs w:val="18"/>
          <w:color w:val="auto"/>
        </w:rPr>
      </w:pPr>
    </w:p>
    <w:p>
      <w:pPr>
        <w:ind w:left="1280" w:hanging="152"/>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0.5% + 0.06%</w:t>
      </w:r>
    </w:p>
    <w:p>
      <w:pPr>
        <w:spacing w:after="0" w:line="117" w:lineRule="exact"/>
        <w:rPr>
          <w:rFonts w:ascii="Arial" w:cs="Arial" w:eastAsia="Arial" w:hAnsi="Arial"/>
          <w:sz w:val="18"/>
          <w:szCs w:val="18"/>
          <w:color w:val="auto"/>
        </w:rPr>
      </w:pPr>
    </w:p>
    <w:p>
      <w:pPr>
        <w:ind w:left="1280" w:hanging="152"/>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0.56%</w:t>
      </w:r>
    </w:p>
    <w:p>
      <w:pPr>
        <w:spacing w:after="0" w:line="117" w:lineRule="exact"/>
        <w:rPr>
          <w:sz w:val="20"/>
          <w:szCs w:val="20"/>
          <w:color w:val="auto"/>
        </w:rPr>
      </w:pPr>
    </w:p>
    <w:p>
      <w:pPr>
        <w:ind w:left="40" w:right="979" w:firstLine="270"/>
        <w:spacing w:after="0" w:line="277" w:lineRule="auto"/>
        <w:rPr>
          <w:sz w:val="20"/>
          <w:szCs w:val="20"/>
          <w:color w:val="auto"/>
        </w:rPr>
      </w:pPr>
      <w:r>
        <w:rPr>
          <w:rFonts w:ascii="Arial" w:cs="Arial" w:eastAsia="Arial" w:hAnsi="Arial"/>
          <w:sz w:val="18"/>
          <w:szCs w:val="18"/>
          <w:color w:val="auto"/>
        </w:rPr>
        <w:t>Pre-incentive fee net investment income exceeds the hurdle rate, and fully satisfies the “catch-up” provision, therefore the income related portion of the incentive fee is 0.56%.</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1:</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600" w:right="759" w:hanging="322"/>
        <w:spacing w:after="0" w:line="277"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Year 2: Investment A sold for $50 million and fair market value (“FMV”) of Investment B determined to be $32 million</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3: FMV of Investment B determined to be $25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4: Investment B sold for $31 million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2: Capital gains incentive fee of $6 million ($30 million realized capital gains on sale of Investment A multiplied by 20%)</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3: None</w:t>
      </w:r>
    </w:p>
    <w:p>
      <w:pPr>
        <w:spacing w:after="0" w:line="117"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color w:val="auto"/>
        </w:rPr>
        <w:t>$5 million (20% multiplied by ($30 million cumulative capital gains less $5 million cumulative capital depreciation)) less $6 million (previous capital gains fee paid in Year 2).</w:t>
      </w:r>
    </w:p>
    <w:p>
      <w:pPr>
        <w:spacing w:after="0" w:line="62" w:lineRule="exact"/>
        <w:rPr>
          <w:sz w:val="20"/>
          <w:szCs w:val="20"/>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 4: Capital gains incentive fee of $200,000</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$6.2 million ($31 million cumulative realized capital gains multiplied by 20%) less $6 million (capital gains fee taken in Year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2:</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600" w:right="1079" w:hanging="322"/>
        <w:spacing w:after="0" w:line="277" w:lineRule="auto"/>
        <w:tabs>
          <w:tab w:leader="none" w:pos="6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62" w:lineRule="exact"/>
        <w:rPr>
          <w:rFonts w:ascii="Arial" w:cs="Arial" w:eastAsia="Arial" w:hAnsi="Arial"/>
          <w:sz w:val="18"/>
          <w:szCs w:val="18"/>
          <w:color w:val="auto"/>
        </w:rPr>
      </w:pPr>
    </w:p>
    <w:p>
      <w:pPr>
        <w:ind w:left="600" w:right="659" w:hanging="322"/>
        <w:spacing w:after="0" w:line="277" w:lineRule="auto"/>
        <w:tabs>
          <w:tab w:leader="none" w:pos="6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Year 2: Investment A sold for $50 million, FMV of Investment B determined to be $25 million and FMV of Investment C determined to be $25 million</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Year 3: FMV of Investment B determined to be $27 million and Investment C sold for $30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Year 4: FMV of Investment B determined to be $24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Year 5: Investment B sold for $20 million</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8.0% annualized hurdle rate.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2.00% annualized management fee.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117" w:lineRule="exact"/>
        <w:rPr>
          <w:rFonts w:ascii="Arial" w:cs="Arial" w:eastAsia="Arial" w:hAnsi="Arial"/>
          <w:sz w:val="18"/>
          <w:szCs w:val="18"/>
          <w:color w:val="auto"/>
        </w:rPr>
      </w:pPr>
    </w:p>
    <w:p>
      <w:pPr>
        <w:jc w:val="both"/>
        <w:ind w:left="280" w:right="999" w:hanging="272"/>
        <w:spacing w:after="0" w:line="264" w:lineRule="auto"/>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“catch-up” provision is intended to provide the Adviser with an incentive fee of 20% on all of Capitala Finance’s pre-incentive fee net investment income as if a hurdle rate did not apply when its net investment income exceeds 2.5% in any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-1221740</wp:posOffset>
            </wp:positionV>
            <wp:extent cx="617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capital gains incentive fee, if any, would be:</w:t>
      </w:r>
    </w:p>
    <w:p>
      <w:pPr>
        <w:spacing w:after="0" w:line="117" w:lineRule="exact"/>
        <w:rPr>
          <w:sz w:val="20"/>
          <w:szCs w:val="20"/>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2: $5 million capital gains incentive fee</w:t>
      </w:r>
    </w:p>
    <w:p>
      <w:pPr>
        <w:spacing w:after="0" w:line="117"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20% multiplied by $25 million ($30 million realized capital gains on Investment A less unrealized capital depreciation on Investment B).</w:t>
      </w:r>
    </w:p>
    <w:p>
      <w:pPr>
        <w:spacing w:after="0" w:line="56" w:lineRule="exact"/>
        <w:rPr>
          <w:sz w:val="20"/>
          <w:szCs w:val="20"/>
          <w:color w:val="auto"/>
        </w:rPr>
      </w:pPr>
    </w:p>
    <w:p>
      <w:pPr>
        <w:ind w:left="600" w:hanging="322"/>
        <w:spacing w:after="0"/>
        <w:tabs>
          <w:tab w:leader="none" w:pos="600" w:val="left"/>
        </w:tabs>
        <w:numPr>
          <w:ilvl w:val="0"/>
          <w:numId w:val="24"/>
        </w:numPr>
        <w:rPr>
          <w:rFonts w:ascii="Arial" w:cs="Arial" w:eastAsia="Arial" w:hAnsi="Arial"/>
          <w:sz w:val="36"/>
          <w:szCs w:val="36"/>
          <w:color w:val="auto"/>
          <w:vertAlign w:val="superscript"/>
        </w:rPr>
      </w:pPr>
      <w:r>
        <w:rPr>
          <w:rFonts w:ascii="Arial" w:cs="Arial" w:eastAsia="Arial" w:hAnsi="Arial"/>
          <w:sz w:val="18"/>
          <w:szCs w:val="18"/>
          <w:color w:val="auto"/>
        </w:rPr>
        <w:t>Year 3: $1.4 million capital gains incentive fee</w:t>
      </w:r>
      <w:r>
        <w:rPr>
          <w:rFonts w:ascii="Arial" w:cs="Arial" w:eastAsia="Arial" w:hAnsi="Arial"/>
          <w:sz w:val="30"/>
          <w:szCs w:val="30"/>
          <w:color w:val="auto"/>
          <w:vertAlign w:val="superscript"/>
        </w:rPr>
        <w:t>(1)</w:t>
      </w:r>
    </w:p>
    <w:p>
      <w:pPr>
        <w:ind w:left="40" w:right="779" w:firstLine="270"/>
        <w:spacing w:after="0" w:line="259" w:lineRule="auto"/>
        <w:rPr>
          <w:sz w:val="20"/>
          <w:szCs w:val="20"/>
          <w:color w:val="auto"/>
        </w:rPr>
      </w:pPr>
      <w:r>
        <w:rPr>
          <w:rFonts w:ascii="Arial" w:cs="Arial" w:eastAsia="Arial" w:hAnsi="Arial"/>
          <w:sz w:val="18"/>
          <w:szCs w:val="18"/>
          <w:color w:val="auto"/>
        </w:rPr>
        <w:t>$6.4 million (20% multiplied by $32 million ($35 million cumulative realized capital gains less $3 million unrealized capital depreciation)) less $5 million capital gains fee received in Year 2.</w:t>
      </w:r>
    </w:p>
    <w:p>
      <w:pPr>
        <w:spacing w:after="0" w:line="77" w:lineRule="exact"/>
        <w:rPr>
          <w:sz w:val="20"/>
          <w:szCs w:val="20"/>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5: None</w:t>
      </w:r>
    </w:p>
    <w:p>
      <w:pPr>
        <w:spacing w:after="0" w:line="117"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$5 million (20% multiplied by $25 million (cumulative realized capital gains of $35 million less realized capital losses of $10 million)) less $6.4 million cumulative capital gains fee paid in Year 2 and Year 3.</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Example 3: Application of the Incentive Fee Deferral Mechanism</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600" w:right="679" w:hanging="322"/>
        <w:spacing w:after="0" w:line="276" w:lineRule="auto"/>
        <w:tabs>
          <w:tab w:leader="none" w:pos="6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In each of Years 1 through 4 in this example pre-incentive fee net investment income equals $40.0 million per year, which we recognized evenly in each quarter of each year and paid quarterly. This amount exceeds the hurdle rate and the requirement of the “catch-up” provision in each quarter of such year. As a result, the annual income related portion of the incentive fee, before the application of the deferral mechanism in any year is $8.0 million ($40.0 million multiplied by 20%). All income-related incentive fees were paid quarterly in arrears.</w:t>
      </w:r>
    </w:p>
    <w:p>
      <w:pPr>
        <w:spacing w:after="0" w:line="64" w:lineRule="exact"/>
        <w:rPr>
          <w:rFonts w:ascii="Arial" w:cs="Arial" w:eastAsia="Arial" w:hAnsi="Arial"/>
          <w:sz w:val="17"/>
          <w:szCs w:val="17"/>
          <w:color w:val="auto"/>
        </w:rPr>
      </w:pPr>
    </w:p>
    <w:p>
      <w:pPr>
        <w:ind w:left="600" w:right="899" w:hanging="322"/>
        <w:spacing w:after="0" w:line="277" w:lineRule="auto"/>
        <w:tabs>
          <w:tab w:leader="none" w:pos="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each year preceding Year 1, we did not generate realized or unrealized capital gains or losses, no capital gain-related incentive fee was paid and there was no deferral of incentive fees.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Year 1: We did not generate realized or unrealized capital gains or losses.</w:t>
      </w:r>
    </w:p>
    <w:p>
      <w:pPr>
        <w:spacing w:after="0" w:line="117" w:lineRule="exact"/>
        <w:rPr>
          <w:rFonts w:ascii="Arial" w:cs="Arial" w:eastAsia="Arial" w:hAnsi="Arial"/>
          <w:sz w:val="18"/>
          <w:szCs w:val="18"/>
          <w:color w:val="auto"/>
        </w:rPr>
      </w:pPr>
    </w:p>
    <w:p>
      <w:pPr>
        <w:ind w:left="600" w:right="999" w:hanging="322"/>
        <w:spacing w:after="0" w:line="277" w:lineRule="auto"/>
        <w:tabs>
          <w:tab w:leader="none" w:pos="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Year 2: We realized a $30.0 million capital gain and did not otherwise generate realized or unrealized capital gains or losses.</w:t>
      </w:r>
    </w:p>
    <w:p>
      <w:pPr>
        <w:spacing w:after="0" w:line="62" w:lineRule="exact"/>
        <w:rPr>
          <w:rFonts w:ascii="Arial" w:cs="Arial" w:eastAsia="Arial" w:hAnsi="Arial"/>
          <w:sz w:val="18"/>
          <w:szCs w:val="18"/>
          <w:color w:val="auto"/>
        </w:rPr>
      </w:pPr>
    </w:p>
    <w:p>
      <w:pPr>
        <w:ind w:left="600" w:right="579" w:hanging="322"/>
        <w:spacing w:after="0" w:line="277" w:lineRule="auto"/>
        <w:tabs>
          <w:tab w:leader="none" w:pos="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Year 3: We recognized $5.0 million of unrealized capital depreciation and did not otherwise generate realized or unrealized capital gains or losses.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Year 4: We realized a $6.0 million capital gain and did not otherwise generate realized or unrealized capital gains or losses.</w:t>
      </w:r>
    </w:p>
    <w:p>
      <w:pPr>
        <w:spacing w:after="0" w:line="200" w:lineRule="exact"/>
        <w:rPr>
          <w:rFonts w:ascii="Arial" w:cs="Arial" w:eastAsia="Arial" w:hAnsi="Arial"/>
          <w:sz w:val="16"/>
          <w:szCs w:val="16"/>
          <w:color w:val="auto"/>
        </w:rPr>
      </w:pPr>
    </w:p>
    <w:p>
      <w:pPr>
        <w:spacing w:after="0" w:line="385" w:lineRule="exact"/>
        <w:rPr>
          <w:rFonts w:ascii="Arial" w:cs="Arial" w:eastAsia="Arial" w:hAnsi="Arial"/>
          <w:sz w:val="16"/>
          <w:szCs w:val="16"/>
          <w:color w:val="auto"/>
        </w:rPr>
      </w:pPr>
    </w:p>
    <w:p>
      <w:pPr>
        <w:ind w:left="280" w:right="559" w:hanging="272"/>
        <w:spacing w:after="0" w:line="264"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illustrated in Year 3 of Alternative 1 above, if the Company were to be wound up on a date other than December 31 of any year, the Company may have paid aggregate capital gain incentive fees that are more than the amount of such fees that would be payable if the Company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-603885</wp:posOffset>
            </wp:positionV>
            <wp:extent cx="6172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92075</wp:posOffset>
            </wp:positionV>
            <wp:extent cx="15862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24" w:lineRule="exact"/>
        <w:rPr>
          <w:sz w:val="20"/>
          <w:szCs w:val="20"/>
          <w:color w:val="auto"/>
        </w:rPr>
      </w:pPr>
    </w:p>
    <w:p>
      <w:pPr>
        <w:jc w:val="center"/>
        <w:ind w:left="880"/>
        <w:spacing w:after="0" w:line="232" w:lineRule="auto"/>
        <w:rPr>
          <w:sz w:val="20"/>
          <w:szCs w:val="20"/>
          <w:color w:val="auto"/>
        </w:rPr>
      </w:pPr>
      <w:r>
        <w:rPr>
          <w:rFonts w:ascii="Arial" w:cs="Arial" w:eastAsia="Arial" w:hAnsi="Arial"/>
          <w:sz w:val="14"/>
          <w:szCs w:val="14"/>
          <w:b w:val="1"/>
          <w:bCs w:val="1"/>
          <w:color w:val="auto"/>
        </w:rPr>
        <w:t>Income Related Incentive Fee Accrued Before Application of Deferral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-7620</wp:posOffset>
            </wp:positionV>
            <wp:extent cx="11493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Year 1</w:t>
      </w:r>
      <w:r>
        <w:rPr>
          <w:sz w:val="20"/>
          <w:szCs w:val="20"/>
          <w:color w:val="auto"/>
        </w:rPr>
        <w:tab/>
      </w:r>
      <w:r>
        <w:rPr>
          <w:rFonts w:ascii="Arial" w:cs="Arial" w:eastAsia="Arial" w:hAnsi="Arial"/>
          <w:sz w:val="17"/>
          <w:szCs w:val="17"/>
          <w:color w:val="auto"/>
        </w:rPr>
        <w:t>$8.0 million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multiplied by 20%)</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Year 2</w:t>
      </w:r>
      <w:r>
        <w:rPr>
          <w:sz w:val="20"/>
          <w:szCs w:val="20"/>
          <w:color w:val="auto"/>
        </w:rPr>
        <w:tab/>
      </w:r>
      <w:r>
        <w:rPr>
          <w:rFonts w:ascii="Arial" w:cs="Arial" w:eastAsia="Arial" w:hAnsi="Arial"/>
          <w:sz w:val="17"/>
          <w:szCs w:val="17"/>
          <w:color w:val="auto"/>
        </w:rPr>
        <w:t>$8.0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multiplied by 20%)</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Year 3</w:t>
      </w:r>
      <w:r>
        <w:rPr>
          <w:sz w:val="20"/>
          <w:szCs w:val="20"/>
          <w:color w:val="auto"/>
        </w:rPr>
        <w:tab/>
      </w:r>
      <w:r>
        <w:rPr>
          <w:rFonts w:ascii="Arial" w:cs="Arial" w:eastAsia="Arial" w:hAnsi="Arial"/>
          <w:sz w:val="17"/>
          <w:szCs w:val="17"/>
          <w:color w:val="auto"/>
        </w:rPr>
        <w:t>$8.0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multiplied by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Year 4</w:t>
      </w:r>
      <w:r>
        <w:rPr>
          <w:sz w:val="20"/>
          <w:szCs w:val="20"/>
          <w:color w:val="auto"/>
        </w:rPr>
        <w:tab/>
      </w:r>
      <w:r>
        <w:rPr>
          <w:rFonts w:ascii="Arial" w:cs="Arial" w:eastAsia="Arial" w:hAnsi="Arial"/>
          <w:sz w:val="17"/>
          <w:szCs w:val="17"/>
          <w:color w:val="auto"/>
        </w:rPr>
        <w:t>$8.0 million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multiplied by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Capital Gains Related</w:t>
            </w: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 Fee</w:t>
            </w: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Accrued Before</w:t>
            </w:r>
          </w:p>
        </w:tc>
        <w:tc>
          <w:tcPr>
            <w:tcW w:w="80" w:type="dxa"/>
            <w:vAlign w:val="bottom"/>
          </w:tcPr>
          <w:p>
            <w:pPr>
              <w:spacing w:after="0"/>
              <w:rPr>
                <w:sz w:val="12"/>
                <w:szCs w:val="12"/>
                <w:color w:val="auto"/>
              </w:rPr>
            </w:pPr>
          </w:p>
        </w:tc>
        <w:tc>
          <w:tcPr>
            <w:tcW w:w="18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Incentive Fee</w:t>
            </w:r>
          </w:p>
        </w:tc>
        <w:tc>
          <w:tcPr>
            <w:tcW w:w="100" w:type="dxa"/>
            <w:vAlign w:val="bottom"/>
          </w:tcPr>
          <w:p>
            <w:pPr>
              <w:spacing w:after="0"/>
              <w:rPr>
                <w:sz w:val="12"/>
                <w:szCs w:val="12"/>
                <w:color w:val="auto"/>
              </w:rPr>
            </w:pPr>
          </w:p>
        </w:tc>
        <w:tc>
          <w:tcPr>
            <w:tcW w:w="18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Incentive Fees Paid and</w:t>
            </w:r>
          </w:p>
        </w:tc>
        <w:tc>
          <w:tcPr>
            <w:tcW w:w="0" w:type="dxa"/>
            <w:vAlign w:val="bottom"/>
          </w:tcPr>
          <w:p>
            <w:pPr>
              <w:spacing w:after="0"/>
              <w:rPr>
                <w:sz w:val="1"/>
                <w:szCs w:val="1"/>
                <w:color w:val="auto"/>
              </w:rPr>
            </w:pPr>
          </w:p>
        </w:tc>
      </w:tr>
      <w:tr>
        <w:trPr>
          <w:trHeight w:val="149"/>
        </w:trPr>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Application of Deferral</w:t>
            </w:r>
          </w:p>
        </w:tc>
        <w:tc>
          <w:tcPr>
            <w:tcW w:w="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Mechanism</w:t>
            </w:r>
          </w:p>
        </w:tc>
        <w:tc>
          <w:tcPr>
            <w:tcW w:w="80" w:type="dxa"/>
            <w:vAlign w:val="bottom"/>
          </w:tcPr>
          <w:p>
            <w:pPr>
              <w:spacing w:after="0"/>
              <w:rPr>
                <w:sz w:val="14"/>
                <w:szCs w:val="14"/>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Calculations</w:t>
            </w:r>
          </w:p>
        </w:tc>
        <w:tc>
          <w:tcPr>
            <w:tcW w:w="100" w:type="dxa"/>
            <w:vAlign w:val="bottom"/>
          </w:tcPr>
          <w:p>
            <w:pPr>
              <w:spacing w:after="0"/>
              <w:rPr>
                <w:sz w:val="14"/>
                <w:szCs w:val="14"/>
                <w:color w:val="auto"/>
              </w:rPr>
            </w:pPr>
          </w:p>
        </w:tc>
        <w:tc>
          <w:tcPr>
            <w:tcW w:w="18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195"/>
        </w:trPr>
        <w:tc>
          <w:tcPr>
            <w:tcW w:w="1820" w:type="dxa"/>
            <w:vAlign w:val="bottom"/>
          </w:tcPr>
          <w:p>
            <w:pPr>
              <w:ind w:left="20"/>
              <w:spacing w:after="0" w:line="195" w:lineRule="exact"/>
              <w:rPr>
                <w:sz w:val="20"/>
                <w:szCs w:val="20"/>
                <w:color w:val="auto"/>
              </w:rPr>
            </w:pPr>
            <w:r>
              <w:rPr>
                <w:rFonts w:ascii="Arial" w:cs="Arial" w:eastAsia="Arial" w:hAnsi="Arial"/>
                <w:sz w:val="18"/>
                <w:szCs w:val="18"/>
                <w:color w:val="auto"/>
              </w:rPr>
              <w:t>None</w:t>
            </w:r>
          </w:p>
        </w:tc>
        <w:tc>
          <w:tcPr>
            <w:tcW w:w="80" w:type="dxa"/>
            <w:vAlign w:val="bottom"/>
          </w:tcPr>
          <w:p>
            <w:pPr>
              <w:spacing w:after="0"/>
              <w:rPr>
                <w:sz w:val="16"/>
                <w:szCs w:val="16"/>
                <w:color w:val="auto"/>
              </w:rPr>
            </w:pPr>
          </w:p>
        </w:tc>
        <w:tc>
          <w:tcPr>
            <w:tcW w:w="1800" w:type="dxa"/>
            <w:vAlign w:val="bottom"/>
          </w:tcPr>
          <w:p>
            <w:pPr>
              <w:spacing w:after="0" w:line="195" w:lineRule="exact"/>
              <w:rPr>
                <w:sz w:val="20"/>
                <w:szCs w:val="20"/>
                <w:color w:val="auto"/>
              </w:rPr>
            </w:pPr>
            <w:r>
              <w:rPr>
                <w:rFonts w:ascii="Arial" w:cs="Arial" w:eastAsia="Arial" w:hAnsi="Arial"/>
                <w:sz w:val="18"/>
                <w:szCs w:val="18"/>
                <w:color w:val="auto"/>
              </w:rPr>
              <w:t>$8.0 million</w:t>
            </w:r>
          </w:p>
        </w:tc>
        <w:tc>
          <w:tcPr>
            <w:tcW w:w="100" w:type="dxa"/>
            <w:vAlign w:val="bottom"/>
          </w:tcPr>
          <w:p>
            <w:pPr>
              <w:spacing w:after="0"/>
              <w:rPr>
                <w:sz w:val="16"/>
                <w:szCs w:val="16"/>
                <w:color w:val="auto"/>
              </w:rPr>
            </w:pPr>
          </w:p>
        </w:tc>
        <w:tc>
          <w:tcPr>
            <w:tcW w:w="1840" w:type="dxa"/>
            <w:vAlign w:val="bottom"/>
          </w:tcPr>
          <w:p>
            <w:pPr>
              <w:spacing w:after="0" w:line="195" w:lineRule="exact"/>
              <w:rPr>
                <w:sz w:val="20"/>
                <w:szCs w:val="20"/>
                <w:color w:val="auto"/>
              </w:rPr>
            </w:pPr>
            <w:r>
              <w:rPr>
                <w:rFonts w:ascii="Arial" w:cs="Arial" w:eastAsia="Arial" w:hAnsi="Arial"/>
                <w:sz w:val="18"/>
                <w:szCs w:val="18"/>
                <w:color w:val="auto"/>
              </w:rPr>
              <w:t>Incentive fees of</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$8.0 million paid; no</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9"/>
              </w:rPr>
              <w:t>incentive fees deferred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$6.0 million (20% of</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$14.0 million</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$14.0 million paid; no</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9"/>
              </w:rPr>
              <w:t>incentive fees deferred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None (20% of</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$7.0 million (20% of</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cumulative net capital</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the sum of (a) our</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$7.0 million paid;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gains of $25.0 million</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pre-incentive fee net</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$8.0 million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($30.0 million in</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accrued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cumulative realized</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(b) our net unrealized</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but payment restricted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gains less $5.0 million</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appreciation or</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to $7.0 million;</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in cumulative</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depreciation during</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$1.0 million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unrealized capital</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such period and</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9"/>
              </w:rPr>
              <w:t>incentive fees deferred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depreciation) less</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 our net realized</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$6.0 million of capital</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capital gains or losses</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w w:val="91"/>
              </w:rPr>
              <w:t>gains fee paid in Year 2)</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during Year 3)</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$0.2 million (20% of</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$8.2 million</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cumulative net capital</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$9.2 million paid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gains of $31.0 million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($8.2 million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($36.0 million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accrued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cumulative realized</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 Year 4 plus</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capital gains less</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9"/>
              </w:rPr>
              <w:t>$1.0 million of deferred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$5.0 million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no</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cumulative unrealized</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9"/>
              </w:rPr>
              <w:t>incentive fees deferred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capital depreciation)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less $6.0 million of</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capital gains fee paid</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in Year 2)</w:t>
            </w: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-4535805</wp:posOffset>
            </wp:positionV>
            <wp:extent cx="3576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444" w:lineRule="exact"/>
        <w:rPr>
          <w:sz w:val="20"/>
          <w:szCs w:val="20"/>
          <w:color w:val="auto"/>
        </w:rPr>
      </w:pPr>
    </w:p>
    <w:p>
      <w:pPr>
        <w:sectPr>
          <w:pgSz w:w="11900" w:h="16838" w:orient="portrait"/>
          <w:cols w:equalWidth="0" w:num="2">
            <w:col w:w="2300" w:space="260"/>
            <w:col w:w="7519"/>
          </w:cols>
          <w:pgMar w:left="380" w:top="792" w:right="1440" w:bottom="1440" w:gutter="0" w:footer="0" w:header="0"/>
        </w:sectPr>
      </w:pPr>
    </w:p>
    <w:p>
      <w:pPr>
        <w:ind w:left="40" w:right="559" w:firstLine="270"/>
        <w:spacing w:after="0" w:line="259" w:lineRule="auto"/>
        <w:rPr>
          <w:sz w:val="20"/>
          <w:szCs w:val="20"/>
          <w:color w:val="auto"/>
        </w:rPr>
      </w:pPr>
      <w:r>
        <w:rPr>
          <w:rFonts w:ascii="Arial" w:cs="Arial" w:eastAsia="Arial" w:hAnsi="Arial"/>
          <w:sz w:val="18"/>
          <w:szCs w:val="18"/>
          <w:color w:val="auto"/>
        </w:rPr>
        <w:t>The investment team of our Investment Advisor and their respective staffs, when and to the extent engaged in providing investment advisory and management services, and the compensation and routine overhead expenses of such personnel allocable to such services, are provided and paid for by the Investment Advisor. We bear all other costs and expenses of our operations and transactions, including (without limitation):</w:t>
      </w:r>
    </w:p>
    <w:p>
      <w:pPr>
        <w:spacing w:after="0" w:line="79" w:lineRule="exact"/>
        <w:rPr>
          <w:sz w:val="20"/>
          <w:szCs w:val="20"/>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117" w:lineRule="exact"/>
        <w:rPr>
          <w:rFonts w:ascii="Arial" w:cs="Arial" w:eastAsia="Arial" w:hAnsi="Arial"/>
          <w:sz w:val="18"/>
          <w:szCs w:val="18"/>
          <w:color w:val="auto"/>
        </w:rPr>
      </w:pPr>
    </w:p>
    <w:p>
      <w:pPr>
        <w:ind w:left="600" w:right="839" w:hanging="322"/>
        <w:spacing w:after="0" w:line="264"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17" w:lineRule="exact"/>
        <w:rPr>
          <w:rFonts w:ascii="Arial" w:cs="Arial" w:eastAsia="Arial" w:hAnsi="Arial"/>
          <w:sz w:val="18"/>
          <w:szCs w:val="18"/>
          <w:color w:val="auto"/>
        </w:rPr>
      </w:pPr>
    </w:p>
    <w:p>
      <w:pPr>
        <w:ind w:left="600" w:right="559" w:hanging="322"/>
        <w:spacing w:after="0" w:line="308" w:lineRule="auto"/>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costs associated with our reporting and compliance obligations under the 1940 Act, the Securities Exchange Act of 1934, as amended, and other applicable federal and state securities laws, and ongoing stock exchange listing fees;</w:t>
      </w:r>
    </w:p>
    <w:p>
      <w:pPr>
        <w:spacing w:after="0" w:line="38" w:lineRule="exact"/>
        <w:rPr>
          <w:rFonts w:ascii="Arial" w:cs="Arial" w:eastAsia="Arial" w:hAnsi="Arial"/>
          <w:sz w:val="17"/>
          <w:szCs w:val="17"/>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117" w:lineRule="exact"/>
        <w:rPr>
          <w:rFonts w:ascii="Arial" w:cs="Arial" w:eastAsia="Arial" w:hAnsi="Arial"/>
          <w:sz w:val="18"/>
          <w:szCs w:val="18"/>
          <w:color w:val="auto"/>
        </w:rPr>
      </w:pPr>
    </w:p>
    <w:p>
      <w:pPr>
        <w:ind w:left="600" w:right="1099" w:hanging="322"/>
        <w:spacing w:after="0" w:line="277"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117" w:lineRule="exact"/>
        <w:rPr>
          <w:rFonts w:ascii="Arial" w:cs="Arial" w:eastAsia="Arial" w:hAnsi="Arial"/>
          <w:sz w:val="18"/>
          <w:szCs w:val="18"/>
          <w:color w:val="auto"/>
        </w:rPr>
      </w:pPr>
    </w:p>
    <w:p>
      <w:pPr>
        <w:ind w:left="600" w:right="679" w:hanging="322"/>
        <w:spacing w:after="0" w:line="255"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their respective administrative support staff.</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17"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The Investment Advisory Agreement was initially approved by the Board on June 10, 2013 and signed on September 24, 2013. The Investment Advisory Agreement was most recently re-approved by the Board, including by a majority of our non-interested directors, at an in-person meeting on August 4, 2016. Unless earlier terminated as described below, the Investment Advisory Agreement will remain in effect from year to year if approved annually by our Board or by the affirmative vote of the holders of a majority of our outstanding voting securities, including, in either case, approval by a majority of our directors who are not parties to such agreement or who are not “interested persons” of any such party, as such term is defined in Section 2(a)(19) of the 1940 Act. The Investment Advisory Agreement will automatically terminate in the event of its assignment. The Investment Advisory Agreement may also be terminated by either party without penalty upon not less than 60 days’ written notice to the other party. See “Risk Factors — Risks Relating to Our Business and Structure — Our Investment Advisor will have the right to resign on 60 days’ notice.”</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The Investment Advisory Agreement provides that, absent willful misfeasance, bad faith or gross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Capitala Finance for any damages, liabilities, costs and expenses (including reasonable attorneys’ fees and amounts reasonably paid in settlement) arising from the rendering of the Investment Advisor’s services under the Investment Advisory Agreement or otherwise as an investment adviser of Capitala Finance.</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 of the Investment Advisor</w:t>
      </w:r>
    </w:p>
    <w:p>
      <w:pPr>
        <w:spacing w:after="0" w:line="117"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The Investment Advisor is a Delaware limited liability company. The principal executive offices of the Investment Advisor are located at 4201 Congress Street, Suite 360, Charlotte, North Carolina 28209.</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left="40" w:right="539" w:firstLine="270"/>
        <w:spacing w:after="0" w:line="284" w:lineRule="auto"/>
        <w:rPr>
          <w:sz w:val="20"/>
          <w:szCs w:val="20"/>
          <w:color w:val="auto"/>
        </w:rPr>
      </w:pPr>
      <w:r>
        <w:rPr>
          <w:rFonts w:ascii="Arial" w:cs="Arial" w:eastAsia="Arial" w:hAnsi="Arial"/>
          <w:sz w:val="16"/>
          <w:szCs w:val="16"/>
          <w:color w:val="auto"/>
        </w:rPr>
        <w:t>Capitala Advisors Corp., a North Carolina corporation, serves as our administrator. The principal executive offices of our administrator are located at 4201 Congress Street, Suite 360, Charlotte, North Carolina 28209. Capitala Advisors Corp., pursuant to a sub-administration agreement, has engaged U.S. Bancorp Fund Services, LLC to act on behalf of the Administrator in its performance of certain administrative services for us. The principal office of U.S. Bancorp Fund Services, LLC is 777 East Wisconsin Avenue, Milwaukee, WI 53202. Pursuant to the Administration Agreement, our administrator furnishes us with office facilities, equipment and clerical, bookkeeping and record keeping services at such facilities. Under the Administration Agreement,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their respective administrative support staff. Under the Administration Agreement, our administrator will also provide on our behalf managerial assistance to those portfolio companies that request such assistance. Unless terminated earlier in accordance with its terms, the Administration Agreement will remain in effect if approved annually by our Board. On August 4, 2016, the Board approved the renewal of the Administration Agreement.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74"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Our administrator also provides administrative services to our Investment Advisor. As a result, the Investment Advisor will also reimburse our administrator for its allocable portion of our administrator’s overhead, including rent, the fees and expenses associated with performing compliance functions for the Investment Advisor, and its allocable portion of the compensation of any administrative support staff.</w:t>
      </w:r>
    </w:p>
    <w:p>
      <w:pPr>
        <w:spacing w:after="0" w:line="79" w:lineRule="exact"/>
        <w:rPr>
          <w:sz w:val="20"/>
          <w:szCs w:val="20"/>
          <w:color w:val="auto"/>
        </w:rPr>
      </w:pPr>
    </w:p>
    <w:p>
      <w:pPr>
        <w:ind w:left="40" w:right="819" w:firstLine="270"/>
        <w:spacing w:after="0" w:line="273" w:lineRule="auto"/>
        <w:rPr>
          <w:sz w:val="20"/>
          <w:szCs w:val="20"/>
          <w:color w:val="auto"/>
        </w:rPr>
      </w:pPr>
      <w:r>
        <w:rPr>
          <w:rFonts w:ascii="Arial" w:cs="Arial" w:eastAsia="Arial" w:hAnsi="Arial"/>
          <w:sz w:val="17"/>
          <w:szCs w:val="17"/>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Capitala Finance for any damages, liabilities, costs and expenses (including reasonable attorneys’ fees and amounts reasonably paid in settlement) arising from the rendering of our administrator’s services under the Administration Agreement or otherwise as administrator for Capitala Finance.</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 Under this agreement, we have a right to use the Capitala name for so long as the Investment Advisory Agreement with the Investment Advisor is in effect. Other than with respect to this limited license, we will have no legal right to the “Capitala” name.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Staffing</w:t>
      </w:r>
    </w:p>
    <w:p>
      <w:pPr>
        <w:spacing w:after="0" w:line="121" w:lineRule="exact"/>
        <w:rPr>
          <w:sz w:val="20"/>
          <w:szCs w:val="20"/>
          <w:color w:val="auto"/>
        </w:rPr>
      </w:pPr>
    </w:p>
    <w:p>
      <w:pPr>
        <w:ind w:left="40" w:right="819" w:firstLine="270"/>
        <w:spacing w:after="0" w:line="286" w:lineRule="auto"/>
        <w:rPr>
          <w:sz w:val="20"/>
          <w:szCs w:val="20"/>
          <w:color w:val="auto"/>
        </w:rPr>
      </w:pPr>
      <w:r>
        <w:rPr>
          <w:rFonts w:ascii="Arial" w:cs="Arial" w:eastAsia="Arial" w:hAnsi="Arial"/>
          <w:sz w:val="17"/>
          <w:szCs w:val="17"/>
          <w:color w:val="auto"/>
        </w:rPr>
        <w:t>Capitala Finance has no employees. Mr. Alala, through his financial interests in the Investment Advisor, will be entitled to a portion of any investment advisory fees paid by Capitala Finance to the Investment Advisor. Our other executive officers are employees of our administrator and perform their functions under the terms of our Administration Agreement.</w:t>
      </w:r>
    </w:p>
    <w:p>
      <w:pPr>
        <w:spacing w:after="0" w:line="57"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Our day-to-day investment operations are managed by the Investment Advisor. The Investment Advisor’s investment team currently consists of the members of its investment committee, Messrs. Alala, McGlinn and</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139"/>
        <w:spacing w:after="0" w:line="277" w:lineRule="auto"/>
        <w:rPr>
          <w:sz w:val="20"/>
          <w:szCs w:val="20"/>
          <w:color w:val="auto"/>
        </w:rPr>
      </w:pPr>
      <w:r>
        <w:rPr>
          <w:rFonts w:ascii="Arial" w:cs="Arial" w:eastAsia="Arial" w:hAnsi="Arial"/>
          <w:sz w:val="18"/>
          <w:szCs w:val="18"/>
          <w:color w:val="auto"/>
        </w:rPr>
        <w:t>Broyhill, and a team of fifteen additional investment professionals. The Investment Advisor may hire additional investment professionals, based upon its needs, in the future. See “— Investment Advisory Agreement.”</w:t>
      </w:r>
    </w:p>
    <w:p>
      <w:pPr>
        <w:spacing w:after="0" w:line="62"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In addition, we reimburse our administrator for our allocable portion of overhead and other expenses incurred by it in performing its obligations under the Administration Agreement, including rent, the fees and expenses associated with performing compliance functions, and the compensation of our chief financial officer, chief compliance officer, and their respective administrative support staff. See “— Administration Agreement.”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VALUATION PROCESS AND DETERMINATION OF NET ASSET VALUE</w:t>
      </w:r>
    </w:p>
    <w:p>
      <w:pPr>
        <w:spacing w:after="0" w:line="121"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We determine the net asset value of our investment portfolio each quarter by subtracting our total liabilities from the fair value of our gross assets.</w:t>
      </w:r>
    </w:p>
    <w:p>
      <w:pPr>
        <w:spacing w:after="0" w:line="62" w:lineRule="exact"/>
        <w:rPr>
          <w:sz w:val="20"/>
          <w:szCs w:val="20"/>
          <w:color w:val="auto"/>
        </w:rPr>
      </w:pPr>
    </w:p>
    <w:p>
      <w:pPr>
        <w:jc w:val="both"/>
        <w:ind w:left="40" w:right="759" w:firstLine="270"/>
        <w:spacing w:after="0" w:line="264" w:lineRule="auto"/>
        <w:rPr>
          <w:sz w:val="20"/>
          <w:szCs w:val="20"/>
          <w:color w:val="auto"/>
        </w:rPr>
      </w:pPr>
      <w:r>
        <w:rPr>
          <w:rFonts w:ascii="Arial" w:cs="Arial" w:eastAsia="Arial" w:hAnsi="Arial"/>
          <w:sz w:val="18"/>
          <w:szCs w:val="18"/>
          <w:color w:val="auto"/>
        </w:rPr>
        <w:t>We conduct the valuation of our assets, pursuant to which our net asset value shall be determined, at all times consistent with U.S. generally accepted accounting principles (“U.S. GAAP”) and the 1940 Act. Our valuation procedures are set forth in more detail below:</w:t>
      </w:r>
    </w:p>
    <w:p>
      <w:pPr>
        <w:spacing w:after="0" w:line="73" w:lineRule="exact"/>
        <w:rPr>
          <w:sz w:val="20"/>
          <w:szCs w:val="20"/>
          <w:color w:val="auto"/>
        </w:rPr>
      </w:pPr>
    </w:p>
    <w:p>
      <w:pPr>
        <w:ind w:left="40" w:right="599" w:firstLine="270"/>
        <w:spacing w:after="0" w:line="279" w:lineRule="auto"/>
        <w:rPr>
          <w:sz w:val="20"/>
          <w:szCs w:val="20"/>
          <w:color w:val="auto"/>
        </w:rPr>
      </w:pPr>
      <w:r>
        <w:rPr>
          <w:rFonts w:ascii="Arial" w:cs="Arial" w:eastAsia="Arial" w:hAnsi="Arial"/>
          <w:sz w:val="17"/>
          <w:szCs w:val="17"/>
          <w:color w:val="auto"/>
        </w:rPr>
        <w:t>Securities for which market quotations are readily available on an exchange shall be valued at such price as of the closing price on the day of valuation. We may also obtain quotes with respect to certain of our investments from pricing services or brokers or dealers in order to value assets. When doing so, we determine whether the quote obtained is sufficient according to U.S. GAAP to determine the fair value of the security. If determined adequate, we use the quote obtained.</w:t>
      </w:r>
    </w:p>
    <w:p>
      <w:pPr>
        <w:spacing w:after="0" w:line="63"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our Investment Advisor or the Board, does not represent fair value, which we expect will represent a substantial majority of the investments in our portfolio, shall be valued as follows: (i) each portfolio company or investment is initially valued by the investment professionals responsible for the portfolio investment; (ii) preliminary valuation conclusions are documented and discussed with our senior management; (iii) independent third-party valuation firms engaged by, or on behalf of, the Board will conduct independent appraisals, review management’s preliminary valuations and prepare separate preliminary valuation conclusions on a selected basis such that each portfolio investment shall be independently reviewed at least annually (investments will not be selected for such review, however, if they (a) have a value as of the previous quarter of less than 1.0% of our gross assets as of the previous quarter, or (b) have a value as of the current quarter of less than 1.0% of our gross assets as of the previous quarter, after taking into account any repayment of principal during the current quarter); and (iv) the Board will discuss valuations and determine the fair value of each investment in our portfolio in good faith based on the input of the Investment Advisor and, where appropriate, the respective third-party valuation firms.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recommendation of fair value will generally be based on the following factors, as relevant:</w:t>
      </w:r>
    </w:p>
    <w:p>
      <w:pPr>
        <w:spacing w:after="0" w:line="117" w:lineRule="exact"/>
        <w:rPr>
          <w:sz w:val="20"/>
          <w:szCs w:val="20"/>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portfolio company’s ability to make payments;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portfolio company’s earnings and discounted cash flow;</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markets in which the issuer does business;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comparisons to publicly traded securities.</w:t>
      </w:r>
    </w:p>
    <w:p>
      <w:pPr>
        <w:spacing w:after="0" w:line="117"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Securities for which market quotations are not readily available or for which a pricing source is not sufficient may include, but are not limited to, the following:</w:t>
      </w:r>
    </w:p>
    <w:p>
      <w:pPr>
        <w:spacing w:after="0" w:line="62" w:lineRule="exact"/>
        <w:rPr>
          <w:sz w:val="20"/>
          <w:szCs w:val="20"/>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private placements and restricted securities that do not have an active trading market;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whose trading has been suspended or for which market quotes are no longer available;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securities that have recently gone into default and for which there is no current market;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whose prices are stale;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securities affected by significant events;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securities that the investment adviser believes were priced incorrectly.</w:t>
      </w:r>
    </w:p>
    <w:p>
      <w:pPr>
        <w:spacing w:after="0" w:line="117" w:lineRule="exact"/>
        <w:rPr>
          <w:sz w:val="20"/>
          <w:szCs w:val="20"/>
          <w:color w:val="auto"/>
        </w:rPr>
      </w:pPr>
    </w:p>
    <w:p>
      <w:pPr>
        <w:ind w:left="40" w:right="779" w:firstLine="270"/>
        <w:spacing w:after="0" w:line="279" w:lineRule="auto"/>
        <w:rPr>
          <w:sz w:val="20"/>
          <w:szCs w:val="20"/>
          <w:color w:val="auto"/>
        </w:rPr>
      </w:pPr>
      <w:r>
        <w:rPr>
          <w:rFonts w:ascii="Arial" w:cs="Arial" w:eastAsia="Arial" w:hAnsi="Arial"/>
          <w:sz w:val="17"/>
          <w:szCs w:val="17"/>
          <w:color w:val="auto"/>
        </w:rPr>
        <w:t>Determination of fair value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 In addition, the SBA has established certain valuation guidelines for SBICs to follow when valuing portfolio investments.</w:t>
      </w:r>
    </w:p>
    <w:p>
      <w:pPr>
        <w:spacing w:after="0" w:line="63"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In making the good faith determination of the value of these securities, we start with the cost basis of the security, which includes the amortized original issue discount and PIK interest or dividends, if any. We prepare the valuations of our investments in portfolio companies using the most recent portfolio company financial statements and forecasts. We also consult updates that we receive from senior management members at portfolio companies, whether solicited for valuation purposes, or received in the ordinary course of our portfolio monitoring or due diligence process. These updates include information such as industry trends, new product development or service offerings and other operational or strategic issues.</w:t>
      </w:r>
    </w:p>
    <w:p>
      <w:pPr>
        <w:spacing w:after="0" w:line="70"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For debt securities that are not publicly traded or for which there is no market, we begin with our investment rating of the security as described above. Using this investment rating, we seek to determine the value of the security as if we intended to sell the security in a current sale. The factors that may be taken into account in arriving at fair value include the following, as applicable: the portfolio company’s ability to service its interest and principal payment obligations, its estimated earnings and projected discounted cash flows, the nature and realizable value of any collateral, the financial environment in which the portfolio company operates, comparisons to securities of similar publicly traded companies, statistical ratios compared to lending standards and to other similarly situated securities, and other relevant factors.</w:t>
      </w:r>
    </w:p>
    <w:p>
      <w:pPr>
        <w:spacing w:after="0" w:line="81"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As part of the valuation process, the audit committee reviews the preliminary evaluations prepared by the independent valuation firm engaged by the Board, as well as management’s valuation recommendations. Management and the independent valuation firm respond to the preliminary evaluation to reflect comments provided by the audit committee. The audit committee reviews the final valuation report and management’s valuation recommendations and makes a recommendation to the Board based on its analysis of the methodologies employed and the various weights that should be accorded to each portion of the valuation as well as factors that the independent valuation firm and management may not have considered in their evaluation process. The Board then evaluates the audit committee recommendations and undertakes a similar analysis to determine the fair value of each investment in the portfolio in good faith.</w:t>
      </w:r>
    </w:p>
    <w:p>
      <w:pPr>
        <w:spacing w:after="0" w:line="7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our investments may differ significantly from the values that would have been used had a ready market existed for such investments, and the differences could be material. Additionally, changes in the market environment and other events that may occur over the life of the investments may cause the gains or losses ultimately realized on these investments to differ from the valuations assigned at any time. For a discussion of the risks inherent in determining the fair value of securities for which readily available market values do not exist, see “Risk Factors.”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In connection with certain future offerings of shares of our common stock, our Board or an authorized committee thereof will be required to make the determination that we are not selling shares of our common stock at a price below the then current net asset value of our common stock at the time at which the sale is made. Our Board or an authorized committee thereof will consider the following factors, among others, in making such a determination:</w:t>
      </w:r>
    </w:p>
    <w:p>
      <w:pPr>
        <w:spacing w:after="0" w:line="79" w:lineRule="exact"/>
        <w:rPr>
          <w:sz w:val="20"/>
          <w:szCs w:val="20"/>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560"/>
        <w:spacing w:after="0"/>
        <w:rPr>
          <w:rFonts w:ascii="Arial" w:cs="Arial" w:eastAsia="Arial" w:hAnsi="Arial"/>
          <w:sz w:val="18"/>
          <w:szCs w:val="18"/>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619" w:hanging="322"/>
        <w:spacing w:after="0" w:line="259"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as of a time within 48 hours (excluding Sundays and holidays) of the sale of our common stock; and</w:t>
      </w:r>
    </w:p>
    <w:p>
      <w:pPr>
        <w:spacing w:after="0" w:line="78" w:lineRule="exact"/>
        <w:rPr>
          <w:rFonts w:ascii="Arial" w:cs="Arial" w:eastAsia="Arial" w:hAnsi="Arial"/>
          <w:sz w:val="18"/>
          <w:szCs w:val="18"/>
          <w:color w:val="auto"/>
        </w:rPr>
      </w:pPr>
    </w:p>
    <w:p>
      <w:pPr>
        <w:ind w:left="600" w:right="619" w:hanging="322"/>
        <w:spacing w:after="0" w:line="273" w:lineRule="auto"/>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magnitude of the difference between (i) a value that our Board or an authorized committee thereof has determined reflects the current (as of a time within 48 hours, excluding Sundays and holidays) net asset value of our common stock, which is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70" w:lineRule="exact"/>
        <w:rPr>
          <w:sz w:val="20"/>
          <w:szCs w:val="20"/>
          <w:color w:val="auto"/>
        </w:rPr>
      </w:pPr>
    </w:p>
    <w:p>
      <w:pPr>
        <w:ind w:left="40" w:right="519" w:firstLine="270"/>
        <w:spacing w:after="0" w:line="289" w:lineRule="auto"/>
        <w:rPr>
          <w:sz w:val="20"/>
          <w:szCs w:val="20"/>
          <w:color w:val="auto"/>
        </w:rPr>
      </w:pPr>
      <w:r>
        <w:rPr>
          <w:rFonts w:ascii="Arial" w:cs="Arial" w:eastAsia="Arial" w:hAnsi="Arial"/>
          <w:sz w:val="16"/>
          <w:szCs w:val="16"/>
          <w:color w:val="auto"/>
        </w:rPr>
        <w:t>Moreover, to the extent that there is even a remote possibility that we may (i) issue shares of our common stock at a price per share below the then current net asset value per share of our common stock at the time at which the sale is made or (ii) trigger the undertaking (which we provide in certain registration statements we file with the SEC) to suspend the offering of shares of our common stock if the net asset value per share of our common stock fluctuates by certain amounts in certain circumstances until the prospectus is amended, our Board will elect, in the case of clause (i) above, either to postpone the offering until such time that there is no longer the possibility of the occurrence of such event or to undertake to determine the net asset value per share of our common stock within two days prior to any such sale to ensure that such sale will not be below our then current net asset value per share and, in the case of clause (ii) above, to comply with such undertaking or to undertake to determine the net asset value per share of our common stock to ensure that such undertaking has not been triggered.</w:t>
      </w:r>
    </w:p>
    <w:p>
      <w:pPr>
        <w:spacing w:after="0" w:line="59"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We compete for investments with other BDCs and investment funds (including private equity funds, private credit funds, mezzanine funds and other SBICs), as well as traditional financial services companies such as commercial banks and other sources of funding. Additionally, competition for investment opportunities has emerged among alternative investment vehicles, such as collateralized loan obligations (“CLOs”) and other BDCs, some of which are sponsored by other alternative asset investors, as these entities have begun to focus on making investments in lower middle-market and traditional middle-market companies. As a result of these new entrants, competition for our investment opportunities may intensify. Many of these entities have greater financial and managerial resources than we do. We believe we will be able to compete with these entities primarily on the basis of our experience and reputation, our willingness to make smaller investments than other specialty finance companies, the contacts and relationships of our Investment Advisor, our responsive and efficient investment analysis and decision-making processes, and the investment terms we offer.</w:t>
      </w:r>
    </w:p>
    <w:p>
      <w:pPr>
        <w:spacing w:after="0" w:line="70" w:lineRule="exact"/>
        <w:rPr>
          <w:sz w:val="20"/>
          <w:szCs w:val="20"/>
          <w:color w:val="auto"/>
        </w:rPr>
      </w:pPr>
    </w:p>
    <w:p>
      <w:pPr>
        <w:ind w:left="40" w:right="679" w:firstLine="270"/>
        <w:spacing w:after="0" w:line="276" w:lineRule="auto"/>
        <w:rPr>
          <w:sz w:val="20"/>
          <w:szCs w:val="20"/>
          <w:color w:val="auto"/>
        </w:rPr>
      </w:pPr>
      <w:r>
        <w:rPr>
          <w:rFonts w:ascii="Arial" w:cs="Arial" w:eastAsia="Arial" w:hAnsi="Arial"/>
          <w:sz w:val="17"/>
          <w:szCs w:val="17"/>
          <w:color w:val="auto"/>
        </w:rPr>
        <w:t>We believe that certain of our competitors may make first lien and second lien loans with interest rates and returns that will be comparable to or lower than the rates and returns that we will target. Therefore, we will not seek to compete solely on the interest rates and returns that we offer to potential portfolio companies. For additional information concerning the competitive risks we face, see “Risk Factors — Risks Relating to Our Business and Structure — We operate in a highly competitive market for investment opportunities, which could reduce returns and result in losses.”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40" w:right="559" w:firstLine="270"/>
        <w:spacing w:after="0" w:line="302" w:lineRule="auto"/>
        <w:rPr>
          <w:sz w:val="20"/>
          <w:szCs w:val="20"/>
          <w:color w:val="auto"/>
        </w:rPr>
      </w:pPr>
      <w:r>
        <w:rPr>
          <w:rFonts w:ascii="Arial" w:cs="Arial" w:eastAsia="Arial" w:hAnsi="Arial"/>
          <w:sz w:val="16"/>
          <w:szCs w:val="16"/>
          <w:color w:val="auto"/>
        </w:rPr>
        <w:t>As a BDC, the Company has elected to be treated, and intends to comply with the requirements to continue to qualify annually, as a RIC under Subchapter M of the Code. As a RIC, we generally will not have to pay corporate-level U.S. federal income taxes on any income that we distribute to our stockholders as dividends. To qualify as a RIC, we must, among other things, meet certain source-of-income and asset diversification requirements (as described below). In addition, to qualify for RIC tax treatment we must</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639"/>
        <w:spacing w:after="0" w:line="264" w:lineRule="auto"/>
        <w:rPr>
          <w:sz w:val="20"/>
          <w:szCs w:val="20"/>
          <w:color w:val="auto"/>
        </w:rPr>
      </w:pPr>
      <w:r>
        <w:rPr>
          <w:rFonts w:ascii="Arial" w:cs="Arial" w:eastAsia="Arial" w:hAnsi="Arial"/>
          <w:sz w:val="18"/>
          <w:szCs w:val="18"/>
          <w:color w:val="auto"/>
        </w:rPr>
        <w:t>distribute to our stockholders, for each taxable year, at least 90% of our “investment company taxable income,” which generally is our ordinary income plus the excess of our realized net short-term capital gains over our realized net long-term capital losses (the “Annual Distribution Requirement”).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any taxable year in which we:</w:t>
      </w:r>
    </w:p>
    <w:p>
      <w:pPr>
        <w:spacing w:after="0" w:line="117" w:lineRule="exact"/>
        <w:rPr>
          <w:sz w:val="20"/>
          <w:szCs w:val="20"/>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117" w:lineRule="exact"/>
        <w:rPr>
          <w:sz w:val="20"/>
          <w:szCs w:val="20"/>
          <w:color w:val="auto"/>
        </w:rPr>
      </w:pPr>
    </w:p>
    <w:p>
      <w:pPr>
        <w:jc w:val="both"/>
        <w:ind w:left="40" w:right="679"/>
        <w:spacing w:after="0" w:line="342" w:lineRule="auto"/>
        <w:rPr>
          <w:sz w:val="20"/>
          <w:szCs w:val="20"/>
          <w:color w:val="auto"/>
        </w:rPr>
      </w:pPr>
      <w:r>
        <w:rPr>
          <w:rFonts w:ascii="Arial" w:cs="Arial" w:eastAsia="Arial" w:hAnsi="Arial"/>
          <w:sz w:val="16"/>
          <w:szCs w:val="16"/>
          <w:color w:val="auto"/>
        </w:rPr>
        <w:t>we generally will not be subject to U.S. federal income tax on the portion of our income we distribute to stockholders. We will be subject to U.S. federal income tax at the regular corporate rates on any income or capital gains not distributed to our stockholders.</w:t>
      </w:r>
    </w:p>
    <w:p>
      <w:pPr>
        <w:spacing w:after="0" w:line="16"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income recognized, but not distributed, in preceding years and on which we paid no corporate-level U.S. federal income tax (the “Excise Tax Distribution Requirement”).</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order to qualify as a RIC for U.S. federal income tax purposes, we must, among other things:</w:t>
      </w:r>
    </w:p>
    <w:p>
      <w:pPr>
        <w:spacing w:after="0" w:line="117" w:lineRule="exact"/>
        <w:rPr>
          <w:sz w:val="20"/>
          <w:szCs w:val="20"/>
          <w:color w:val="auto"/>
        </w:rPr>
      </w:pPr>
    </w:p>
    <w:p>
      <w:pPr>
        <w:ind w:left="600" w:hanging="32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to qualify as a BDC under the 1940 Act at all times during each taxable year;</w:t>
      </w:r>
    </w:p>
    <w:p>
      <w:pPr>
        <w:spacing w:after="0" w:line="117" w:lineRule="exact"/>
        <w:rPr>
          <w:rFonts w:ascii="Arial" w:cs="Arial" w:eastAsia="Arial" w:hAnsi="Arial"/>
          <w:sz w:val="18"/>
          <w:szCs w:val="18"/>
          <w:color w:val="auto"/>
        </w:rPr>
      </w:pPr>
    </w:p>
    <w:p>
      <w:pPr>
        <w:ind w:left="600" w:right="619" w:hanging="322"/>
        <w:spacing w:after="0" w:line="259"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loans of certain securities, gains from the sale or other disposition of stock, securities or foreign currencies, net income from certain “qualified publicly traded partnerships,” or other income derived with respect to our business of investing in such stock or securities (the “90% Income Test”); and</w:t>
      </w:r>
    </w:p>
    <w:p>
      <w:pPr>
        <w:spacing w:after="0" w:line="78" w:lineRule="exact"/>
        <w:rPr>
          <w:rFonts w:ascii="Arial" w:cs="Arial" w:eastAsia="Arial" w:hAnsi="Arial"/>
          <w:sz w:val="18"/>
          <w:szCs w:val="18"/>
          <w:color w:val="auto"/>
        </w:rPr>
      </w:pPr>
    </w:p>
    <w:p>
      <w:pPr>
        <w:ind w:left="600" w:hanging="32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17" w:lineRule="exact"/>
        <w:rPr>
          <w:rFonts w:ascii="Arial" w:cs="Arial" w:eastAsia="Arial" w:hAnsi="Arial"/>
          <w:sz w:val="18"/>
          <w:szCs w:val="18"/>
          <w:color w:val="auto"/>
        </w:rPr>
      </w:pPr>
    </w:p>
    <w:p>
      <w:pPr>
        <w:ind w:left="880" w:right="579" w:hanging="332"/>
        <w:spacing w:after="0" w:line="286" w:lineRule="auto"/>
        <w:tabs>
          <w:tab w:leader="none" w:pos="8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7" w:lineRule="exact"/>
        <w:rPr>
          <w:rFonts w:ascii="Arial" w:cs="Arial" w:eastAsia="Arial" w:hAnsi="Arial"/>
          <w:sz w:val="17"/>
          <w:szCs w:val="17"/>
          <w:color w:val="auto"/>
        </w:rPr>
      </w:pPr>
    </w:p>
    <w:p>
      <w:pPr>
        <w:ind w:left="880" w:right="679" w:hanging="332"/>
        <w:spacing w:after="0" w:line="259" w:lineRule="auto"/>
        <w:tabs>
          <w:tab w:leader="none" w:pos="8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“Diversification Tests”).</w:t>
      </w:r>
    </w:p>
    <w:p>
      <w:pPr>
        <w:spacing w:after="0" w:line="79"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Qualified earnings may exclude such income as management fees received in connection with our SBIC subsidiaries or other potential outside managed funds and certain other fees.</w:t>
      </w:r>
    </w:p>
    <w:p>
      <w:pPr>
        <w:spacing w:after="0" w:line="62"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stock). In no event will any stockholder, electing to receive cash, receive less than 20% of his or her entire distribution in cash. If these and certain other requirements are met, for U.S. federal income tax purposes, the amount of the dividend paid in stock will be equal to the amount of cash that could have been received instead of stock. We have no current intention of paying dividends in shares of our stock in accordance with these Treasury regulations or private letter rulings.</w:t>
      </w:r>
    </w:p>
    <w:p>
      <w:pPr>
        <w:spacing w:after="0" w:line="200" w:lineRule="exact"/>
        <w:rPr>
          <w:sz w:val="20"/>
          <w:szCs w:val="20"/>
          <w:color w:val="auto"/>
        </w:rPr>
      </w:pPr>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debt obligations that are treated under applicable tax rules as having original issue discount (such as debt instruments with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PIK interest, deferred loan origination fees that are paid after origination of the loan or are paid in non-cash compensation such as warrants or stock, or certain income with respect to equity investments in foreign corporations.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70"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Gain or loss realized by us from the sale or exchange of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3"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Distribution Requirement, we may make such dispositions at times that, from an investment standpoint, are not advantageous. If we are prohibited from making distributions or are unable to obtain cash from other sources to make the distributions, we may fail to qualify as a RIC, which would result in us becoming subject to corporate-level U.S. federal income tax.</w:t>
      </w:r>
    </w:p>
    <w:p>
      <w:pPr>
        <w:spacing w:after="0" w:line="89"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In addition, we will be partially dependent on our SBIC subsidiaries for cash distributions to enable us to meet the RIC distribution requirements. Our SBIC subsidiaries may be limited by the Small Business Investment Act of 1958, and SBA regulations governing SBICs, from making certain distributions to us that may be necessary to maintain our status as a RIC. We may have to request a waiver of the SBA’s restrictions for our SBIC subsidiaries to make certain distributions to maintain our RIC status. We cannot assure you that the SBA will grant such waiver. If our SBIC subsidiaries are unable to obtain a waiver, compliance with the SBA regulations may cause us to fail to qualify as a RIC, which would result in us becoming subject to corporate-level U.S. federal income tax.</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remainder of this discussion assumes that we will qualify as a RIC and have satisfied the Annual Distribution Requirement.</w:t>
      </w:r>
    </w:p>
    <w:p>
      <w:pPr>
        <w:spacing w:after="0" w:line="140" w:lineRule="exact"/>
        <w:rPr>
          <w:sz w:val="20"/>
          <w:szCs w:val="20"/>
          <w:color w:val="auto"/>
        </w:rPr>
      </w:pPr>
    </w:p>
    <w:p>
      <w:pPr>
        <w:ind w:left="40" w:right="659" w:firstLine="270"/>
        <w:spacing w:after="0" w:line="297" w:lineRule="auto"/>
        <w:rPr>
          <w:sz w:val="20"/>
          <w:szCs w:val="20"/>
          <w:color w:val="auto"/>
        </w:rPr>
      </w:pPr>
      <w:r>
        <w:rPr>
          <w:rFonts w:ascii="Arial" w:cs="Arial" w:eastAsia="Arial" w:hAnsi="Arial"/>
          <w:sz w:val="16"/>
          <w:szCs w:val="16"/>
          <w:color w:val="auto"/>
        </w:rPr>
        <w:t>Any transactions in options, futures contracts, constructive sales, hedging, straddle, conversion or similar transactions, and forward contracts will be subject to special tax rules, the effect of which may be to accelerate income to us, defer losses, cause adjustments to the holding periods of our investments, convert long-term capital gains into short-term capital gains, convert short-term capital losses into long-term capital losses or have other tax consequences. These rules could affect the amount, timing and character of distributions to stockholders. We do not currently intend to engage in these types of transactions.</w:t>
      </w:r>
    </w:p>
    <w:p>
      <w:pPr>
        <w:spacing w:after="0" w:line="50"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A RIC is limited in its ability to deduct expenses in excess of its “investment company taxable income” (which is, generally, ordinary income plus net realized short-term capital gains in excess of net realized long-term capital losses). If our expenses in a given year exceed gross taxable income (e.g., as the result of large amounts of equity-based compensation),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059"/>
        <w:spacing w:after="0" w:line="277" w:lineRule="auto"/>
        <w:rPr>
          <w:sz w:val="20"/>
          <w:szCs w:val="20"/>
          <w:color w:val="auto"/>
        </w:rPr>
      </w:pPr>
      <w:r>
        <w:rPr>
          <w:rFonts w:ascii="Arial" w:cs="Arial" w:eastAsia="Arial" w:hAnsi="Arial"/>
          <w:sz w:val="18"/>
          <w:szCs w:val="18"/>
          <w:color w:val="auto"/>
        </w:rPr>
        <w:t>from such liquidations. In the event we realize net capital gains from such transactions, you may receive a larger capital gain distribution than you would have received in the absence of such transactions.</w:t>
      </w:r>
    </w:p>
    <w:p>
      <w:pPr>
        <w:spacing w:after="0" w:line="62"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Investment income received from sources within foreign countries, or capital gains earned by investing in securities of foreign issuers, may be subject to foreign income taxes withheld at the source. In this regard, withholding tax rates in countries with which the United States does not have a tax treaty are often as high as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We do not anticipate being eligible for the special election that allows a RIC to treat foreign income taxes paid by such RIC as paid by its stockholders.</w:t>
      </w:r>
    </w:p>
    <w:p>
      <w:pPr>
        <w:spacing w:after="0" w:line="70"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If we acquire stock in certain foreign corporations that receive at least 75% of their annual gross income from passive sources (such as interest, dividends, rents, royalties or capital gain) or hold at least 50% of their total assets in investments producing such passive income (“passive foreign investment companies”), we could be subject to U.S. federal income tax and additional interest charges on “excess distributions” received from such companies or gain from the sale of stock in such companies, even if all income or gain actually received by us is timely distributed to our stockholders. We would not be able to pass through to our stockholders any credit or deduction for such a tax. Certain elections may, if available, ameliorate these adverse tax consequences, but any such election requires us to recognize taxable income or gain without the concurrent receipt of cash. We intend to limit and/or manage our holdings in passive foreign investment companies to minimize our tax liability. In addition, under recently proposed regulations, income required to be included as a result of such an election would not be qualifying income for purposes of the 90% Income Test unless we receive a distribution of such income from the passive foreign investment company in the same taxable year to which the inclusion relates.</w:t>
      </w:r>
    </w:p>
    <w:p>
      <w:pPr>
        <w:spacing w:after="0" w:line="75"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Foreign exchange gains and losses realized by us in connection with certain transactions involving non-dollar debt securities, certain foreign currency futures contracts, foreign currency option contracts, foreign currency forward contracts, foreign currencies, or payables or receivables denominated in a foreign currency are subject to Code provisions that generally treat such gains and losses as ordinary income and losses and may affect the amount, timing and character of distributions to our stockholders. Any such transactions that are not directly related to our investment in securities (possibly including speculative currency positions or currency derivatives not used for hedging purposes) could, under future Treasury regulations, produce income not among the types of “qualifying income” from which a RIC must derive at least 90% of its annual gross income.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ACQUISITION OF PORTFOLIO ASSETS OF THE LEGACY FUNDS</w:t>
      </w:r>
    </w:p>
    <w:p>
      <w:pPr>
        <w:spacing w:after="0" w:line="12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We believe that our acquisition of the Legacy Funds’ portfolio assets in exchange for shares of our common stock generally was tax free to us and the Legacy Funds. As a result, our initial adjusted basis in the Legacy Funds’ portfolio assets was equal to the Legacy Funds’ adjusted basis in such assets immediately prior to our acquisition of such assets increased by any gain recognized by the Legacy Funds as a result of such transaction. Such adjusted basis will be used in determining the amount of our taxable gain or loss upon a sale or other disposition of such assets. To the extent that such assets had built-in gain (i.e., assets whose fair market value exceeds our tax basis at the time we acquired them) on the date of acquisition, when such gain is recognized by us upon a sale or other disposition such assets, we will be required to distribute such gain to our shareholders in order to eliminate our liability for corporate-level U.S. federal income tax on such gain and possibly to maintain our qualification as a RIC under the Code. Investors will be subject to tax on the distribution even though such gain accrued prior to our acquisition of such assets and even though the distribution effectively represents a return of their investment.</w:t>
      </w:r>
    </w:p>
    <w:p>
      <w:pPr>
        <w:spacing w:after="0" w:line="70"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In addition, to the extent that any beneficial owner of interests in the Legacy Funds on the date of our acquisition of the Legacy Funds’ portfolio assets was a C corporation (a “corporate partner”), we will be required to pay a corporate-level U.S. federal income tax on the net amount of any such built-in gains attributable to the corporate partners that we recognize during the ten-year period (or shorter applicable period) beginning on the date of acquisition. Alternatively, we may make a special election to cause the gain to be recognized at the time of the acquisition. In that event, the Legacy Funds would be required to</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72" w:lineRule="auto"/>
        <w:rPr>
          <w:sz w:val="20"/>
          <w:szCs w:val="20"/>
          <w:color w:val="auto"/>
        </w:rPr>
      </w:pPr>
      <w:r>
        <w:rPr>
          <w:rFonts w:ascii="Arial" w:cs="Arial" w:eastAsia="Arial" w:hAnsi="Arial"/>
          <w:sz w:val="17"/>
          <w:szCs w:val="17"/>
          <w:color w:val="auto"/>
        </w:rPr>
        <w:t>recognize such built-in gain as if a proportionate share of such Funds’ assets were sold at the time of the acquisition. We do not anticipate making this election at this time. Any corporate-level built-in gain tax is payable at the time the built-in gains are recognized (which generally will be the years in which the built-in gain assets are sold in a taxable transaction). The amount of this tax will vary depending on the assets that are actually sold by us in this 10-year period (or shorter applicable period), the actual amount of net built-in gain or loss present in those assets as of the acquisition date and effective tax rates. The payment of any such corporate-level U.S. federal income tax on built-in gains will be a company expense that will be borne by all shareholders (not just any former corporate partners) and will reduce the amount available for distribution to shareholders.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p>
    <w:p>
      <w:pPr>
        <w:spacing w:after="0" w:line="73"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to the extent of our current and accumulated earnings and profits and, subject to certain limitations, may be eligible for the 20% maximum rate for noncorporate taxpayers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corporate-level U.S. federal income tax on such built-in gain at the time of our requalification as a RIC.</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A BDC is regulated under the 1940 Act. A BDC must be organized in the U.S.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in primarily privately owned companies.</w:t>
      </w:r>
    </w:p>
    <w:p>
      <w:pPr>
        <w:spacing w:after="0" w:line="80"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85"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will be required to provide and maintain a bond issued by a reputable fidelity insurance company to protect the BDC. Furthermore, as a BDC, we will be prohibited</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from protecting any director or officer against any liability to us or our stockholders arising from willful misfeasance, bad faith, gross negligence or reckless disregard of the duties involved in the conduct of such person’s office.</w:t>
      </w:r>
    </w:p>
    <w:p>
      <w:pPr>
        <w:spacing w:after="0" w:line="62"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 On June 1, 2016, the SEC issued an order permitting exemptive relief to us and certain of our affiliates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This exemptive relief is subject to certain conditions designed to ensure that the participation by one investment fund in a co-investment transaction would not be on a basis different from or less advantageous than that of other affiliated funds.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generally not able to issue and sell our common stock at a price below net asset value per share. See “Risk</w:t>
      </w:r>
    </w:p>
    <w:p>
      <w:pPr>
        <w:spacing w:after="0" w:line="23" w:lineRule="exact"/>
        <w:rPr>
          <w:sz w:val="20"/>
          <w:szCs w:val="20"/>
          <w:color w:val="auto"/>
        </w:rPr>
      </w:pPr>
    </w:p>
    <w:p>
      <w:pPr>
        <w:ind w:left="40" w:right="539"/>
        <w:spacing w:after="0" w:line="268" w:lineRule="auto"/>
        <w:rPr>
          <w:sz w:val="20"/>
          <w:szCs w:val="20"/>
          <w:color w:val="auto"/>
        </w:rPr>
      </w:pPr>
      <w:r>
        <w:rPr>
          <w:rFonts w:ascii="Arial" w:cs="Arial" w:eastAsia="Arial" w:hAnsi="Arial"/>
          <w:sz w:val="17"/>
          <w:szCs w:val="17"/>
          <w:color w:val="auto"/>
        </w:rPr>
        <w:t>Factors — Risks Relating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We may, however, sell our common stock, or warrants, options or rights to acquire our common stock, at a price below the then-current net asset value of our common stock if our Board determines that such sale is in our best interests and the best interests of our stockholders, and our stockholders approve our policy and practice of making such sales. In any such case, under such circumstances, the price at which our common stock to be issued and sold may not be less than a price which, in the determination of our Board, closely approximates the market value of such common stock. In addition, we may generally issue new shares of our common stock at a price below net asset value in rights offerings to existing stockholders, in payment of dividends and in certain other limited circumstances.</w:t>
      </w:r>
    </w:p>
    <w:p>
      <w:pPr>
        <w:spacing w:after="0" w:line="74"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As a BDC, we are generally limited in our ability to invest in any portfolio company in which our Investment Advisor or any of its affiliates currently has an investment or to make any co-investments with our Investment Advisor or its affiliates without an exemptive order from the SEC, subject to certain exceptions. On September 10, 2015, we, Fund II, Fund III, Fund V, and the Investment Advisor filed an application for exemptive relief with the SEC to permit an investment fund and one or more affiliated investment funds, including future affiliated investment funds, to participate in the same investment opportunities through a proposed co-investment program where such participation would otherwise be prohibited under the 1940 Act. On June 1, 2016, the SEC issued an order permitting this relief. This exemptive relief is subject to certain conditions designed to ensure that the participation by one investment fund in a co-investment transaction would not be on a basis different from or less advantageous than that of other affiliated investment funds.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17" w:lineRule="exact"/>
        <w:rPr>
          <w:sz w:val="20"/>
          <w:szCs w:val="20"/>
          <w:color w:val="auto"/>
        </w:rPr>
      </w:pPr>
    </w:p>
    <w:p>
      <w:pPr>
        <w:ind w:left="40" w:right="1319" w:firstLine="270"/>
        <w:spacing w:after="0" w:line="277" w:lineRule="auto"/>
        <w:rPr>
          <w:sz w:val="20"/>
          <w:szCs w:val="20"/>
          <w:color w:val="auto"/>
        </w:rPr>
      </w:pPr>
      <w:r>
        <w:rPr>
          <w:rFonts w:ascii="Arial" w:cs="Arial" w:eastAsia="Arial" w:hAnsi="Arial"/>
          <w:sz w:val="18"/>
          <w:szCs w:val="18"/>
          <w:color w:val="auto"/>
        </w:rPr>
        <w:t>As a BDC, we are subject to certain risks and uncertainties. See “Risk Factors — Risks Relating to Our Business and Structure.”</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immediately after such acquisition is made, qualifying assets represent at least 70% of the BDC’s gross assets (the “70% Test”). The principal categories of qualifying assets relevant to our proposed business are the following:</w:t>
      </w:r>
    </w:p>
    <w:p>
      <w:pPr>
        <w:spacing w:after="0" w:line="79" w:lineRule="exact"/>
        <w:rPr>
          <w:sz w:val="20"/>
          <w:szCs w:val="20"/>
          <w:color w:val="auto"/>
        </w:rPr>
      </w:pPr>
    </w:p>
    <w:p>
      <w:pPr>
        <w:ind w:left="600" w:hanging="322"/>
        <w:spacing w:after="0"/>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the issuer of which is an eligible portfolio company;</w:t>
      </w:r>
    </w:p>
    <w:p>
      <w:pPr>
        <w:spacing w:after="0" w:line="140" w:lineRule="exact"/>
        <w:rPr>
          <w:rFonts w:ascii="Arial" w:cs="Arial" w:eastAsia="Arial" w:hAnsi="Arial"/>
          <w:sz w:val="16"/>
          <w:szCs w:val="16"/>
          <w:color w:val="auto"/>
        </w:rPr>
      </w:pPr>
    </w:p>
    <w:p>
      <w:pPr>
        <w:ind w:left="600" w:right="679" w:hanging="322"/>
        <w:spacing w:after="0" w:line="277"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with respect to securities described in the bullet above or pursuant to the exercise of options, warrants or rights relating to such securities; and</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759" w:hanging="322"/>
        <w:spacing w:after="0" w:line="277"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Cash, cash items, government securities or high quality debt securities (within the meaning of the 1940 Act), maturing in one year or less from the time of investment.</w:t>
      </w:r>
    </w:p>
    <w:p>
      <w:pPr>
        <w:spacing w:after="0" w:line="62"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color w:val="auto"/>
        </w:rPr>
        <w:t>An eligible portfolio company is generally a domestic company that is not an investment company (other than a SBIC wholly owned by a BDC) and that:</w:t>
      </w:r>
    </w:p>
    <w:p>
      <w:pPr>
        <w:spacing w:after="0" w:line="62" w:lineRule="exact"/>
        <w:rPr>
          <w:sz w:val="20"/>
          <w:szCs w:val="20"/>
          <w:color w:val="auto"/>
        </w:rPr>
      </w:pPr>
    </w:p>
    <w:p>
      <w:pPr>
        <w:ind w:left="600" w:right="859" w:hanging="322"/>
        <w:spacing w:after="0" w:line="277"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does not have a class of securities with respect to which a broker may extend margin credit at the time the acquisition is made;</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controlled by the BDC and has an affiliate of the BDC on its Board;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17"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a public company that lists its securities on a national securities exchange with a market capitalization of less than $250 million; or</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meets such other criteria as may be established by the SEC.</w:t>
      </w:r>
    </w:p>
    <w:p>
      <w:pPr>
        <w:spacing w:after="0" w:line="117" w:lineRule="exact"/>
        <w:rPr>
          <w:sz w:val="20"/>
          <w:szCs w:val="20"/>
          <w:color w:val="auto"/>
        </w:rPr>
      </w:pPr>
    </w:p>
    <w:p>
      <w:pPr>
        <w:ind w:left="40" w:right="819" w:firstLine="270"/>
        <w:spacing w:after="0" w:line="277" w:lineRule="auto"/>
        <w:rPr>
          <w:sz w:val="20"/>
          <w:szCs w:val="20"/>
          <w:color w:val="auto"/>
        </w:rPr>
      </w:pPr>
      <w:r>
        <w:rPr>
          <w:rFonts w:ascii="Arial" w:cs="Arial" w:eastAsia="Arial" w:hAnsi="Arial"/>
          <w:sz w:val="18"/>
          <w:szCs w:val="18"/>
          <w:color w:val="auto"/>
        </w:rPr>
        <w:t>Control, as defined by the 1940 Act, is presumed to exist where a BDC beneficially owns more than 25% of the outstanding voting securities of the portfolio company.</w:t>
      </w:r>
    </w:p>
    <w:p>
      <w:pPr>
        <w:spacing w:after="0" w:line="62" w:lineRule="exact"/>
        <w:rPr>
          <w:sz w:val="20"/>
          <w:szCs w:val="20"/>
          <w:color w:val="auto"/>
        </w:rPr>
      </w:pPr>
    </w:p>
    <w:p>
      <w:pPr>
        <w:ind w:left="40" w:right="639" w:firstLine="270"/>
        <w:spacing w:after="0" w:line="342" w:lineRule="auto"/>
        <w:rPr>
          <w:sz w:val="20"/>
          <w:szCs w:val="20"/>
          <w:color w:val="auto"/>
        </w:rPr>
      </w:pPr>
      <w:r>
        <w:rPr>
          <w:rFonts w:ascii="Arial" w:cs="Arial" w:eastAsia="Arial" w:hAnsi="Arial"/>
          <w:sz w:val="16"/>
          <w:szCs w:val="16"/>
          <w:color w:val="auto"/>
        </w:rPr>
        <w:t>In addition, a BDC must have been organized and have its principal place of business in the U.S. and must be operated for the purpose of making investments in eligible portfolio companies, or in other securities that are consistent with its purpose as a BDC.</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MANAGERIAL ASSISTANCE TO PORTFOLIO COMPANIES</w:t>
      </w:r>
    </w:p>
    <w:p>
      <w:pPr>
        <w:spacing w:after="0" w:line="121"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color w:val="auto"/>
        </w:rPr>
        <w:t>BDCs generally must offer to make available to the issuer of the securities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left="40" w:right="659" w:firstLine="270"/>
        <w:spacing w:after="0" w:line="269"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under the Code. Thus, we do not intend to enter into repurchase agreements with a single counterparty in excess of this limit. Our Investment Advisor will monitor the creditworthiness of the counterparties with which we enter into repurchase agreement transactions.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ind w:left="40" w:right="579" w:firstLine="270"/>
        <w:spacing w:after="0" w:line="293"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On June 10, 2014, we received an exemptive order from the SEC granting relief from the asset coverage requirements for certain indebtedness issued by Fund II and Fund III as SBICs.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59"/>
        <w:spacing w:after="0" w:line="308" w:lineRule="auto"/>
        <w:rPr>
          <w:sz w:val="20"/>
          <w:szCs w:val="20"/>
          <w:color w:val="auto"/>
        </w:rPr>
      </w:pPr>
      <w:r>
        <w:rPr>
          <w:rFonts w:ascii="Arial" w:cs="Arial" w:eastAsia="Arial" w:hAnsi="Arial"/>
          <w:sz w:val="17"/>
          <w:szCs w:val="17"/>
          <w:color w:val="auto"/>
        </w:rPr>
        <w:t>to 5% of the value of our gross assets for temporary or emergency purposes without regard to asset coverage. For a discussion of the risks associated with leverage, see “Risk Factors — Risks Relating to Our Business and Structure.”</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40" w:right="599" w:firstLine="270"/>
        <w:spacing w:after="0" w:line="254" w:lineRule="auto"/>
        <w:rPr>
          <w:sz w:val="20"/>
          <w:szCs w:val="20"/>
          <w:color w:val="auto"/>
        </w:rPr>
      </w:pPr>
      <w:r>
        <w:rPr>
          <w:rFonts w:ascii="Arial" w:cs="Arial" w:eastAsia="Arial" w:hAnsi="Arial"/>
          <w:sz w:val="18"/>
          <w:szCs w:val="18"/>
          <w:color w:val="auto"/>
        </w:rPr>
        <w:t xml:space="preserve">We and our Investment Advisor have adopted a code of ethics pursuant to Rule 17j-1 under the 1940 Act and Rule 204A-1 under the Advisers Act that establishes procedures for personal investments and restricts certain transactions by our personnel. Our code of ethics generally does not permit investments by our employees in securities that may be purchased or held by us. You may read and copy our code of ethics at the SEC’s Public Reference Room in Washington, D.C. You may obtain information on the operation of the Public Reference Room by calling the SEC at 1-800-SEC-0330. You may also obtain copies of the code of ethics, after paying a duplicating fee, by electronic request at the following email address: publicinfo@sec.gov, or by writing the SEC’s Public Reference Section, 100 F Street, N.E., Washington, D.C. 20549. Our code of ethics is also available on our website at </w:t>
      </w:r>
      <w:r>
        <w:rPr>
          <w:rFonts w:ascii="Arial" w:cs="Arial" w:eastAsia="Arial" w:hAnsi="Arial"/>
          <w:sz w:val="18"/>
          <w:szCs w:val="18"/>
          <w:i w:val="1"/>
          <w:iCs w:val="1"/>
          <w:color w:val="auto"/>
        </w:rPr>
        <w:t>http://www.Capitalagroup.com</w:t>
      </w:r>
      <w:r>
        <w:rPr>
          <w:rFonts w:ascii="Arial" w:cs="Arial" w:eastAsia="Arial" w:hAnsi="Arial"/>
          <w:sz w:val="18"/>
          <w:szCs w:val="18"/>
          <w:color w:val="auto"/>
        </w:rPr>
        <w: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left="40" w:right="699" w:firstLine="270"/>
        <w:spacing w:after="0" w:line="302" w:lineRule="auto"/>
        <w:rPr>
          <w:sz w:val="20"/>
          <w:szCs w:val="20"/>
          <w:color w:val="auto"/>
        </w:rPr>
      </w:pPr>
      <w:r>
        <w:rPr>
          <w:rFonts w:ascii="Arial" w:cs="Arial" w:eastAsia="Arial" w:hAnsi="Arial"/>
          <w:sz w:val="16"/>
          <w:szCs w:val="16"/>
          <w:color w:val="auto"/>
        </w:rPr>
        <w:t>We and our Investment Advisor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Richard G. Wheelahan, III currently serves as our chief compliance officer.</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The Sarbanes-Oxley Act of 2002 imposes a wide variety of regulatory requirements on publicly-held companies and their insiders. Many of these requirements affect us. For example:</w:t>
      </w:r>
    </w:p>
    <w:p>
      <w:pPr>
        <w:spacing w:after="0" w:line="62" w:lineRule="exact"/>
        <w:rPr>
          <w:sz w:val="20"/>
          <w:szCs w:val="20"/>
          <w:color w:val="auto"/>
        </w:rPr>
      </w:pPr>
    </w:p>
    <w:p>
      <w:pPr>
        <w:ind w:left="600" w:right="1159" w:hanging="322"/>
        <w:spacing w:after="0" w:line="277"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62" w:lineRule="exact"/>
        <w:rPr>
          <w:rFonts w:ascii="Arial" w:cs="Arial" w:eastAsia="Arial" w:hAnsi="Arial"/>
          <w:sz w:val="18"/>
          <w:szCs w:val="18"/>
          <w:color w:val="auto"/>
        </w:rPr>
      </w:pPr>
    </w:p>
    <w:p>
      <w:pPr>
        <w:ind w:left="600" w:right="739" w:hanging="322"/>
        <w:spacing w:after="0" w:line="277"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62" w:lineRule="exact"/>
        <w:rPr>
          <w:rFonts w:ascii="Arial" w:cs="Arial" w:eastAsia="Arial" w:hAnsi="Arial"/>
          <w:sz w:val="18"/>
          <w:szCs w:val="18"/>
          <w:color w:val="auto"/>
        </w:rPr>
      </w:pPr>
    </w:p>
    <w:p>
      <w:pPr>
        <w:ind w:left="600" w:right="619" w:hanging="322"/>
        <w:spacing w:after="0" w:line="259"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is required to prepare an annual report regarding its assessment of our internal control over financial reporting. When we are no longer an emerging growth company under the JOBS Act, our independent registered public accounting firm will be required to audit our internal controls over financial reporting; and</w:t>
      </w:r>
    </w:p>
    <w:p>
      <w:pPr>
        <w:spacing w:after="0" w:line="78" w:lineRule="exact"/>
        <w:rPr>
          <w:rFonts w:ascii="Arial" w:cs="Arial" w:eastAsia="Arial" w:hAnsi="Arial"/>
          <w:sz w:val="18"/>
          <w:szCs w:val="18"/>
          <w:color w:val="auto"/>
        </w:rPr>
      </w:pPr>
    </w:p>
    <w:p>
      <w:pPr>
        <w:ind w:left="600" w:right="659" w:hanging="322"/>
        <w:spacing w:after="0" w:line="259"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79" w:lineRule="exact"/>
        <w:rPr>
          <w:sz w:val="20"/>
          <w:szCs w:val="20"/>
          <w:color w:val="auto"/>
        </w:rPr>
      </w:pPr>
    </w:p>
    <w:p>
      <w:pPr>
        <w:ind w:left="40" w:right="699" w:firstLine="270"/>
        <w:spacing w:after="0" w:line="312" w:lineRule="auto"/>
        <w:rPr>
          <w:sz w:val="20"/>
          <w:szCs w:val="20"/>
          <w:color w:val="auto"/>
        </w:rPr>
      </w:pPr>
      <w:r>
        <w:rPr>
          <w:rFonts w:ascii="Arial" w:cs="Arial" w:eastAsia="Arial" w:hAnsi="Arial"/>
          <w:sz w:val="16"/>
          <w:szCs w:val="16"/>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We have delegated our proxy voting responsibility to the Investment Advisor. The proxy voting policies and procedures of the Investment Advisor are set forth below. The guidelines will be reviewed periodically by the Investment Advisor and our non-interested directors, and, accordingly, are subject to change. For purposes of the proxy voting policies and procedures described below, “we,” “our” and “us” refers to the Investment Advisor.</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Proxy Policies</w:t>
      </w:r>
    </w:p>
    <w:p>
      <w:pPr>
        <w:spacing w:after="0" w:line="117" w:lineRule="exact"/>
        <w:rPr>
          <w:sz w:val="20"/>
          <w:szCs w:val="20"/>
          <w:color w:val="auto"/>
        </w:rPr>
      </w:pPr>
    </w:p>
    <w:p>
      <w:pPr>
        <w:ind w:left="40" w:right="679" w:firstLine="270"/>
        <w:spacing w:after="0" w:line="302" w:lineRule="auto"/>
        <w:rPr>
          <w:sz w:val="20"/>
          <w:szCs w:val="20"/>
          <w:color w:val="auto"/>
        </w:rPr>
      </w:pPr>
      <w:r>
        <w:rPr>
          <w:rFonts w:ascii="Arial" w:cs="Arial" w:eastAsia="Arial" w:hAnsi="Arial"/>
          <w:sz w:val="16"/>
          <w:szCs w:val="16"/>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46"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Our proxy voting decisions will be made by the senior officers who are responsible for monitoring each of our clients’ investments. To ensure that our vote is not the product of a conflict of interest, we will require that: (1) anyone involved in the decision making process disclose to our managing member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117"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Capitala Investment Advisors, LLC, 4201 Congress Street, Suite 360, Charlotte, North Carolina 28209.</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left="40" w:right="819" w:firstLine="270"/>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3" w:lineRule="exact"/>
        <w:rPr>
          <w:sz w:val="20"/>
          <w:szCs w:val="20"/>
          <w:color w:val="auto"/>
        </w:rPr>
      </w:pPr>
    </w:p>
    <w:p>
      <w:pPr>
        <w:ind w:left="40" w:right="919" w:firstLine="270"/>
        <w:spacing w:after="0" w:line="279" w:lineRule="auto"/>
        <w:rPr>
          <w:sz w:val="20"/>
          <w:szCs w:val="20"/>
          <w:color w:val="auto"/>
        </w:rPr>
      </w:pPr>
      <w:r>
        <w:rPr>
          <w:rFonts w:ascii="Arial" w:cs="Arial" w:eastAsia="Arial" w:hAnsi="Arial"/>
          <w:sz w:val="17"/>
          <w:szCs w:val="17"/>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63"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Advisor and its affiliates with a legitimate business need for the information. We will maintain physical, electronic and procedural safeguards designed to protect the non-public personal information of our stockholders.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SMALL BUSINESS INVESTMENT COMPANY REGULATIONS</w:t>
      </w:r>
    </w:p>
    <w:p>
      <w:pPr>
        <w:spacing w:after="0" w:line="121"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Fund II and Fund III, which are our wholly owned subsidiaries, are licensed to act as SBICs and are regulated by the SBA. As of December 31, 2016, investments in Fund II and Fund III accounted for approximately 10.9% and 48.0%, respectively, of our total portfolio. As of December 31, 2016 Fund II and Fund III had $20.7 million and $150.0 million, respectively, of SBA-guaranteed debentures outstanding under the SBIC program. Fund II and Fund III are fully drawn and may not make borrowings in excess of their aggregate $170.7 million of SBA-guaranteed debentures outstanding as of December 31, 2016.</w:t>
      </w:r>
    </w:p>
    <w:p>
      <w:pPr>
        <w:spacing w:after="0" w:line="64"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The SBIC licenses allow our SBIC subsidiaries to borrow funds by issuing SBA-guaranteed debentures, subject to the issuance of a capital commitment by the SBA and other customary procedures. The SBA regulations require, among other things, that a licensed SBIC be examined periodically and audited by an independent auditor to determine the SBIC’s compliance with the relevant SBA regulations. SBA-guaranteed debentures are non-recourse, interest-only debentures with interest payable semi-annually and have a ten year maturity. The principal amount of SBA-guaranteed debentures is not required to be paid prior to maturity but may be prepaid at any time without penalty. The interest rate of SBA-guaranteed debentures is fixed at the time of issuance at a market-driven spread over U.S. Treasury Notes with 10-year maturities.</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SBICs are designed to stimulate the flow of private equity capital to eligible small businesses. Under current SBA regulations, a licensed SBIC may provide capital to those entities that have a tangible net worth not exceeding $19.5 million and an average annual net income after U.S. federal income taxes not exceeding $6.5 million for the two most recent fiscal years. In addition, a licensed SBIC must devote 25.0% of its investment activity to those entities that have a tangible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factors such as the number of employees and gross sales. The SBA regulations permit licensed SBICs to make long-term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a few prohibited industries. Compliance with SBA requirements may cause Fund II and Fund III to forego attractive investment opportunities that are not permitted under SBA regulations.</w:t>
      </w:r>
    </w:p>
    <w:p>
      <w:pPr>
        <w:spacing w:after="0" w:line="72"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color w:val="auto"/>
        </w:rPr>
        <w:t>Further, the SBA regulations require that a licensed SBIC be periodically examined and audited by the SBA to determine its compliance with the relevant SBA regulations. The SBA prohibits, without prior SBA approval, a “change of control” of an SBIC or transfers that would result in any person (or a group of persons acting in concert) owning 10.0% or more of a class of capital stock of a licensed SBIC. If either Fund II or Fund III fails to comply with applicable SBA regulations, the SBA could, depending on the severity of the violation, limit or prohibit Fund II’s and Fund III’s use of debentures, declare outstanding debentures immediately due and payable, and/or limit Fund II and Fund III from making new investments. Such actions by the SBA would, in turn, negatively affect us because Fund II and Fund III are our wholly owned subsidiaries. Fund II and Fund III were in compliance with the terms of the SBA’s leverage as of December 31, 2016 as a result of having sufficient capital as defined under the SBA regulations.</w:t>
      </w:r>
    </w:p>
    <w:p>
      <w:pPr>
        <w:spacing w:after="0" w:line="89" w:lineRule="exact"/>
        <w:rPr>
          <w:sz w:val="20"/>
          <w:szCs w:val="20"/>
          <w:color w:val="auto"/>
        </w:rPr>
      </w:pPr>
    </w:p>
    <w:p>
      <w:pPr>
        <w:ind w:left="40" w:right="679" w:firstLine="270"/>
        <w:spacing w:after="0" w:line="272" w:lineRule="auto"/>
        <w:rPr>
          <w:sz w:val="20"/>
          <w:szCs w:val="20"/>
          <w:color w:val="auto"/>
        </w:rPr>
      </w:pPr>
      <w:r>
        <w:rPr>
          <w:rFonts w:ascii="Arial" w:cs="Arial" w:eastAsia="Arial" w:hAnsi="Arial"/>
          <w:sz w:val="17"/>
          <w:szCs w:val="17"/>
          <w:color w:val="auto"/>
        </w:rPr>
        <w:t>In December 2015, the 2016 omnibus spending bill approved by Congress and signed into law by the President increased the amount of SBA-guaranteed debentures that affiliated SBIC funds can have outstanding from $225.0 million to $350.0 million, subject to SBA approval. SBA regulations currently limit the amount that an SBIC subsidiary may borrow to a maximum of $150 million when it has at least $75 million in regulatory capital. Affiliated SBICs are permitted to issue up to a combined maximum amount of $350 million when they have at least $175 million in regulatory capital. As of December 31, 2016, Fund II had $26.2 million in regulatory capital and $20.7 million in SBA-guaranteed debentures outstanding and Fund III had $75.0 million in regulatory capital and $150.0 million in SBA-guaranteed debentures outstanding.</w:t>
      </w:r>
    </w:p>
    <w:p>
      <w:pPr>
        <w:spacing w:after="0" w:line="7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On June 10, 2014, we received exemptive relief from the SEC to permit us to exclude the debt of our SBIC subsidiaries guaranteed by the SBA from the definition of senior securities in the 200% asset coverage test under the 1940 Act. This provides us with increased flexibility under the 200% asset coverage test by permitting us to borrow up to $170.7 million more than we would otherwise be able to absent the receipt of this exemptive relief.</w:t>
      </w:r>
    </w:p>
    <w:p>
      <w:pPr>
        <w:spacing w:after="0" w:line="79" w:lineRule="exact"/>
        <w:rPr>
          <w:sz w:val="20"/>
          <w:szCs w:val="20"/>
          <w:color w:val="auto"/>
        </w:rPr>
      </w:pPr>
    </w:p>
    <w:p>
      <w:pPr>
        <w:ind w:left="40" w:right="699" w:firstLine="270"/>
        <w:spacing w:after="0" w:line="273" w:lineRule="auto"/>
        <w:rPr>
          <w:sz w:val="20"/>
          <w:szCs w:val="20"/>
          <w:color w:val="auto"/>
        </w:rPr>
      </w:pPr>
      <w:r>
        <w:rPr>
          <w:rFonts w:ascii="Arial" w:cs="Arial" w:eastAsia="Arial" w:hAnsi="Arial"/>
          <w:sz w:val="17"/>
          <w:szCs w:val="17"/>
          <w:color w:val="auto"/>
        </w:rPr>
        <w:t>Our SBIC subsidiaries are subject to regulation and oversight by the SBA, including requirements with respect to maintaining certain minimum financial ratios and other covenants. Receipt of SBIC licenses does not assure that our SBIC subsidiaries will receive SBA-guaranteed debenture funding, which is dependent upon our SBIC subsidiaries continuing to be in compliance with SBA regulations and policies. The SBA, as a creditor, will have a superior claim to our SBIC subsidiaries’ assets over our stockholders in the event we liquidate our SBIC subsidiaries or the SBA exercises its remedies under the SBA-guaranteed debentures issued by our SBIC subsidiaries upon an event of default.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NASDAQ GLOBAL SELECT MARKET REQUIREMENTS</w:t>
      </w:r>
    </w:p>
    <w:p>
      <w:pPr>
        <w:spacing w:after="0" w:line="121" w:lineRule="exact"/>
        <w:rPr>
          <w:sz w:val="20"/>
          <w:szCs w:val="20"/>
          <w:color w:val="auto"/>
        </w:rPr>
      </w:pPr>
    </w:p>
    <w:p>
      <w:pPr>
        <w:ind w:left="40" w:right="779" w:firstLine="270"/>
        <w:spacing w:after="0" w:line="264" w:lineRule="auto"/>
        <w:rPr>
          <w:sz w:val="20"/>
          <w:szCs w:val="20"/>
          <w:color w:val="auto"/>
        </w:rPr>
      </w:pPr>
      <w:r>
        <w:rPr>
          <w:rFonts w:ascii="Arial" w:cs="Arial" w:eastAsia="Arial" w:hAnsi="Arial"/>
          <w:sz w:val="18"/>
          <w:szCs w:val="18"/>
          <w:color w:val="auto"/>
        </w:rPr>
        <w:t>We have adopted certain policies and procedures intended to comply with the NASDAQ Global Select Market’s corporate governance rules. We will continue to monitor our compliance with all future listing standards that are approved by the SEC and will take actions necessary to ensure that we are in compliance therewith.</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 xml:space="preserve">Our executive offices are located at 4201 Congress Street, Suite 360, Charlotte, NC 28209. We maintain a website located at </w:t>
      </w:r>
      <w:r>
        <w:rPr>
          <w:rFonts w:ascii="Arial" w:cs="Arial" w:eastAsia="Arial" w:hAnsi="Arial"/>
          <w:sz w:val="18"/>
          <w:szCs w:val="18"/>
          <w:i w:val="1"/>
          <w:iCs w:val="1"/>
          <w:color w:val="auto"/>
        </w:rPr>
        <w:t xml:space="preserve">www.Capitalagroup.com </w:t>
      </w:r>
      <w:r>
        <w:rPr>
          <w:rFonts w:ascii="Arial" w:cs="Arial" w:eastAsia="Arial" w:hAnsi="Arial"/>
          <w:sz w:val="18"/>
          <w:szCs w:val="18"/>
          <w:color w:val="auto"/>
        </w:rPr>
        <w:t>and our phone number is (704) 376-5502. We make available free of charge on our website 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annual report on Form 10-K, quarterly reports on Form 10-Q, current reports on Form 8-K, and amendments to those reports as soon as reasonably practical after we file such material with, or furnish to, the U.S. Securities and Exchange Commission. Information contained on our website is not incorporated by reference into this Annual Report on Form 10-K and you should not consider information contained on our website to be part of this Annual Report on Form 10-K or any other report we file with the SEC.</w:t>
      </w:r>
    </w:p>
    <w:p>
      <w:pPr>
        <w:spacing w:after="0" w:line="81"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 xml:space="preserve">The SEC also maintains a website that contains reports, proxy and information statements and other information we file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 Copies of these reports, proxy and information statements and other information may also be obtained, after paying a duplicating fee, by electronic request at publicinfo@sec.gov, or by writing to the SEC’s Public Reference Section, 100 F Street, N.E., Washington, D.C. 20549-0102. Information on the operation of the Public Reference Room may be obtained by calling the SEC at 1-800-SEC-0330.</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i w:val="1"/>
          <w:iCs w:val="1"/>
          <w:color w:val="auto"/>
        </w:rPr>
        <w:t>Before you invest in our common stock, you should be aware of various risks, including those described below. The risks set out below are not the only risks we face. If any of the following events occur, our business, financial condition and results of operations could be materially adversely affected. In such case, our net asset value could decline, and you may lose all or part of your investment.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have a limited operating history as a BDC.</w:t>
      </w:r>
    </w:p>
    <w:p>
      <w:pPr>
        <w:spacing w:after="0" w:line="117"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Capitala Finance was formed in February 2013 and has only operated as a BDC since September 2013. As a result, we are subject to many of the business risks and uncertainties associated with recently formed businesses, including the risk that we will not achieve our investment objective and that the value of your investment could decline substantially. As a BDC, we are subject to the regulatory requirements of the SEC, in addition to the specific regulatory requirements applicable to BDCs under the 1940 Act and RICs under the Code. Our management and that of the Investment Advisor did not have any prior experience operating under this regulatory framework, and we incur substantial costs, and expend significant time or other resources, to operate under this regulatory framework. From time to time, the Investment Advisor may pursue investment opportunities in which it has more limited experience. We may also be unable to replicate the historical performance of prior investment funds managed by our management team. In addition, we may be unable to generate sufficient revenue from our operations to make or sustain distributions to our stockholders.</w:t>
      </w:r>
    </w:p>
    <w:p>
      <w:pPr>
        <w:spacing w:after="0" w:line="97" w:lineRule="exact"/>
        <w:rPr>
          <w:sz w:val="20"/>
          <w:szCs w:val="20"/>
          <w:color w:val="auto"/>
        </w:rPr>
      </w:pPr>
    </w:p>
    <w:p>
      <w:pPr>
        <w:jc w:val="both"/>
        <w:ind w:left="40" w:right="959"/>
        <w:spacing w:after="0" w:line="264" w:lineRule="auto"/>
        <w:rPr>
          <w:sz w:val="20"/>
          <w:szCs w:val="20"/>
          <w:color w:val="auto"/>
        </w:rPr>
      </w:pPr>
      <w:r>
        <w:rPr>
          <w:rFonts w:ascii="Arial" w:cs="Arial" w:eastAsia="Arial" w:hAnsi="Arial"/>
          <w:sz w:val="18"/>
          <w:szCs w:val="18"/>
          <w:b w:val="1"/>
          <w:bCs w:val="1"/>
          <w:i w:val="1"/>
          <w:iCs w:val="1"/>
          <w:color w:val="auto"/>
        </w:rPr>
        <w:t>Our investment portfolio is recorded at fair value, with our Board having final responsibility for overseeing, reviewing and approving, in good faith, its estimate of fair value and, as a result, there may be uncertainty as to the value of our portfolio investments.</w:t>
      </w:r>
    </w:p>
    <w:p>
      <w:pPr>
        <w:spacing w:after="0" w:line="73"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Under the 1940 Act, we are required to carry our portfolio investments at market value or, if there is no readily available market value, at fair value as determined by us, with our Board having final responsibility for overseeing, reviewing and approving, in good faith, our estimate of fair value. Typically, there will not be a public market for the securities of the privately held companies in which we invest. As a result, we value these securities quarterly at fair value based on input from management, a third-party independent valuation firm and our audit committee, and with the oversight, review and approval of our Board.</w:t>
      </w:r>
    </w:p>
    <w:p>
      <w:pPr>
        <w:spacing w:after="0" w:line="50" w:lineRule="exact"/>
        <w:rPr>
          <w:sz w:val="20"/>
          <w:szCs w:val="20"/>
          <w:color w:val="auto"/>
        </w:rPr>
      </w:pPr>
    </w:p>
    <w:p>
      <w:pPr>
        <w:ind w:left="40" w:right="619" w:firstLine="270"/>
        <w:spacing w:after="0" w:line="269" w:lineRule="auto"/>
        <w:rPr>
          <w:sz w:val="20"/>
          <w:szCs w:val="20"/>
          <w:color w:val="auto"/>
        </w:rPr>
      </w:pPr>
      <w:r>
        <w:rPr>
          <w:rFonts w:ascii="Arial" w:cs="Arial" w:eastAsia="Arial" w:hAnsi="Arial"/>
          <w:sz w:val="17"/>
          <w:szCs w:val="17"/>
          <w:color w:val="auto"/>
        </w:rPr>
        <w:t>The determination of fair value and, consequently, the amount of unrealized gains and losses in our portfolio, are to a certain degree, subjective and dependent on a valuation process approved by our Board.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fair value determinations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would receive a lower price for their shares than the value of our investments might warrant. In addition, we may not be able to realize the values on our investments needed to pay interest on our borrowings.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financial condition and results of operations depend on our ability to effectively manage and deploy capital.</w:t>
      </w:r>
    </w:p>
    <w:p>
      <w:pPr>
        <w:spacing w:after="0" w:line="129"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Our ability to achieve our investment objective depends on our ability to effectively manage and deploy capital, which depends, in turn, on our Investment Advisor’s ability to identify, evaluate and monitor, and our ability to finance and invest in, companies that meet our investment criteria.</w:t>
      </w:r>
    </w:p>
    <w:p>
      <w:pPr>
        <w:spacing w:after="0" w:line="73"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Accomplishing our investment objective on a cost-effective basis is largely a function of our Investment Advisor’s handling of the investment process, its ability to provide competent, attentive and efficient services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302" w:lineRule="auto"/>
        <w:rPr>
          <w:sz w:val="20"/>
          <w:szCs w:val="20"/>
          <w:color w:val="auto"/>
        </w:rPr>
      </w:pPr>
      <w:r>
        <w:rPr>
          <w:rFonts w:ascii="Arial" w:cs="Arial" w:eastAsia="Arial" w:hAnsi="Arial"/>
          <w:sz w:val="16"/>
          <w:szCs w:val="16"/>
          <w:color w:val="auto"/>
        </w:rPr>
        <w:t>and our access to investments offering acceptable terms. In addition to monitoring the performance of our existing investments, our Investment Advisor’s investment team may also be called upon, from time to time, to provide managerial assistance to some of our portfolio companies as well as other funds that they manage. These demands on their time may distract them or slow our rate of investment. See also “— There are significant potential conflicts of interest that could negatively affect our investment returns.”</w:t>
      </w:r>
    </w:p>
    <w:p>
      <w:pPr>
        <w:spacing w:after="0" w:line="46"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Even if we are able to grow and build upon our investment operations, any failure to manage our growth effectively could have a material adverse effect on our business, financial condition, results of operations and prospects. The results of our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it could negatively impact our ability to make distributions.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depend upon Capitala Investment Advisors’ key personnel for our future success.</w:t>
      </w:r>
    </w:p>
    <w:p>
      <w:pPr>
        <w:spacing w:after="0" w:line="117"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We depend on the diligence, skill and network of business contacts of Joseph B. Alala, III, Hunt Broyhill and John F. McGlinn, who serve as the members of the investment committee of the Investment Advisor and lead the Investment Advisor’s investment team. Our success depends on the continued service of these individuals and the other senior investment professionals available to the Investment Advisor. We cannot assure you that unforeseen business, medical, personal or other circumstances would not lead Messrs. Alala, Broyhill or McGlinn or any other such individual to terminate his relationship with us. Such a termination could have a material adverse effect on our ability to achieve our investment objective as well as on our financial condition and results of operations. In addition, we can offer no assurance that the Investment Advisor will continue indefinitely as our investment adviser.</w:t>
      </w:r>
    </w:p>
    <w:p>
      <w:pPr>
        <w:spacing w:after="0" w:line="59"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The members of the Investment Advisor’s investment team are and may in the future become affiliated with entities engaged in business activities similar to those intended to be conducted by us, and may have conflicts of interest in allocating their time. For example, an affiliate of the Investment Advisor also manages Fund V, a private investment limited partnership providing financing solutions to the lower middle-market and traditional middle-market. Mr. Alala dedicates a significant portion of his time to the activities of Capitala Finance; however, he may become engaged in other business activities that could divert his time and attention in the future.</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operate in a highly competitive market for investment opportunities, which could reduce returns and result in losses.</w:t>
      </w:r>
    </w:p>
    <w:p>
      <w:pPr>
        <w:spacing w:after="0" w:line="140"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We compete for investments with other BDCs with similar investment strategies, private equity funds with similar investment strategies, venture lending funds, finance companies with venture lending units and banks focused on venture lending. Many of our potential competitors are substantially larger and have considerably greater financial, technical and marketing resources than we have. For example, some competitors may have a lower cost of capital and access to funding sources that are not available to us. In addition, some of our competitors have higher risk tolerances or different risk assessments than we have. These characteristics might allow our competitors to consider a wider variety of investments, establish more relationships or offer better pricing and more flexible structuring than we are able to offer. We may lose investment opportunities if we do not match our competitors’ pricing, terms or structure. If we are forced to match our competitors’ pricing, terms or structure, we may not be able to achieve acceptable returns on our investments or may bear substantial risk of capital loss. We believe a significant part of our competitive advantage stems from the fact that the market for investments in lower and traditional middle-market companies is underserved by traditional commercial banks and other financing sources. A significant increase in the number and/or the size of our competitors in this target market could force us to accept less attractive investment terms. Furthermore, many of our potential competitors have greater experience operating under, or will not be subject to, the regulatory restrictions that the 1940 Act impose on us as a BDC.</w:t>
      </w: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819"/>
        <w:spacing w:after="0" w:line="277" w:lineRule="auto"/>
        <w:rPr>
          <w:sz w:val="20"/>
          <w:szCs w:val="20"/>
          <w:color w:val="auto"/>
        </w:rPr>
      </w:pPr>
      <w:r>
        <w:rPr>
          <w:rFonts w:ascii="Arial" w:cs="Arial" w:eastAsia="Arial" w:hAnsi="Arial"/>
          <w:sz w:val="18"/>
          <w:szCs w:val="18"/>
          <w:b w:val="1"/>
          <w:bCs w:val="1"/>
          <w:i w:val="1"/>
          <w:iCs w:val="1"/>
          <w:color w:val="auto"/>
        </w:rPr>
        <w:t>Any inability of our Capitala Investment Advisors to maintain or develop strong referral relationships, or the failure of these relationships to generate investment opportunities, could adversely affect our business.</w:t>
      </w:r>
    </w:p>
    <w:p>
      <w:pPr>
        <w:spacing w:after="0" w:line="62"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We depend upon our Investment Advisor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our Investment Advisor fails to maintain such relationships, or to develop new relationships with other sources of investment opportunities, we will not be able to grow our investment portfolio. In addition, individuals with whom our Investment Advisor has relationships are not obligated to provide us with investment opportunities, and we can offer no assurance that these relationships will generate investment opportunities for us in the future.</w:t>
      </w:r>
    </w:p>
    <w:p>
      <w:pPr>
        <w:spacing w:after="0" w:line="122"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b w:val="1"/>
          <w:bCs w:val="1"/>
          <w:i w:val="1"/>
          <w:iCs w:val="1"/>
          <w:color w:val="auto"/>
        </w:rPr>
        <w:t>Our success depends on the ability of Capitala Investment Advisors to attract and retain qualified personnel in a competitive environment.</w:t>
      </w:r>
    </w:p>
    <w:p>
      <w:pPr>
        <w:spacing w:after="0" w:line="62"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Our growth requires that the Investment Advisor retain and attract new investment and administrative personnel in a competitive market. Its ability to attract and retain personnel with the requisite credentials, experience and skills depends on several factors including, but not limited to, its ability to offer competitive wages, benefits and professional growth opportunities. Many of the entities with which the Investment Advisor competes for experienced personnel, including investment funds (such as private equity funds, credit funds and mezzanine funds) and traditional financial services companies, have greater resources than the Investment Advisor has.</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that could negatively affect our investment returns.</w:t>
      </w:r>
    </w:p>
    <w:p>
      <w:pPr>
        <w:spacing w:after="0" w:line="117" w:lineRule="exact"/>
        <w:rPr>
          <w:sz w:val="20"/>
          <w:szCs w:val="20"/>
          <w:color w:val="auto"/>
        </w:rPr>
      </w:pPr>
    </w:p>
    <w:p>
      <w:pPr>
        <w:ind w:left="40" w:right="779" w:firstLine="270"/>
        <w:spacing w:after="0" w:line="293" w:lineRule="auto"/>
        <w:rPr>
          <w:sz w:val="20"/>
          <w:szCs w:val="20"/>
          <w:color w:val="auto"/>
        </w:rPr>
      </w:pPr>
      <w:r>
        <w:rPr>
          <w:rFonts w:ascii="Arial" w:cs="Arial" w:eastAsia="Arial" w:hAnsi="Arial"/>
          <w:sz w:val="16"/>
          <w:szCs w:val="16"/>
          <w:color w:val="auto"/>
        </w:rPr>
        <w:t>The members of the Investment Advisor’s investment team also monitor and service other affiliated investment funds. In addition, our executive officers and directors, as well as the current and future members of our Investment Advisor’s investment team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However, the Investment Advisor’s investment team does not intend to sponsor or manage another BDC with an investment strategy that is substantially similar to our investment strategy.</w:t>
      </w:r>
    </w:p>
    <w:p>
      <w:pPr>
        <w:spacing w:after="0" w:line="57" w:lineRule="exact"/>
        <w:rPr>
          <w:sz w:val="20"/>
          <w:szCs w:val="20"/>
          <w:color w:val="auto"/>
        </w:rPr>
      </w:pPr>
    </w:p>
    <w:p>
      <w:pPr>
        <w:ind w:left="40" w:right="639" w:firstLine="270"/>
        <w:spacing w:after="0" w:line="268" w:lineRule="auto"/>
        <w:rPr>
          <w:sz w:val="20"/>
          <w:szCs w:val="20"/>
          <w:color w:val="auto"/>
        </w:rPr>
      </w:pPr>
      <w:r>
        <w:rPr>
          <w:rFonts w:ascii="Arial" w:cs="Arial" w:eastAsia="Arial" w:hAnsi="Arial"/>
          <w:sz w:val="17"/>
          <w:szCs w:val="17"/>
          <w:color w:val="auto"/>
        </w:rPr>
        <w:t>In the course of our investing activities, we pay management and incentive fees to the Investment Advisor and reimburse the Investment Advisor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Advisor will have interests that differ from those of our stockholders, giving rise to a conflict. The Investment Advisor will not be reimbursed for any performance-related compensation for its employees. We have entered into a royalty-free license agreement with our Investment Advisor, pursuant to which the Investment Advisor grants us a non-exclusive royalty-free license to use the name “Capitala.” Under the license agreement, we have the right to use the “Capitala” name for so long as the Investment Advisor or one of its affiliates remains our Investment Advisor. In addition, we pay our Administrator our allocable portion of overhead and other expenses incurred by our Administrator in performing its obligations under the Administration Agreement, including rent, the fees and expenses associated with performing compliance functions, and our allocable portion of the compensation of our chief financial officer, chief compliance officer and their respective administrative support staff. These arrangements create conflicts of interest that our Board must monitor.</w:t>
      </w:r>
    </w:p>
    <w:p>
      <w:pPr>
        <w:spacing w:after="0" w:line="80" w:lineRule="exact"/>
        <w:rPr>
          <w:sz w:val="20"/>
          <w:szCs w:val="20"/>
          <w:color w:val="auto"/>
        </w:rPr>
      </w:pPr>
    </w:p>
    <w:p>
      <w:pPr>
        <w:ind w:left="40" w:right="739" w:firstLine="270"/>
        <w:spacing w:after="0" w:line="291" w:lineRule="auto"/>
        <w:rPr>
          <w:sz w:val="20"/>
          <w:szCs w:val="20"/>
          <w:color w:val="auto"/>
        </w:rPr>
      </w:pPr>
      <w:r>
        <w:rPr>
          <w:rFonts w:ascii="Arial" w:cs="Arial" w:eastAsia="Arial" w:hAnsi="Arial"/>
          <w:sz w:val="16"/>
          <w:szCs w:val="16"/>
          <w:color w:val="auto"/>
        </w:rPr>
        <w:t>In addition, an affiliate of the Investment Advisor also manages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Fund V, a private investment limited partnership providing financing solutions to the lower middle-market and traditional middle-market. The Investment Advisor and its affiliates may also manage other funds in the future that may have investment mandates that are similar, in whole or in</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91" w:lineRule="auto"/>
        <w:rPr>
          <w:sz w:val="20"/>
          <w:szCs w:val="20"/>
          <w:color w:val="auto"/>
        </w:rPr>
      </w:pPr>
      <w:r>
        <w:rPr>
          <w:rFonts w:ascii="Arial" w:cs="Arial" w:eastAsia="Arial" w:hAnsi="Arial"/>
          <w:sz w:val="16"/>
          <w:szCs w:val="16"/>
          <w:color w:val="auto"/>
        </w:rPr>
        <w:t>part to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 However, we do expect to make co-investments with Fund V given its similar investment strategy.</w:t>
      </w:r>
    </w:p>
    <w:p>
      <w:pPr>
        <w:spacing w:after="0" w:line="59"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As a BDC, we are substantially limited in our ability to co-invest in privately negotiated transactions with affiliated funds unless we obtain an exemptive order from the SEC. 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permitting this relief. This exemptive relief is subject to certain conditions designed to ensure that the participation by one investment fund in a co-investment transaction would not be on a basis different from or less advantageous than that of other affiliated investment funds.</w:t>
      </w:r>
    </w:p>
    <w:p>
      <w:pPr>
        <w:spacing w:after="0" w:line="84"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and us, companies controlled by us or our executive officers and directors. We will not enter into any agreements unless and until we are satisfied that doing so will not raise concerns under the 1940 Act or, if such concerns exist, we have taken appropriate actions to seek review and approval by our Board or exemptive relief for such transaction. Our Board will review these procedures on an annual basis.</w:t>
      </w:r>
    </w:p>
    <w:p>
      <w:pPr>
        <w:spacing w:after="0" w:line="97" w:lineRule="exact"/>
        <w:rPr>
          <w:sz w:val="20"/>
          <w:szCs w:val="20"/>
          <w:color w:val="auto"/>
        </w:rPr>
      </w:pPr>
    </w:p>
    <w:p>
      <w:pPr>
        <w:ind w:left="40" w:right="699"/>
        <w:spacing w:after="0" w:line="342" w:lineRule="auto"/>
        <w:rPr>
          <w:sz w:val="20"/>
          <w:szCs w:val="20"/>
          <w:color w:val="auto"/>
        </w:rPr>
      </w:pPr>
      <w:r>
        <w:rPr>
          <w:rFonts w:ascii="Arial" w:cs="Arial" w:eastAsia="Arial" w:hAnsi="Arial"/>
          <w:sz w:val="16"/>
          <w:szCs w:val="16"/>
          <w:b w:val="1"/>
          <w:bCs w:val="1"/>
          <w:i w:val="1"/>
          <w:iCs w:val="1"/>
          <w:color w:val="auto"/>
        </w:rPr>
        <w:t>The investment committee and other investment professionals of Capitala Investment Advisors may, from time to time, possess material non-public information about or related to our portfolio companies, limiting our investment discretion.</w:t>
      </w:r>
    </w:p>
    <w:p>
      <w:pPr>
        <w:spacing w:after="0" w:line="16"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Members of our Investment Advisor’s investment committee and other investment professionals of the Investment Advisor may serve as directors of, or in a similar capacity to, portfolio companies in which we invest.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involvement of our interested directors in the valuation process may create conflicts of interest.</w:t>
      </w:r>
    </w:p>
    <w:p>
      <w:pPr>
        <w:spacing w:after="0" w:line="117"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We make many of our portfolio investments in the form of loans and securities that are not publicly traded and for which no market-based price quotation is available. As a result, our Board determines the fair value of these loans and securities in good faith as described in the section titled “Valuation of Investments” in Note 2 to our Consolidated Financial Statements. In connection with that determination, investment professionals from the Investment Advisor may provide our Board with valuations based upon the most recent portfolio company financial statements available and projected financial results of each portfolio company. While the valuation for certain portfolio investments is reviewed by an independent valuation firm quarterly, the ultimate determination of fair value is made by our Board, including our interested directors, and not by such third-party valuation firm. The participation of the Investment Advisor’s investment professionals in our valuation process could result in conflicts of interest as the Investment Advisor’s management fee is based, in part, on the value of our gross assets, and its incentive fees will be based, in part, on realized gains and realized and unrealized losses.</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539"/>
        <w:spacing w:after="0" w:line="302" w:lineRule="auto"/>
        <w:rPr>
          <w:sz w:val="20"/>
          <w:szCs w:val="20"/>
          <w:color w:val="auto"/>
        </w:rPr>
      </w:pPr>
      <w:r>
        <w:rPr>
          <w:rFonts w:ascii="Arial" w:cs="Arial" w:eastAsia="Arial" w:hAnsi="Arial"/>
          <w:sz w:val="16"/>
          <w:szCs w:val="16"/>
          <w:b w:val="1"/>
          <w:bCs w:val="1"/>
          <w:i w:val="1"/>
          <w:iCs w:val="1"/>
          <w:color w:val="auto"/>
        </w:rPr>
        <w:t>The terms of the Investment Advisory Agreement with Capitala Investment Advisors and the Administration Agreement with our Administrator were not negotiated on an arm’s length basis and may not be as favorable to us as if they had been negotiated with an unaffiliated third-party, including an incentive fee structure that may induce Capitala Investment Advisors to pursue speculative investments, and to use leverage when it may be unwise to do so.</w:t>
      </w:r>
    </w:p>
    <w:p>
      <w:pPr>
        <w:spacing w:after="0" w:line="46"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Investment Advisory Agreement and the Administration Agreement were negotiated between related parties. Consequently, their terms, including fees payable to the Investment Advisor and the Administrator, may not be as favorable to us as if they had been negotiated with an unaffiliated third-party.</w:t>
      </w:r>
    </w:p>
    <w:p>
      <w:pPr>
        <w:spacing w:after="0" w:line="73"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The incentive fee payable by us to the Investment Advisor may create an incentive for the Investment Advisor to pursue investments on our behalf that are riskier or more speculative than would be the case in the absence of such compensation arrangement. The incentive fee payable to our Investment Advisor is calculated based on a percentage of our return on invested capital. This may encourage our Investment Advisor to use leverage to increase the return on our investments. Under certain circumstances, the use of leverage may increase the likelihood of default, which would impair the value of our common stock. In addition, our Investment Advisor receives the incentive fee based, in part, upon net capital gains realized on our investments. Unlike that portion of the incentive fee based on income, there is no hurdle rate applicable to the portion of the incentive fee based on net capital gains. As a result, the Investment Advisor may have a tendency to invest more capital in investments that are likely to result in capital gains as compared to income-producing securities. Such a practice could result in our investing in more speculative securities than would otherwise be the case, which could result in higher investment losses, particularly during economic downturns.</w:t>
      </w:r>
    </w:p>
    <w:p>
      <w:pPr>
        <w:spacing w:after="0" w:line="85" w:lineRule="exact"/>
        <w:rPr>
          <w:sz w:val="20"/>
          <w:szCs w:val="20"/>
          <w:color w:val="auto"/>
        </w:rPr>
      </w:pPr>
    </w:p>
    <w:p>
      <w:pPr>
        <w:ind w:left="40" w:right="739" w:firstLine="270"/>
        <w:spacing w:after="0" w:line="272" w:lineRule="auto"/>
        <w:rPr>
          <w:sz w:val="20"/>
          <w:szCs w:val="20"/>
          <w:color w:val="auto"/>
        </w:rPr>
      </w:pPr>
      <w:r>
        <w:rPr>
          <w:rFonts w:ascii="Arial" w:cs="Arial" w:eastAsia="Arial" w:hAnsi="Arial"/>
          <w:sz w:val="17"/>
          <w:szCs w:val="17"/>
          <w:color w:val="auto"/>
        </w:rPr>
        <w:t>Although we currently do not anticipate doing so, we may invest, to the extent permitted by law, in the securities and instruments of other investment companies, including private funds, and, to the extent we so invest, will bear our ratable share of any such investment company’s expenses, including management and performance fees. We also remain obligated to pay management and incentive fees to our Investment Advisor with respect to the assets invested in the securities and instruments of other investment companies. With respect to each of these investments, each of our stockholders will bear his or her share of the management and our Investment Advisor’s incentive fee as well as indirectly bearing the management and performance fees and other expenses of any investment companies in which we invest.</w:t>
      </w:r>
    </w:p>
    <w:p>
      <w:pPr>
        <w:spacing w:after="0" w:line="110" w:lineRule="exact"/>
        <w:rPr>
          <w:sz w:val="20"/>
          <w:szCs w:val="20"/>
          <w:color w:val="auto"/>
        </w:rPr>
      </w:pPr>
    </w:p>
    <w:p>
      <w:pPr>
        <w:ind w:left="40" w:right="579"/>
        <w:spacing w:after="0" w:line="264" w:lineRule="auto"/>
        <w:rPr>
          <w:sz w:val="20"/>
          <w:szCs w:val="20"/>
          <w:color w:val="auto"/>
        </w:rPr>
      </w:pPr>
      <w:r>
        <w:rPr>
          <w:rFonts w:ascii="Arial" w:cs="Arial" w:eastAsia="Arial" w:hAnsi="Arial"/>
          <w:sz w:val="18"/>
          <w:szCs w:val="18"/>
          <w:b w:val="1"/>
          <w:bCs w:val="1"/>
          <w:i w:val="1"/>
          <w:iCs w:val="1"/>
          <w:color w:val="auto"/>
        </w:rPr>
        <w:t>Capitala Investment Advisors’ liability is limited under the Investment Advisory Agreement, and we have agreed to indemnify Capitala Investment Advisors against certain liabilities, which may lead Capitala Investment Advisors to act in a riskier manner on our behalf than it would when acting for its own account.</w:t>
      </w:r>
    </w:p>
    <w:p>
      <w:pPr>
        <w:spacing w:after="0" w:line="73"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Under the Investment Advisory Agreement, the Investment Advisor has not assumed any responsibility to us other than to render the services called for under that agreement. It is not responsible for any action of our Board in following or declining to follow the Investment Advisor’s advice or recommendations. Under the Investment Advisory Agreement, the Investment Advisor, its officers, members and personnel, and any person controlling or controlled by the Investment Advisor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misfeasance, bad faith or reckless disregard of the duties that the Investment Advisor owes to us under the Investment Advisory Agreement. In addition, as part of the Investment Advisory Agreement, we have agreed to indemnify the Investment Advisor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misfeasance, bad faith or reckless disregard of such person’s duties under the Investment Advisory Agreement. These protections may lead the Investment Advisor to act in a riskier manner when acting on our behalf than it would when acting for its own account.</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A general increase in interest rates will likely have the effect of making it easier for our Investment Advisor to receive incentive fees, without necessarily resulting in an increase in our net earnings.</w:t>
      </w:r>
    </w:p>
    <w:p>
      <w:pPr>
        <w:spacing w:after="0" w:line="62" w:lineRule="exact"/>
        <w:rPr>
          <w:sz w:val="20"/>
          <w:szCs w:val="20"/>
          <w:color w:val="auto"/>
        </w:rPr>
      </w:pPr>
    </w:p>
    <w:p>
      <w:pPr>
        <w:ind w:left="40" w:right="599" w:firstLine="270"/>
        <w:spacing w:after="0" w:line="254" w:lineRule="auto"/>
        <w:rPr>
          <w:sz w:val="20"/>
          <w:szCs w:val="20"/>
          <w:color w:val="auto"/>
        </w:rPr>
      </w:pPr>
      <w:r>
        <w:rPr>
          <w:rFonts w:ascii="Arial" w:cs="Arial" w:eastAsia="Arial" w:hAnsi="Arial"/>
          <w:sz w:val="18"/>
          <w:szCs w:val="18"/>
          <w:color w:val="auto"/>
        </w:rPr>
        <w:t>Under the structure of our Investment Advisory Agreement with our Investment Advisor, any general increase in interest rates will likely have the effect of making it easier for our Investment Advisor to meet the quarterly hurdle rate for payment of income incentive fees under the Investment Advisory Agreement without any additional increase in relative performance on the part of our Investment Advisor. In addition, in view of the catch-up provision applicable to income incentive fees under the Investment Advisory Agreement, our Investment Advisor could potentially receive a significant portion of the increase in our investment income attributable to such a general increase in interest rates. If that were to occur, our increase in net earnings, if any, would likely be significantly smaller than the relative increase in our Investment Advisor’s income incentive fee resulting from such a general increase in interest rates.</w:t>
      </w:r>
    </w:p>
    <w:p>
      <w:pPr>
        <w:spacing w:after="0" w:line="125"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PIK interest payments we receive will increase our assets under management and, as a result, will increase the amount of base management fees and incentive fees payable by us to Capitala Investment Advisors.</w:t>
      </w:r>
    </w:p>
    <w:p>
      <w:pPr>
        <w:spacing w:after="0" w:line="62" w:lineRule="exact"/>
        <w:rPr>
          <w:sz w:val="20"/>
          <w:szCs w:val="20"/>
          <w:color w:val="auto"/>
        </w:rPr>
      </w:pPr>
    </w:p>
    <w:p>
      <w:pPr>
        <w:ind w:left="40" w:right="639" w:firstLine="270"/>
        <w:spacing w:after="0" w:line="291" w:lineRule="auto"/>
        <w:rPr>
          <w:sz w:val="20"/>
          <w:szCs w:val="20"/>
          <w:color w:val="auto"/>
        </w:rPr>
      </w:pPr>
      <w:r>
        <w:rPr>
          <w:rFonts w:ascii="Arial" w:cs="Arial" w:eastAsia="Arial" w:hAnsi="Arial"/>
          <w:sz w:val="16"/>
          <w:szCs w:val="16"/>
          <w:color w:val="auto"/>
        </w:rPr>
        <w:t>Certain of our debt investments contain provisions providing for the payment of contractual PIK interest. Because PIK interest results in an increase in the size of the loan balance of the underlying loan, the receipt by us of PIK interest will have the effect of increasing our assets under management. As a result, because the base management fee that we pay to the Investment Advisor is based on the value of our gross assets, the receipt by us of PIK interest will result in an increase in the amount of the base management fee payable by us. In addition, any such increase in a loan balance due to the receipt of PIK interest will cause such loan to accrue interest on the higher loan balance, which will result in an increase in our pre-incentive fee net investment income and, as a result, an increase in incentive fees that are payable by us to the Investment Advisor.</w:t>
      </w:r>
    </w:p>
    <w:p>
      <w:pPr>
        <w:spacing w:after="0" w:line="100" w:lineRule="exact"/>
        <w:rPr>
          <w:sz w:val="20"/>
          <w:szCs w:val="20"/>
          <w:color w:val="auto"/>
        </w:rPr>
      </w:pPr>
    </w:p>
    <w:p>
      <w:pPr>
        <w:jc w:val="both"/>
        <w:ind w:left="40" w:right="719"/>
        <w:spacing w:after="0" w:line="264" w:lineRule="auto"/>
        <w:rPr>
          <w:sz w:val="20"/>
          <w:szCs w:val="20"/>
          <w:color w:val="auto"/>
        </w:rPr>
      </w:pPr>
      <w:r>
        <w:rPr>
          <w:rFonts w:ascii="Arial" w:cs="Arial" w:eastAsia="Arial" w:hAnsi="Arial"/>
          <w:sz w:val="18"/>
          <w:szCs w:val="18"/>
          <w:b w:val="1"/>
          <w:bCs w:val="1"/>
          <w:i w:val="1"/>
          <w:iCs w:val="1"/>
          <w:color w:val="auto"/>
        </w:rPr>
        <w:t>Capitala Investment Advisors has the right to resign on 60 days’ notice, and we may not be able to find a suitable replacement within such time, resulting in a disruption in our operations that could adversely affect our financial condition, business and results of operations.</w:t>
      </w:r>
    </w:p>
    <w:p>
      <w:pPr>
        <w:spacing w:after="0" w:line="73"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color w:val="auto"/>
        </w:rPr>
        <w:t>Our Investment Advisor has the right, under the Investment Advisory Agreement, to resign at any time on 60 days’ written notice, whether we have found a replacement or not. If our Investment Advisor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88" w:lineRule="exact"/>
        <w:rPr>
          <w:sz w:val="20"/>
          <w:szCs w:val="20"/>
          <w:color w:val="auto"/>
        </w:rPr>
      </w:pPr>
    </w:p>
    <w:p>
      <w:pPr>
        <w:ind w:left="40" w:right="779"/>
        <w:spacing w:after="0" w:line="277" w:lineRule="auto"/>
        <w:rPr>
          <w:sz w:val="20"/>
          <w:szCs w:val="20"/>
          <w:color w:val="auto"/>
        </w:rPr>
      </w:pPr>
      <w:r>
        <w:rPr>
          <w:rFonts w:ascii="Arial" w:cs="Arial" w:eastAsia="Arial" w:hAnsi="Arial"/>
          <w:sz w:val="18"/>
          <w:szCs w:val="18"/>
          <w:b w:val="1"/>
          <w:bCs w:val="1"/>
          <w:i w:val="1"/>
          <w:iCs w:val="1"/>
          <w:color w:val="auto"/>
        </w:rPr>
        <w:t>Capitala Investment Advisors may not be able to achieve the same or similar returns as those achieved by its investment team while they were employed at prior positions.</w:t>
      </w:r>
    </w:p>
    <w:p>
      <w:pPr>
        <w:spacing w:after="0" w:line="62" w:lineRule="exact"/>
        <w:rPr>
          <w:sz w:val="20"/>
          <w:szCs w:val="20"/>
          <w:color w:val="auto"/>
        </w:rPr>
      </w:pPr>
    </w:p>
    <w:p>
      <w:pPr>
        <w:ind w:left="40" w:right="619" w:firstLine="270"/>
        <w:spacing w:after="0" w:line="302" w:lineRule="auto"/>
        <w:rPr>
          <w:sz w:val="20"/>
          <w:szCs w:val="20"/>
          <w:color w:val="auto"/>
        </w:rPr>
      </w:pPr>
      <w:r>
        <w:rPr>
          <w:rFonts w:ascii="Arial" w:cs="Arial" w:eastAsia="Arial" w:hAnsi="Arial"/>
          <w:sz w:val="16"/>
          <w:szCs w:val="16"/>
          <w:color w:val="auto"/>
        </w:rPr>
        <w:t>Although in the past Mr. Alala and other members of our Investment Advisor’s investment team have held senior positions at a number of investment firms, including the Legacy Funds, their track record and achievements are not necessarily indicative of future results that will be achieved by our Investment Advisor. We cannot assure you that we will be able to achieve the results realized by prior vehicles managed by our Investment Advisor’s investment team, including the Legacy Funds.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117"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We have elected to be regulated as a BDC under the 1940 Act. The 1940 Act imposes numerous constraints on the operations of BDCs. For example, BDCs are required to invest at least 70% of their gross assets in specified types of securities, primarily in private companies or thinly traded U.S. public companies,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55" w:lineRule="auto"/>
        <w:rPr>
          <w:sz w:val="20"/>
          <w:szCs w:val="20"/>
          <w:color w:val="auto"/>
        </w:rPr>
      </w:pPr>
      <w:r>
        <w:rPr>
          <w:rFonts w:ascii="Arial" w:cs="Arial" w:eastAsia="Arial" w:hAnsi="Arial"/>
          <w:sz w:val="18"/>
          <w:szCs w:val="18"/>
          <w:color w:val="auto"/>
        </w:rPr>
        <w:t>cash, cash equivalents, U.S. government securities and other high quality debt investments that mature in one year or less. Furthermore,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108" w:lineRule="exact"/>
        <w:rPr>
          <w:sz w:val="20"/>
          <w:szCs w:val="20"/>
          <w:color w:val="auto"/>
        </w:rPr>
      </w:pPr>
    </w:p>
    <w:p>
      <w:pPr>
        <w:ind w:left="40" w:right="619"/>
        <w:spacing w:after="0" w:line="375" w:lineRule="auto"/>
        <w:rPr>
          <w:sz w:val="20"/>
          <w:szCs w:val="20"/>
          <w:color w:val="auto"/>
        </w:rPr>
      </w:pPr>
      <w:r>
        <w:rPr>
          <w:rFonts w:ascii="Arial" w:cs="Arial" w:eastAsia="Arial" w:hAnsi="Arial"/>
          <w:sz w:val="15"/>
          <w:szCs w:val="15"/>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permitted, as a BDC, to issue senior securities in amounts such that our asset coverage ratio, as defined in the 1940 Act, equals at least 200%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p>
    <w:p>
      <w:pPr>
        <w:spacing w:after="0" w:line="74"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As of December 31, 2016, we had $170.7 million of outstanding SBA-guaranteed debentures, $113.4 million of 7.125% fixed rate notes due 2021 (the “Notes”) outstanding and $44.0 million outstanding under the Credit Facility that provides for borrowings of up to $120.0 million on a revolving basis and may be increased up to $150.0 million pursuant to its “accordion” feature. We have received an exemptive order from the SEC granting relief from the asset coverage requirements for certain indebtedness issued by Fund II and Fund III as SBICs. 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spacing w:after="0" w:line="74" w:lineRule="exact"/>
        <w:rPr>
          <w:sz w:val="20"/>
          <w:szCs w:val="20"/>
          <w:color w:val="auto"/>
        </w:rPr>
      </w:pPr>
    </w:p>
    <w:p>
      <w:pPr>
        <w:ind w:left="40" w:right="679" w:firstLine="270"/>
        <w:spacing w:after="0" w:line="271" w:lineRule="auto"/>
        <w:rPr>
          <w:sz w:val="20"/>
          <w:szCs w:val="20"/>
          <w:color w:val="auto"/>
        </w:rPr>
      </w:pPr>
      <w:r>
        <w:rPr>
          <w:rFonts w:ascii="Arial" w:cs="Arial" w:eastAsia="Arial" w:hAnsi="Arial"/>
          <w:sz w:val="17"/>
          <w:szCs w:val="17"/>
          <w:color w:val="auto"/>
        </w:rPr>
        <w:t>We generally may not issue and sell our common stock at a price below net asset value per share. We may, however, sell our common stock, or warrants, options or rights to acquire our common stock, at a price below the then-current net asset value per share of our common stock if our Board determines that such sale is in our best interests and in the best interests of our stockholders, and our stockholders approve such sale. In any such case, the price at which our securities are to be issued and sold may not be less than a price that, in the determination of our Board, closely approximates the market value of such securities (less any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71"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At our 2016 Annual Stockholders Meeting, subject to certain determinations required to be made by our Board, our stockholders approved our ability to sell or otherwise issue shares of our common stock, not exceeding 25% of our then outstanding common stock immediately prior to each such offering, at a price below the then current net asset value per share during a period beginning on May 3, 2016 and expiring on the earlier of the one year anniversary of the date of the 2016 Annual Stockholders Meeting and the date of our 2017 Annual Stockholders Meeting, which is expected to be held in May 2017.</w:t>
      </w:r>
    </w:p>
    <w:p>
      <w:pPr>
        <w:spacing w:after="0" w:line="50" w:lineRule="exact"/>
        <w:rPr>
          <w:sz w:val="20"/>
          <w:szCs w:val="20"/>
          <w:color w:val="auto"/>
        </w:rPr>
      </w:pPr>
    </w:p>
    <w:p>
      <w:pPr>
        <w:jc w:val="both"/>
        <w:ind w:left="40" w:right="799" w:firstLine="270"/>
        <w:spacing w:after="0" w:line="264" w:lineRule="auto"/>
        <w:rPr>
          <w:sz w:val="20"/>
          <w:szCs w:val="20"/>
          <w:color w:val="auto"/>
        </w:rPr>
      </w:pPr>
      <w:r>
        <w:rPr>
          <w:rFonts w:ascii="Arial" w:cs="Arial" w:eastAsia="Arial" w:hAnsi="Arial"/>
          <w:sz w:val="18"/>
          <w:szCs w:val="18"/>
          <w:color w:val="auto"/>
        </w:rPr>
        <w:t>In certain limited circumstances, pursuant to an SEC staff interpretation, we may also issue shares at a price below net asset value in connection with a transferable rights offering so long as: (1) the offer does not discriminate among stockholders; (2) we use our best efforts to ensure an adequate trading market exists for</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spacing w:after="0" w:line="279" w:lineRule="auto"/>
        <w:rPr>
          <w:sz w:val="20"/>
          <w:szCs w:val="20"/>
          <w:color w:val="auto"/>
        </w:rPr>
      </w:pPr>
      <w:r>
        <w:rPr>
          <w:rFonts w:ascii="Arial" w:cs="Arial" w:eastAsia="Arial" w:hAnsi="Arial"/>
          <w:sz w:val="17"/>
          <w:szCs w:val="17"/>
          <w:color w:val="auto"/>
        </w:rPr>
        <w:t>the rights; and (3) the ratio of the offering does not exceed one new share for each three rights held.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90" w:lineRule="exact"/>
        <w:rPr>
          <w:sz w:val="20"/>
          <w:szCs w:val="20"/>
          <w:color w:val="auto"/>
        </w:rPr>
      </w:pPr>
    </w:p>
    <w:p>
      <w:pPr>
        <w:jc w:val="both"/>
        <w:ind w:left="40" w:right="639"/>
        <w:spacing w:after="0" w:line="286" w:lineRule="auto"/>
        <w:rPr>
          <w:sz w:val="20"/>
          <w:szCs w:val="20"/>
          <w:color w:val="auto"/>
        </w:rPr>
      </w:pPr>
      <w:r>
        <w:rPr>
          <w:rFonts w:ascii="Arial" w:cs="Arial" w:eastAsia="Arial" w:hAnsi="Arial"/>
          <w:sz w:val="17"/>
          <w:szCs w:val="17"/>
          <w:b w:val="1"/>
          <w:bCs w:val="1"/>
          <w:i w:val="1"/>
          <w:iCs w:val="1"/>
          <w:color w:val="auto"/>
        </w:rPr>
        <w:t>We borrow money, which magnifies the potential for gain or loss on amounts invested and may increase the risk of investing in us, and the calculation of our base management fee, which is based upon our gross assets, may have the effect of encouraging our Investment Advisor to utilize leverage when it may not be advisable to do so.</w:t>
      </w:r>
    </w:p>
    <w:p>
      <w:pPr>
        <w:spacing w:after="0" w:line="57"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6"/>
          <w:szCs w:val="16"/>
          <w:color w:val="auto"/>
        </w:rPr>
        <w:t>The use of leverage magnifies the potential for gain or loss on amounts invested and, therefore, increases the risks associated with investing in our securities. In addition to the existing SBA-guaranteed debentures, the Notes and the Credit Facility,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decreases, leverage would cause net asset value to decline more sharply than it otherwise would have had we not been leveraged. Similarly, any decrease in our income would cause net income to decline more sharply than it would have had we not borrowed. Such a decline could also negatively affect our ability to make distributions on our common stock.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our Investment Advisor will be payable based on our gross assets, including those assets acquired through the use of leverage, our Investment Advisor will have a financial incentive to incur leverage that may not be consistent with our stockholders’ interests. In addition, our common stockholders will bear the burden of any increase in our expenses as a result of leverage, including any increase in the management fee payable to our Investment Advisor.</w:t>
      </w:r>
    </w:p>
    <w:p>
      <w:pPr>
        <w:spacing w:after="0" w:line="64"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The Credit Facility, and any other credit facility into which we may enter, imposes financial and operating covenants that restrict our business activities, including limitations that could hinder our ability to finance additional loans and investments or to make the distributions required to maintain our status as a RIC under the Code.</w:t>
      </w:r>
    </w:p>
    <w:p>
      <w:pPr>
        <w:spacing w:after="0" w:line="114" w:lineRule="exact"/>
        <w:rPr>
          <w:sz w:val="20"/>
          <w:szCs w:val="20"/>
          <w:color w:val="auto"/>
        </w:rPr>
      </w:pPr>
    </w:p>
    <w:p>
      <w:pPr>
        <w:ind w:left="40" w:right="1059"/>
        <w:spacing w:after="0" w:line="277" w:lineRule="auto"/>
        <w:rPr>
          <w:sz w:val="20"/>
          <w:szCs w:val="20"/>
          <w:color w:val="auto"/>
        </w:rPr>
      </w:pPr>
      <w:r>
        <w:rPr>
          <w:rFonts w:ascii="Arial" w:cs="Arial" w:eastAsia="Arial" w:hAnsi="Arial"/>
          <w:sz w:val="18"/>
          <w:szCs w:val="18"/>
          <w:b w:val="1"/>
          <w:bCs w:val="1"/>
          <w:i w:val="1"/>
          <w:iCs w:val="1"/>
          <w:color w:val="auto"/>
        </w:rPr>
        <w:t>To the extent we borrow money to finance our investments, changes in interest rates will affect our cost of capital and net investment income.</w:t>
      </w:r>
    </w:p>
    <w:p>
      <w:pPr>
        <w:spacing w:after="0" w:line="62"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To the extent we borrow money to finance our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event we borrow money to finance our investments. In periods of rising interest rates, our cost of funds would increase, which could reduce our net investment income. We expect that our long-term fixed-rate investments will be financed primarily with equity and long-term debt. We may use interest rate risk management techniques in an effort to limit our exposure to interest rate fluctuations. Such techniques may include various interest rate hedging activities to the extent permitted by the 1940 Act. Our Investment Advisor does not have significant experience with utilizing these techniques and did not implement these techniques to any significant extent with our portfolio. If we do not implement these techniques properly, we could experience losses on our hedging positions, which could be material.</w:t>
      </w:r>
    </w:p>
    <w:p>
      <w:pPr>
        <w:spacing w:after="0" w:line="110" w:lineRule="exact"/>
        <w:rPr>
          <w:sz w:val="20"/>
          <w:szCs w:val="20"/>
          <w:color w:val="auto"/>
        </w:rPr>
      </w:pPr>
    </w:p>
    <w:p>
      <w:pPr>
        <w:ind w:left="40" w:right="939"/>
        <w:spacing w:after="0" w:line="277" w:lineRule="auto"/>
        <w:rPr>
          <w:sz w:val="20"/>
          <w:szCs w:val="20"/>
          <w:color w:val="auto"/>
        </w:rPr>
      </w:pPr>
      <w:r>
        <w:rPr>
          <w:rFonts w:ascii="Arial" w:cs="Arial" w:eastAsia="Arial" w:hAnsi="Arial"/>
          <w:sz w:val="18"/>
          <w:szCs w:val="18"/>
          <w:b w:val="1"/>
          <w:bCs w:val="1"/>
          <w:i w:val="1"/>
          <w:iCs w:val="1"/>
          <w:color w:val="auto"/>
        </w:rPr>
        <w:t>A disruption in the capital markets and the credit markets could impair our ability to raise capital and negatively affect our business.</w:t>
      </w:r>
    </w:p>
    <w:p>
      <w:pPr>
        <w:spacing w:after="0" w:line="62" w:lineRule="exact"/>
        <w:rPr>
          <w:sz w:val="20"/>
          <w:szCs w:val="20"/>
          <w:color w:val="auto"/>
        </w:rPr>
      </w:pPr>
    </w:p>
    <w:p>
      <w:pPr>
        <w:ind w:left="40" w:right="519" w:firstLine="270"/>
        <w:spacing w:after="0" w:line="264" w:lineRule="auto"/>
        <w:rPr>
          <w:sz w:val="20"/>
          <w:szCs w:val="20"/>
          <w:color w:val="auto"/>
        </w:rPr>
      </w:pPr>
      <w:r>
        <w:rPr>
          <w:rFonts w:ascii="Arial" w:cs="Arial" w:eastAsia="Arial" w:hAnsi="Arial"/>
          <w:sz w:val="18"/>
          <w:szCs w:val="18"/>
          <w:color w:val="auto"/>
        </w:rPr>
        <w:t>As a BDC, we have to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In the recent past, the capital markets and the credit markets have experienced periods of extreme volatility and disruption and, accordingly, there has been and may continue to be uncertainty in the financial markets in general. Continuing U.S. debt ceiling and budget deficit concerns, including automatic spending cuts stemming from sequestration, together with deteriorating sovereign debt conditions in Europe, have increased the possibility of additional credit-rating downgrades and economic slowdowns, or a recession in the U.S. The impact of this or any further downgrades to the U.S. government’s sovereign credit rating or its perceived creditworthiness could adversely affect the U.S. and global financial markets and economic conditions. These developments, along with the European sovereign debt crisis, could cause interest rates and borrowing costs to rise, which may negatively impact our ability to access the debt markets on favorable terms. Continued adverse economic conditions could have a material adverse effect on our business, financial condition and results of operations. Any further disruptive conditions in the financial industry and the impact of new legislation in response to those conditions could restrict our business operations and could adversely impact our results of operations and financial condition.</w:t>
      </w:r>
    </w:p>
    <w:p>
      <w:pPr>
        <w:spacing w:after="0" w:line="75"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85" w:lineRule="exact"/>
        <w:rPr>
          <w:sz w:val="20"/>
          <w:szCs w:val="20"/>
          <w:color w:val="auto"/>
        </w:rPr>
      </w:pPr>
    </w:p>
    <w:p>
      <w:pPr>
        <w:ind w:left="40" w:right="519" w:firstLine="270"/>
        <w:spacing w:after="0" w:line="288" w:lineRule="auto"/>
        <w:rPr>
          <w:sz w:val="20"/>
          <w:szCs w:val="20"/>
          <w:color w:val="auto"/>
        </w:rPr>
      </w:pPr>
      <w:r>
        <w:rPr>
          <w:rFonts w:ascii="Arial" w:cs="Arial" w:eastAsia="Arial" w:hAnsi="Arial"/>
          <w:sz w:val="16"/>
          <w:szCs w:val="16"/>
          <w:color w:val="auto"/>
        </w:rPr>
        <w:t>We have fully drawn on our SBA-guaranteed debentures and, absent changes to legislation or regulation, may not make borrowings in excess of their aggregate $170.7 million of SBA-guaranteed debentures outstanding as of December 31, 2016. We also had approximately $113.4 million of the Notes outstanding as of December 31, 2016. In addition, as of December 31, 2016, we had approximately $44.0 million outstanding under the Credit Facility that provides for borrowings of up to $120.0 million on a revolving basis and may be increased up to $150.0 million pursuant to its “accordion” feature. If we are unable to secure additional debt financing on commercially reasonable terms, our liquidity could be reduced significantly. If we are unable to repay amounts outstanding under any debt facilities we may obtain and are declared in default or are unable to renew or refinance these facilities, we may not be able to operate our business in the normal course. These situations may arise due to circumstances that we may be unable to control, such as lack of access to the credit markets, a severe decline in the value of the U.S. dollar, another economic downturn or an operational problem that affects third parties or us, and could materially damage our business.</w:t>
      </w:r>
    </w:p>
    <w:p>
      <w:pPr>
        <w:spacing w:after="0" w:line="6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You should also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Advisor with respect to our pre-incentive fee net investment income.</w:t>
      </w:r>
    </w:p>
    <w:p>
      <w:pPr>
        <w:spacing w:after="0" w:line="106" w:lineRule="exact"/>
        <w:rPr>
          <w:sz w:val="20"/>
          <w:szCs w:val="20"/>
          <w:color w:val="auto"/>
        </w:rPr>
      </w:pPr>
    </w:p>
    <w:p>
      <w:pPr>
        <w:ind w:left="40" w:right="1219"/>
        <w:spacing w:after="0" w:line="277" w:lineRule="auto"/>
        <w:rPr>
          <w:sz w:val="20"/>
          <w:szCs w:val="20"/>
          <w:color w:val="auto"/>
        </w:rPr>
      </w:pPr>
      <w:r>
        <w:rPr>
          <w:rFonts w:ascii="Arial" w:cs="Arial" w:eastAsia="Arial" w:hAnsi="Arial"/>
          <w:sz w:val="18"/>
          <w:szCs w:val="18"/>
          <w:b w:val="1"/>
          <w:bCs w:val="1"/>
          <w:i w:val="1"/>
          <w:iCs w:val="1"/>
          <w:color w:val="auto"/>
        </w:rPr>
        <w:t>Global economic, political and market conditions may adversely affect our business, results of operations and financial condition, including our revenue growth and profitability.</w:t>
      </w:r>
    </w:p>
    <w:p>
      <w:pPr>
        <w:spacing w:after="0" w:line="62"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The current worldwide financial market situation, as well as various social and political tensions in the U.S. and around the world, may contribute to increased market volatility, may have long-term effects on the U.S. and worldwide financial markets, and may cause economic uncertainties or deterioration in the United States and worldwide. The U.S. and global capital markets experienced extreme volatility and disruption during the economic downturn that began in mid-2007, and the U.S. economy was in a recession for several consecutive calendar quarters during the same period. In 2010, a financial crisis emerged in Europe, triggered by high budget deficits and rising direct and contingent sovereign debt, which created concerns about the ability of certain nations to continue to service their sovereign debt obligations. Risks resulting from such debt crisis, including any austerity measures taken in exchange for bailout of certain nations, and any future debt crisis in Europe or any similar crisis elsewhere could have a detrimental impact on the global economic recovery, sovereign and non-sovereign debt in certain countries and the financial condition of financial institutions generally. In June 2016, the United Kingdom held a referendum in which voters approved an exit from the European Union (“Brexit”), and, accordingly, on February 1, 2017, the</w:t>
      </w:r>
    </w:p>
    <w:p>
      <w:pPr>
        <w:spacing w:after="0" w:line="200" w:lineRule="exact"/>
        <w:rPr>
          <w:sz w:val="20"/>
          <w:szCs w:val="20"/>
          <w:color w:val="auto"/>
        </w:rPr>
      </w:pPr>
    </w:p>
    <w:p>
      <w:pPr>
        <w:spacing w:after="0" w:line="33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73" w:lineRule="auto"/>
        <w:rPr>
          <w:sz w:val="20"/>
          <w:szCs w:val="20"/>
          <w:color w:val="auto"/>
        </w:rPr>
      </w:pPr>
      <w:r>
        <w:rPr>
          <w:rFonts w:ascii="Arial" w:cs="Arial" w:eastAsia="Arial" w:hAnsi="Arial"/>
          <w:sz w:val="17"/>
          <w:szCs w:val="17"/>
          <w:color w:val="auto"/>
        </w:rPr>
        <w:t>U.K. Parliament voted in favor of allowing the U.K. government to begin the formal process of Brexit. Brexit created political and economic uncertainty and instability in the global markets (including currency and credit markets), and especially in the United Kingdom and the European Union, and this uncertainty and instability may last indefinitely. There is continued concern about national-level support for the Euro and the accompanying coordination of fiscal and wage policy among European Economic and Monetary Union member countries. In addition, the fiscal and monetary policies of foreign nations, such as Russia and China, may have a severe impact on the worldwide and U.S. financial markets.</w:t>
      </w:r>
    </w:p>
    <w:p>
      <w:pPr>
        <w:spacing w:after="0" w:line="70"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As a result of the 2016 U.S. election, the Republican Party currently controls both the executive and legislative branches of government, which increases the likelihood that legislation may be adopted that could significantly affect the regulation of U.S. financial markets. Areas subject to potential change, amendment or repeal include the Dodd-Frank Act and the authority of the Federal Reserve and the Financial Stability Oversight Council. The U.S. may also potentially withdraw from or renegotiate various trade agreements and take other actions that would change current trade policies of the U.S. We cannot predict which, if any, of these actions will be taken or, if taken, their effect on the financial stability of the U.S. Such actions could have a significant adverse effect on our business, financial condition and results of operations. We cannot predict the effects of these or similar events in the future on the U.S. economy and securities markets or on our investments. We monitor developments and seek to manage our investments in a manner consistent with achieving our investment objective, but there can be no assurance that we will be successful in doing so.</w:t>
      </w:r>
    </w:p>
    <w:p>
      <w:pPr>
        <w:spacing w:after="0" w:line="97" w:lineRule="exact"/>
        <w:rPr>
          <w:sz w:val="20"/>
          <w:szCs w:val="20"/>
          <w:color w:val="auto"/>
        </w:rPr>
      </w:pPr>
    </w:p>
    <w:p>
      <w:pPr>
        <w:ind w:left="40" w:right="559"/>
        <w:spacing w:after="0" w:line="342" w:lineRule="auto"/>
        <w:rPr>
          <w:sz w:val="20"/>
          <w:szCs w:val="20"/>
          <w:color w:val="auto"/>
        </w:rPr>
      </w:pPr>
      <w:r>
        <w:rPr>
          <w:rFonts w:ascii="Arial" w:cs="Arial" w:eastAsia="Arial" w:hAnsi="Arial"/>
          <w:sz w:val="16"/>
          <w:szCs w:val="16"/>
          <w:b w:val="1"/>
          <w:bCs w:val="1"/>
          <w:i w:val="1"/>
          <w:iCs w:val="1"/>
          <w:color w:val="auto"/>
        </w:rPr>
        <w:t>Further downgrades of the U.S. credit rating, impending automatic spending cuts, another government shutdown or a failure to raise the statutory debt limit of the United States could negatively impact our liquidity, financial condition and earnings.</w:t>
      </w:r>
    </w:p>
    <w:p>
      <w:pPr>
        <w:spacing w:after="0" w:line="16"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Recent U.S. debt ceiling and budget deficit concerns have increased the possibility of additional credit-rating downgrades and economic slowdowns, or a recession in the U.S. In the future, the U.S. government may not be able to meet its debt payments unless the federal debt ceiling is raised. The federal debt limit has been suspended since November 2, 2015, but the limit is set to be reinstated on March 15, 2017. If legislation increasing the debt ceiling is not enacted, as needed, and the debt ceiling is reached, the U.S. federal government may stop or delay making payments on its obligations, which could negatively impact the U.S. economy and our portfolio companies. In addition, disagreement over the federal budget has caused the U.S. federal government to shut down for periods of time. Continued adverse political and economic conditions could have a material adverse effect on our business, financial condition and results of operations.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results.</w:t>
      </w:r>
    </w:p>
    <w:p>
      <w:pPr>
        <w:spacing w:after="0" w:line="117"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We may experience fluctuations in our quarterly and annual operating results due to a number of factors, including our ability or inability to make investments in companies that meet our investment criteria, any sales, dispositions or liquidity events of our portfolio companies,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Given that the portfolio is concentrated, distributions, dispositions or liquidity events affecting a portfolio company in which we own a significant position may adversely affect our net asset value and results of operations. As a result of these factors, results for any period should not be relied upon as being indicative of performance in future periods.</w:t>
      </w:r>
    </w:p>
    <w:p>
      <w:pPr>
        <w:spacing w:after="0" w:line="111"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 the effects of which may be adverse.</w:t>
      </w:r>
    </w:p>
    <w:p>
      <w:pPr>
        <w:spacing w:after="0" w:line="62"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Our Board has the authority to modify or waive our investment objective,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make distributions and cause you to lose all or part of your investment.</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qualify or maintain our qualification as a RIC under the Code.</w:t>
      </w:r>
    </w:p>
    <w:p>
      <w:pPr>
        <w:spacing w:after="0" w:line="62"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Although we have elected to be treated as a RIC beginning with our taxable year ended August 31, 2014, no assurance can be given that we will be able to continue to qualify for and maintain our qualification as a RIC under the Code. To continue to maintain our qualification as a RIC under the Code, we must meet the following source-of-asset diversification, and distribution requirements.</w:t>
      </w:r>
    </w:p>
    <w:p>
      <w:pPr>
        <w:spacing w:after="0" w:line="79"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The income source requirement will be satisfied if we obtain at least 90% of our income for each year from dividends, interest, gains from the sale or other disposition of stock or securities or similar sources. The asset diversification requirement will be satisfied if we meet certain asset diversification requirements at the end of each quarter of our taxable year. Failure to meet those requirements may result in our having to dispose of certain investments quickly in order to prevent the loss of our qualification as a RIC under the Code. Because most of our investments will be in private companies, and therefore will be relatively illiquid, any such dispositions could be made at disadvantageous prices and could result in substantial losses.</w:t>
      </w:r>
    </w:p>
    <w:p>
      <w:pPr>
        <w:spacing w:after="0" w:line="70"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The annual distribution requirement for a RIC will be satisfied if we distribute to our stockholders on an annual basis at least 90% of our net ordinary income and net short-term capital gains in excess of our net long-term capital losses, if any. Because we may use debt financing, we are subject to certain asset coverage ratio requirements under the 1940 Act, as well as future financial covenants under loan and credit agreements that could, under certain circumstances, restrict us from making distributions necessary to satisfy the distribution requirement. If we are unable to obtain cash from other sources, we could fail to qualify as a RIC under the Code.</w:t>
      </w:r>
    </w:p>
    <w:p>
      <w:pPr>
        <w:spacing w:after="0" w:line="85" w:lineRule="exact"/>
        <w:rPr>
          <w:sz w:val="20"/>
          <w:szCs w:val="20"/>
          <w:color w:val="auto"/>
        </w:rPr>
      </w:pPr>
    </w:p>
    <w:p>
      <w:pPr>
        <w:jc w:val="both"/>
        <w:ind w:left="40" w:right="999" w:firstLine="270"/>
        <w:spacing w:after="0" w:line="264" w:lineRule="auto"/>
        <w:rPr>
          <w:sz w:val="20"/>
          <w:szCs w:val="20"/>
          <w:color w:val="auto"/>
        </w:rPr>
      </w:pPr>
      <w:r>
        <w:rPr>
          <w:rFonts w:ascii="Arial" w:cs="Arial" w:eastAsia="Arial" w:hAnsi="Arial"/>
          <w:sz w:val="18"/>
          <w:szCs w:val="18"/>
          <w:color w:val="auto"/>
        </w:rPr>
        <w:t>If we fail to qualify as a RIC under the Code for any reason and remain or become subject to corporate-level U.S. federal income tax on all of our income, the resulting corporate taxes could substantially reduce our net assets, the amount of income available for distribution or reinvestment and the amount of our distributions.</w:t>
      </w:r>
    </w:p>
    <w:p>
      <w:pPr>
        <w:spacing w:after="0" w:line="114" w:lineRule="exact"/>
        <w:rPr>
          <w:sz w:val="20"/>
          <w:szCs w:val="20"/>
          <w:color w:val="auto"/>
        </w:rPr>
      </w:pPr>
    </w:p>
    <w:p>
      <w:pPr>
        <w:ind w:left="40" w:right="1199"/>
        <w:spacing w:after="0" w:line="277" w:lineRule="auto"/>
        <w:rPr>
          <w:sz w:val="20"/>
          <w:szCs w:val="20"/>
          <w:color w:val="auto"/>
        </w:rPr>
      </w:pPr>
      <w:r>
        <w:rPr>
          <w:rFonts w:ascii="Arial" w:cs="Arial" w:eastAsia="Arial" w:hAnsi="Arial"/>
          <w:sz w:val="18"/>
          <w:szCs w:val="18"/>
          <w:b w:val="1"/>
          <w:bCs w:val="1"/>
          <w:i w:val="1"/>
          <w:iCs w:val="1"/>
          <w:color w:val="auto"/>
        </w:rPr>
        <w:t>We may not be able to pay our stockholders distributions, our distributions may not grow over time and a portion of our distributions may be a return of capital.</w:t>
      </w:r>
    </w:p>
    <w:p>
      <w:pPr>
        <w:spacing w:after="0" w:line="62" w:lineRule="exact"/>
        <w:rPr>
          <w:sz w:val="20"/>
          <w:szCs w:val="20"/>
          <w:color w:val="auto"/>
        </w:rPr>
      </w:pPr>
    </w:p>
    <w:p>
      <w:pPr>
        <w:ind w:left="40" w:right="579" w:firstLine="270"/>
        <w:spacing w:after="0" w:line="253" w:lineRule="auto"/>
        <w:rPr>
          <w:sz w:val="20"/>
          <w:szCs w:val="20"/>
          <w:color w:val="auto"/>
        </w:rPr>
      </w:pPr>
      <w:r>
        <w:rPr>
          <w:rFonts w:ascii="Arial" w:cs="Arial" w:eastAsia="Arial" w:hAnsi="Arial"/>
          <w:sz w:val="18"/>
          <w:szCs w:val="18"/>
          <w:color w:val="auto"/>
        </w:rPr>
        <w:t>We intend to pay distributions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can limit our ability to pay distributions. All distributions will be paid at the discretion of our Board and will depend on our earnings, our financial condition, maintenance of our RIC status, compliance with applicable BDC regulations and such other factors as our Board may deem relevant from time to time. We cannot assure you that we will pay distributions to our stockholders in the future. In the event we liquidate or dispose of a significant equity position in our portfolio, we may distribute a special dividend relating to the realized capital gains from such investment in order to minimize to the greatest extent possible our U.S. federal income or excise tax liability.</w:t>
      </w:r>
    </w:p>
    <w:p>
      <w:pPr>
        <w:spacing w:after="0" w:line="87" w:lineRule="exact"/>
        <w:rPr>
          <w:sz w:val="20"/>
          <w:szCs w:val="20"/>
          <w:color w:val="auto"/>
        </w:rPr>
      </w:pPr>
    </w:p>
    <w:p>
      <w:pPr>
        <w:jc w:val="both"/>
        <w:ind w:left="40" w:right="619" w:firstLine="270"/>
        <w:spacing w:after="0" w:line="286" w:lineRule="auto"/>
        <w:rPr>
          <w:sz w:val="20"/>
          <w:szCs w:val="20"/>
          <w:color w:val="auto"/>
        </w:rPr>
      </w:pPr>
      <w:r>
        <w:rPr>
          <w:rFonts w:ascii="Arial" w:cs="Arial" w:eastAsia="Arial" w:hAnsi="Arial"/>
          <w:sz w:val="16"/>
          <w:szCs w:val="16"/>
          <w:color w:val="auto"/>
        </w:rPr>
        <w:t>When we make distributions, we will be required to determine the extent to which such distributions are paid out of current or accumulated earnings and profits. Distributions in excess of current and accumulated earnings and profits will be treated as a non-taxable return of capital, which is a return of a portion of a shareholder’s original investment in our common stock, to the extent of an investor’s basis in our stock and, assuming that an investor holds our stock as a capital asset, thereafter as a capital gain.</w:t>
      </w:r>
    </w:p>
    <w:p>
      <w:pPr>
        <w:spacing w:after="0" w:line="2" w:lineRule="exact"/>
        <w:rPr>
          <w:sz w:val="20"/>
          <w:szCs w:val="20"/>
          <w:color w:val="auto"/>
        </w:rPr>
      </w:pPr>
    </w:p>
    <w:p>
      <w:pPr>
        <w:ind w:left="40" w:right="739"/>
        <w:spacing w:after="0" w:line="261" w:lineRule="auto"/>
        <w:rPr>
          <w:sz w:val="20"/>
          <w:szCs w:val="20"/>
          <w:color w:val="auto"/>
        </w:rPr>
      </w:pPr>
      <w:r>
        <w:rPr>
          <w:rFonts w:ascii="Arial" w:cs="Arial" w:eastAsia="Arial" w:hAnsi="Arial"/>
          <w:sz w:val="18"/>
          <w:szCs w:val="18"/>
          <w:color w:val="auto"/>
        </w:rPr>
        <w:t>Generally, a non-taxable return of capital will reduce an investor’s basis in our stock for U.S. federal income tax purposes, which will result in higher tax liability when the stock is sold.</w:t>
      </w:r>
    </w:p>
    <w:p>
      <w:pPr>
        <w:spacing w:after="0" w:line="116" w:lineRule="exact"/>
        <w:rPr>
          <w:sz w:val="20"/>
          <w:szCs w:val="20"/>
          <w:color w:val="auto"/>
        </w:rPr>
      </w:pPr>
    </w:p>
    <w:p>
      <w:pPr>
        <w:ind w:left="40" w:right="699"/>
        <w:spacing w:after="0" w:line="277" w:lineRule="auto"/>
        <w:rPr>
          <w:sz w:val="20"/>
          <w:szCs w:val="20"/>
          <w:color w:val="auto"/>
        </w:rPr>
      </w:pPr>
      <w:r>
        <w:rPr>
          <w:rFonts w:ascii="Arial" w:cs="Arial" w:eastAsia="Arial" w:hAnsi="Arial"/>
          <w:sz w:val="18"/>
          <w:szCs w:val="18"/>
          <w:b w:val="1"/>
          <w:bCs w:val="1"/>
          <w:i w:val="1"/>
          <w:iCs w:val="1"/>
          <w:color w:val="auto"/>
        </w:rPr>
        <w:t>We may have difficulty paying our required distributions if we recognize income before or without receiving cash representing such income.</w:t>
      </w:r>
    </w:p>
    <w:p>
      <w:pPr>
        <w:spacing w:after="0" w:line="62"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For U.S. federal income tax purposes, we include in our taxable income certain amounts that we have not yet received in cash, such as PIK interest or original issue discount, which may arise if we receive warrants in connection with the origination of a loan or possibly in other circumstances. Such original issue discount or increases in loan balances as a result of contractual PIK arrangements are included in our taxable income</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079"/>
        <w:spacing w:after="0" w:line="277" w:lineRule="auto"/>
        <w:rPr>
          <w:sz w:val="20"/>
          <w:szCs w:val="20"/>
          <w:color w:val="auto"/>
        </w:rPr>
      </w:pPr>
      <w:r>
        <w:rPr>
          <w:rFonts w:ascii="Arial" w:cs="Arial" w:eastAsia="Arial" w:hAnsi="Arial"/>
          <w:sz w:val="18"/>
          <w:szCs w:val="18"/>
          <w:color w:val="auto"/>
        </w:rPr>
        <w:t>before we receive any corresponding cash payments. We also may be required to include in our taxable income certain other amounts that we will not receive in cash.</w:t>
      </w:r>
    </w:p>
    <w:p>
      <w:pPr>
        <w:spacing w:after="0" w:line="62"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Since, in certain cases, we may recognize taxable income before or without receiving corresponding cash payments, we may have difficulty meeting the annual distribution requirement necessary to maintain our qualification as a RIC under the Code. Accordingly, to satisfy our RIC distribution requirements, we may have to sell some of our investments at times and/or at prices we would not consider advantageous, raise additional debt or equity capital or forgo new investment opportunities. If we are not able to obtain cash from other sources, we may fail to qualify as a RIC and thus become subject to corporate-level U.S. federal income tax.</w:t>
      </w:r>
    </w:p>
    <w:p>
      <w:pPr>
        <w:spacing w:after="0" w:line="77" w:lineRule="exact"/>
        <w:rPr>
          <w:sz w:val="20"/>
          <w:szCs w:val="20"/>
          <w:color w:val="auto"/>
        </w:rPr>
      </w:pPr>
    </w:p>
    <w:p>
      <w:pPr>
        <w:ind w:left="40" w:right="1119"/>
        <w:spacing w:after="0" w:line="277" w:lineRule="auto"/>
        <w:rPr>
          <w:sz w:val="20"/>
          <w:szCs w:val="20"/>
          <w:color w:val="auto"/>
        </w:rPr>
      </w:pPr>
      <w:r>
        <w:rPr>
          <w:rFonts w:ascii="Arial" w:cs="Arial" w:eastAsia="Arial" w:hAnsi="Arial"/>
          <w:sz w:val="18"/>
          <w:szCs w:val="18"/>
          <w:b w:val="1"/>
          <w:bCs w:val="1"/>
          <w:i w:val="1"/>
          <w:iCs w:val="1"/>
          <w:color w:val="auto"/>
        </w:rPr>
        <w:t>Capitala Investment Advisors is not obligated to reimburse us for any part of the incentive fee it receives that is based on accrued income that we never receive.</w:t>
      </w:r>
    </w:p>
    <w:p>
      <w:pPr>
        <w:spacing w:after="0" w:line="62"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Part of the incentive fee payable by us to our Investment Advisor that relates to our net investment income is computed and paid on income that may include interest that has been accrued but not yet received in cash, such as market discount, debt instruments with PIK interest, preferred stock with PIK dividends and zero coupon securities. 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fees it received that was based on accrued income that we never receive as a result of a default by an entity on the obligation that resulted in the accrual of such income.</w:t>
      </w:r>
    </w:p>
    <w:p>
      <w:pPr>
        <w:spacing w:after="0" w:line="122"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our own stock, in which case you may be required to pay tax in excess of the cash you receive.</w:t>
      </w:r>
    </w:p>
    <w:p>
      <w:pPr>
        <w:spacing w:after="0" w:line="62" w:lineRule="exact"/>
        <w:rPr>
          <w:sz w:val="20"/>
          <w:szCs w:val="20"/>
          <w:color w:val="auto"/>
        </w:rPr>
      </w:pPr>
    </w:p>
    <w:p>
      <w:pPr>
        <w:ind w:left="40" w:right="519" w:firstLine="270"/>
        <w:spacing w:after="0" w:line="267" w:lineRule="auto"/>
        <w:rPr>
          <w:sz w:val="20"/>
          <w:szCs w:val="20"/>
          <w:color w:val="auto"/>
        </w:rPr>
      </w:pPr>
      <w:r>
        <w:rPr>
          <w:rFonts w:ascii="Arial" w:cs="Arial" w:eastAsia="Arial" w:hAnsi="Arial"/>
          <w:sz w:val="17"/>
          <w:szCs w:val="17"/>
          <w:color w:val="auto"/>
        </w:rPr>
        <w:t>We may distribute taxable dividends that are payable in part in our stock. In accordance with certain applicable Treasury regulations and private letter rulings issued by the Internal Revenue Service (“IRS”), a RIC may treat a distribution of its own stock as fulfilling the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stock). In no event will any stockholder, electing to receive cash, receive less than 20% of his or her entire distribution in cash. If these and certain other requirements are met, for U.S. federal income tax purposes, the amount of the dividend paid in stock will be equal to the amount of cash that could have been received instead of stock. Taxable stockholders receiving such dividends (whether received in cash, our stock, or a combination thereof)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124" w:lineRule="exact"/>
        <w:rPr>
          <w:sz w:val="20"/>
          <w:szCs w:val="20"/>
          <w:color w:val="auto"/>
        </w:rPr>
      </w:pPr>
    </w:p>
    <w:p>
      <w:pPr>
        <w:ind w:left="40" w:right="819"/>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and noteholders could lose confidence in our financial and other public reporting, which would harm our business.</w:t>
      </w:r>
    </w:p>
    <w:p>
      <w:pPr>
        <w:spacing w:after="0" w:line="73"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(the “Sarbanes-Oxley Act”), or the subsequent testing by our independent registered public accounting firm (when undertaken, as noted below), may reveal deficiencies</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59"/>
        <w:spacing w:after="0" w:line="259" w:lineRule="auto"/>
        <w:rPr>
          <w:sz w:val="20"/>
          <w:szCs w:val="20"/>
          <w:color w:val="auto"/>
        </w:rPr>
      </w:pPr>
      <w:r>
        <w:rPr>
          <w:rFonts w:ascii="Arial" w:cs="Arial" w:eastAsia="Arial" w:hAnsi="Arial"/>
          <w:sz w:val="18"/>
          <w:szCs w:val="18"/>
          <w:color w:val="auto"/>
        </w:rPr>
        <w:t>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our business.</w:t>
      </w:r>
    </w:p>
    <w:p>
      <w:pPr>
        <w:spacing w:after="0" w:line="79"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We are required to disclose changes made in our internal controls and procedures over financial reporting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of the Sarbanes-Oxley Act. We could be an “emerging growth company” for up to five years from the date of our IPO.</w:t>
      </w:r>
    </w:p>
    <w:p>
      <w:pPr>
        <w:spacing w:after="0" w:line="64"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As a public company, may incur significant additional expenses in the near term, which may negatively impact our financial performance and our ability to make distributions to our stockholders. This process also will result in a diversion of management’s time and attention. We cannot be certain as to the timing of completion of any evaluation, testing and remediation actions or the impact of the same on our operations, and we may not be able to ensure that the process is effective or that our internal controls over financial reporting are or will be effective in a timely manner. In the event that we are unable to maintain or achieve compliance with Section 404 of the Sarbanes-Oxley Act and related rules, the market price of our common stock may be adversely affected.</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New and pending legislation may allow us to incur additional leverage.</w:t>
      </w:r>
    </w:p>
    <w:p>
      <w:pPr>
        <w:spacing w:after="0" w:line="117"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As a BDC, under the 1940 Act generally we are not permitted to incur indebtedness unless immediately after such borrowing we have an asset coverage for total borrowings of at least 200% (i.e., the amount of debt may not exceed 50% of the value of our total assets or we may borrow an amount equal to 100% of net assets). Legislation introduced in the U.S. House of Representatives, if passed, would modify this section of the 1940 Act and increase the amount of debt that BDCs may incur by modifying the asset coverage percentage from 200% to 150%. In addition, in December 2015, the 2016 omnibus spending bill approved by Congress and signed into law by the President increased the amount of SBA-guaranteed debentures that affiliated SBIC funds can have outstanding from $225.0 million to $350.0 million, subject to SBA approval. This new legislation may allow us to issue additional SBIC debentures above the $225.0 million of SBA-guaranteed debentures previously permitted pending application for and receipt of additional SBIC licenses. If we incur this additional indebtedness in the future, your risk of an investment in our securities may increase.</w:t>
      </w:r>
    </w:p>
    <w:p>
      <w:pPr>
        <w:spacing w:after="0" w:line="110" w:lineRule="exact"/>
        <w:rPr>
          <w:sz w:val="20"/>
          <w:szCs w:val="20"/>
          <w:color w:val="auto"/>
        </w:rPr>
      </w:pPr>
    </w:p>
    <w:p>
      <w:pPr>
        <w:ind w:left="40" w:right="819"/>
        <w:spacing w:after="0" w:line="277" w:lineRule="auto"/>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 or cause us to alter our business strategy.</w:t>
      </w:r>
    </w:p>
    <w:p>
      <w:pPr>
        <w:spacing w:after="0" w:line="62" w:lineRule="exact"/>
        <w:rPr>
          <w:sz w:val="20"/>
          <w:szCs w:val="20"/>
          <w:color w:val="auto"/>
        </w:rPr>
      </w:pPr>
    </w:p>
    <w:p>
      <w:pPr>
        <w:ind w:left="40" w:right="519" w:firstLine="270"/>
        <w:spacing w:after="0" w:line="288" w:lineRule="auto"/>
        <w:rPr>
          <w:sz w:val="20"/>
          <w:szCs w:val="20"/>
          <w:color w:val="auto"/>
        </w:rPr>
      </w:pPr>
      <w:r>
        <w:rPr>
          <w:rFonts w:ascii="Arial" w:cs="Arial" w:eastAsia="Arial" w:hAnsi="Arial"/>
          <w:sz w:val="16"/>
          <w:szCs w:val="16"/>
          <w:color w:val="auto"/>
        </w:rPr>
        <w:t>We and our portfolio companies will be subject to applicable local, state and federal laws and regulations. New legislation may be enacted or new interpretations, rulings or regulations could be adopted, including those governing the types of investments we are permitted to make, any of which could harm us and our stockholders, potentially with retroactive effect. 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Investment Advisor’s investment team to other types of investments in which the investment team may have less expertise or little or no experience. Thus, any such changes, if they occur, could have a material adverse effect on our results of operations and the value of your investment. In addition, any change to the SBA’s current debenture SBIC program could have a significant impact on our ability to obtain lower-cost financing and, therefore, our competitive advantage over other finance companies.</w:t>
      </w:r>
    </w:p>
    <w:p>
      <w:pPr>
        <w:spacing w:after="0" w:line="61" w:lineRule="exact"/>
        <w:rPr>
          <w:sz w:val="20"/>
          <w:szCs w:val="20"/>
          <w:color w:val="auto"/>
        </w:rPr>
      </w:pPr>
    </w:p>
    <w:p>
      <w:pPr>
        <w:jc w:val="both"/>
        <w:ind w:left="40" w:right="599" w:firstLine="270"/>
        <w:spacing w:after="0" w:line="264" w:lineRule="auto"/>
        <w:rPr>
          <w:sz w:val="20"/>
          <w:szCs w:val="20"/>
          <w:color w:val="auto"/>
        </w:rPr>
      </w:pPr>
      <w:r>
        <w:rPr>
          <w:rFonts w:ascii="Arial" w:cs="Arial" w:eastAsia="Arial" w:hAnsi="Arial"/>
          <w:sz w:val="18"/>
          <w:szCs w:val="18"/>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spacing w:after="0" w:line="264" w:lineRule="auto"/>
        <w:rPr>
          <w:sz w:val="20"/>
          <w:szCs w:val="20"/>
          <w:color w:val="auto"/>
        </w:rPr>
      </w:pPr>
      <w:r>
        <w:rPr>
          <w:rFonts w:ascii="Arial" w:cs="Arial" w:eastAsia="Arial" w:hAnsi="Arial"/>
          <w:sz w:val="18"/>
          <w:szCs w:val="18"/>
          <w:color w:val="auto"/>
        </w:rPr>
        <w:t>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100"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b w:val="1"/>
          <w:bCs w:val="1"/>
          <w:i w:val="1"/>
          <w:iCs w:val="1"/>
          <w:color w:val="auto"/>
        </w:rPr>
        <w:t>Two of our wholly owned subsidiaries are licensed by the U.S. Small Business Administration, and as a result, we are subject to SBA regulations.</w:t>
      </w:r>
    </w:p>
    <w:p>
      <w:pPr>
        <w:spacing w:after="0" w:line="62" w:lineRule="exact"/>
        <w:rPr>
          <w:sz w:val="20"/>
          <w:szCs w:val="20"/>
          <w:color w:val="auto"/>
        </w:rPr>
      </w:pPr>
    </w:p>
    <w:p>
      <w:pPr>
        <w:ind w:left="40" w:right="779" w:firstLine="270"/>
        <w:spacing w:after="0" w:line="273" w:lineRule="auto"/>
        <w:rPr>
          <w:sz w:val="20"/>
          <w:szCs w:val="20"/>
          <w:color w:val="auto"/>
        </w:rPr>
      </w:pPr>
      <w:r>
        <w:rPr>
          <w:rFonts w:ascii="Arial" w:cs="Arial" w:eastAsia="Arial" w:hAnsi="Arial"/>
          <w:sz w:val="17"/>
          <w:szCs w:val="17"/>
          <w:color w:val="auto"/>
        </w:rPr>
        <w:t>Fund II and Fund III, which became our wholly owned subsidiaries after the completion of the Formation Transactions, are licensed to act as SBICs and are regulated by the SBA. As of December 31, 2016, Fund II and Fund III portfolio companies accounted for most of our aggregate portfolio. The SBIC licenses allow our SBIC subsidiaries to borrow funds by issuing SBA-guaranteed debentures, subject to the issuance of a capital commitment by the SBA and other customary procedures. The SBA regulations require, among other things, that a licensed SBIC be examined periodically and audited by an independent auditor to determine the SBIC’s compliance with the relevant SBA regulations.</w:t>
      </w:r>
    </w:p>
    <w:p>
      <w:pPr>
        <w:spacing w:after="0" w:line="70"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Under current SBA regulations, a licensed SBIC may provide capital to those entities that have a tangible net worth not exceeding $18.0 million and an average annual net income after U.S. federal income taxes not exceeding $6.0 million for the two most recent fiscal years. In addition, a licensed SBIC must devote 25.0% of its investment activity to those entities that have a tangible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factors such as the number of employees and gross sales. The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a few prohibited industries. Compliance with SBA requirements may cause a Legacy Fund to forego attractive investment opportunities that are not permitted under SBA regulations.</w:t>
      </w:r>
    </w:p>
    <w:p>
      <w:pPr>
        <w:spacing w:after="0" w:line="65"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The SBA also prohibits, without prior SBA approval, a “change of control” of an SBIC or transfers that would result in any person (or a group of persons acting in concert) owning 10.0% or more of a class of capital stock of a licensed SBIC. If Fund II or Fund III fails to comply with applicable SBA regulations, the SBA could, depending on the severity of the violation, limit or prohibit such Fund’s use of debentures, declare outstanding debentures immediately due and payable, and/or limit such Fund from making new investments. Such actions by the SBA would, in turn, negatively affect us because Fund II and Fund III are our wholly owned subsidiaries. Each of Fund II and Fund III was in compliance with the terms of the SBA’s leverage requirements as of December 31, 2016 as a result of having sufficient capital as defined under the SBA regulations.</w:t>
      </w:r>
    </w:p>
    <w:p>
      <w:pPr>
        <w:spacing w:after="0" w:line="110" w:lineRule="exact"/>
        <w:rPr>
          <w:sz w:val="20"/>
          <w:szCs w:val="20"/>
          <w:color w:val="auto"/>
        </w:rPr>
      </w:pPr>
    </w:p>
    <w:p>
      <w:pPr>
        <w:ind w:left="40" w:right="899"/>
        <w:spacing w:after="0" w:line="277" w:lineRule="auto"/>
        <w:rPr>
          <w:sz w:val="20"/>
          <w:szCs w:val="20"/>
          <w:color w:val="auto"/>
        </w:rPr>
      </w:pPr>
      <w:r>
        <w:rPr>
          <w:rFonts w:ascii="Arial" w:cs="Arial" w:eastAsia="Arial" w:hAnsi="Arial"/>
          <w:sz w:val="18"/>
          <w:szCs w:val="18"/>
          <w:b w:val="1"/>
          <w:bCs w:val="1"/>
          <w:i w:val="1"/>
          <w:iCs w:val="1"/>
          <w:color w:val="auto"/>
        </w:rPr>
        <w:t>Our wholly owned SBIC subsidiaries may be unable to make distributions to us that will enable us to meet or maintain RIC status, which could result in the imposition of a corporate-level U.S. federal income tax.</w:t>
      </w:r>
    </w:p>
    <w:p>
      <w:pPr>
        <w:spacing w:after="0" w:line="62" w:lineRule="exact"/>
        <w:rPr>
          <w:sz w:val="20"/>
          <w:szCs w:val="20"/>
          <w:color w:val="auto"/>
        </w:rPr>
      </w:pPr>
    </w:p>
    <w:p>
      <w:pPr>
        <w:ind w:left="40" w:right="659" w:firstLine="270"/>
        <w:spacing w:after="0" w:line="289" w:lineRule="auto"/>
        <w:rPr>
          <w:sz w:val="20"/>
          <w:szCs w:val="20"/>
          <w:color w:val="auto"/>
        </w:rPr>
      </w:pPr>
      <w:r>
        <w:rPr>
          <w:rFonts w:ascii="Arial" w:cs="Arial" w:eastAsia="Arial" w:hAnsi="Arial"/>
          <w:sz w:val="16"/>
          <w:szCs w:val="16"/>
          <w:color w:val="auto"/>
        </w:rPr>
        <w:t>In order for us to continue to qualify for RIC tax treatment and to minimize corporate-level U.S. federal income taxes, we will be required to distribute substantially all of our net ordinary income and net capital gain income, including income from certain of our subsidiaries, which includes the income from our SBIC subsidiaries. We will be partially dependent on our SBIC subsidiaries for cash distributions to enable us to meet the RIC distribution requirements. Our SBIC subsidiaries may be limited by the Small Business Investment Act of 1958, and SBA regulations governing SBICs, from making certain distributions to us that may be necessary to maintain our status as a RIC. We may have to request a waiver of the SBA’s restrictions for our SBIC subsidiaries to make certain distributions to maintain our RIC status. We cannot assure you that the SBA will grant such waiver and if our SBIC subsidiaries are unable to obtain a waiver, compliance with the SBA regulations may result in loss of RIC tax treatment and a consequent imposition of a corporate-level U.S. federal income tax on all of our income.</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62"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 Oxley Act, and other rules implemented by the SEC. Also, we are subject to changing rules and regulations of federal and state government as well as the stock exchange on which our common stock is listed. These entities, including the Public Company Accounting Oversight Board, the SEC and the NASDAQ Stock Market, have issued a significant number of new and increasingly complex requirements and regulations over the course of the last several years and continue to develop additional regulations and requirements in response to laws enacted by Congress. Our efforts to comply with these existing requirements, or any revised or amended requirements, have resulted in, and are likely to continue to result in, an increase in expenses and a diversion of management’s time from other business activities.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received an exemptive order from the SEC exempting us from certain provisions of the 1940 Act and the Exchange Act.</w:t>
      </w:r>
    </w:p>
    <w:p>
      <w:pPr>
        <w:spacing w:after="0" w:line="140" w:lineRule="exact"/>
        <w:rPr>
          <w:sz w:val="20"/>
          <w:szCs w:val="20"/>
          <w:color w:val="auto"/>
        </w:rPr>
      </w:pPr>
    </w:p>
    <w:p>
      <w:pPr>
        <w:jc w:val="both"/>
        <w:ind w:left="40" w:right="539" w:firstLine="270"/>
        <w:spacing w:after="0" w:line="297" w:lineRule="auto"/>
        <w:rPr>
          <w:sz w:val="20"/>
          <w:szCs w:val="20"/>
          <w:color w:val="auto"/>
        </w:rPr>
      </w:pPr>
      <w:r>
        <w:rPr>
          <w:rFonts w:ascii="Arial" w:cs="Arial" w:eastAsia="Arial" w:hAnsi="Arial"/>
          <w:sz w:val="16"/>
          <w:szCs w:val="16"/>
          <w:color w:val="auto"/>
        </w:rPr>
        <w:t>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Exchange Act with respect to Fund II and Fund III. We intend to comply with the conditions of the order. As a result, we will generally be permitted to incur a greater amount of leverage relative to our total assets and net asset value, which may expose us to a greater degree of risk.</w:t>
      </w:r>
    </w:p>
    <w:p>
      <w:pPr>
        <w:spacing w:after="0" w:line="91" w:lineRule="exact"/>
        <w:rPr>
          <w:sz w:val="20"/>
          <w:szCs w:val="20"/>
          <w:color w:val="auto"/>
        </w:rPr>
      </w:pPr>
    </w:p>
    <w:p>
      <w:pPr>
        <w:ind w:left="40" w:right="779"/>
        <w:spacing w:after="0" w:line="375" w:lineRule="auto"/>
        <w:rPr>
          <w:sz w:val="20"/>
          <w:szCs w:val="20"/>
          <w:color w:val="auto"/>
        </w:rPr>
      </w:pPr>
      <w:r>
        <w:rPr>
          <w:rFonts w:ascii="Arial" w:cs="Arial" w:eastAsia="Arial" w:hAnsi="Arial"/>
          <w:sz w:val="15"/>
          <w:szCs w:val="15"/>
          <w:b w:val="1"/>
          <w:bCs w:val="1"/>
          <w:i w:val="1"/>
          <w:iCs w:val="1"/>
          <w:color w:val="auto"/>
        </w:rPr>
        <w:t>We are highly dependent on information systems and systems failures could significantly disrupt our business, which may, in turn, negatively affect the market price of our common stock and our ability to make distributions to our stockholders.</w:t>
      </w:r>
    </w:p>
    <w:p>
      <w:pPr>
        <w:spacing w:after="0" w:line="1"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Our business is highly dependent on the communications and information systems of the Investment Advisor. Certain of these systems are provided to the Investment Advisor by third-party service providers. Any failure or interruption of such systems, including as a result of the termination of an agreement with any such third-party service provider, sudden electrical or telecommunications outages, natural disasters such as earthquakes, tornadoes, and hurricanes, events arising from local or larger scale political or social matters, including terrorist attacks, and cyber-attacks could cause delays or other problems in our activities. Any of the above, in turn, could have a material adverse effect on our operating results and negatively affect the market price of our common stock and our ability to make distributions to our stockholders.</w:t>
      </w:r>
    </w:p>
    <w:p>
      <w:pPr>
        <w:spacing w:after="0" w:line="97"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b w:val="1"/>
          <w:bCs w:val="1"/>
          <w:i w:val="1"/>
          <w:iCs w:val="1"/>
          <w:color w:val="auto"/>
        </w:rPr>
        <w:t>Terrorist attacks, acts of war or natural disasters may affect the market for our common stock, impact the businesses in which we invest and harm our business, operating results and financial condition.</w:t>
      </w:r>
    </w:p>
    <w:p>
      <w:pPr>
        <w:spacing w:after="0" w:line="62"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939"/>
        <w:spacing w:after="0" w:line="264" w:lineRule="auto"/>
        <w:rPr>
          <w:sz w:val="20"/>
          <w:szCs w:val="20"/>
          <w:color w:val="auto"/>
        </w:rPr>
      </w:pPr>
      <w:r>
        <w:rPr>
          <w:rFonts w:ascii="Arial" w:cs="Arial" w:eastAsia="Arial" w:hAnsi="Arial"/>
          <w:sz w:val="18"/>
          <w:szCs w:val="18"/>
          <w:b w:val="1"/>
          <w:bCs w:val="1"/>
          <w:i w:val="1"/>
          <w:iCs w:val="1"/>
          <w:color w:val="auto"/>
        </w:rPr>
        <w:t>To the extent original issue discount and PIK interest constitute a portion of our income, we will be exposed to typical risks associated with such income being required to be included in taxable and accounting income prior to receipt of cash representing such income.</w:t>
      </w:r>
    </w:p>
    <w:p>
      <w:pPr>
        <w:spacing w:after="0" w:line="73" w:lineRule="exact"/>
        <w:rPr>
          <w:sz w:val="20"/>
          <w:szCs w:val="20"/>
          <w:color w:val="auto"/>
        </w:rPr>
      </w:pPr>
    </w:p>
    <w:p>
      <w:pPr>
        <w:ind w:left="40" w:right="779" w:firstLine="270"/>
        <w:spacing w:after="0" w:line="259" w:lineRule="auto"/>
        <w:rPr>
          <w:sz w:val="20"/>
          <w:szCs w:val="20"/>
          <w:color w:val="auto"/>
        </w:rPr>
      </w:pPr>
      <w:r>
        <w:rPr>
          <w:rFonts w:ascii="Arial" w:cs="Arial" w:eastAsia="Arial" w:hAnsi="Arial"/>
          <w:sz w:val="18"/>
          <w:szCs w:val="18"/>
          <w:color w:val="auto"/>
        </w:rPr>
        <w:t>Our investments may include original issue discount (“OID”) instruments and contractual PIK interest, which represents contractual interest added to a loan balance and due at the end of such loan’s term. To the extent OID or PIK interest constitute a portion of our income, we are exposed to typical risks associated with such income being required to be included in taxable and accounting income prior to receipt of cash, including the following:</w:t>
      </w:r>
    </w:p>
    <w:p>
      <w:pPr>
        <w:spacing w:after="0" w:line="79" w:lineRule="exact"/>
        <w:rPr>
          <w:sz w:val="20"/>
          <w:szCs w:val="20"/>
          <w:color w:val="auto"/>
        </w:rPr>
      </w:pPr>
    </w:p>
    <w:p>
      <w:pPr>
        <w:ind w:left="600" w:right="1339" w:hanging="322"/>
        <w:spacing w:after="0" w:line="277" w:lineRule="auto"/>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OID instruments may have higher yields, which reflect the payment deferral and credit risk associated with these instruments;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OID accruals may create uncertainty about the source of our distributions to stockholders;</w:t>
      </w:r>
    </w:p>
    <w:p>
      <w:pPr>
        <w:spacing w:after="0" w:line="117" w:lineRule="exact"/>
        <w:rPr>
          <w:rFonts w:ascii="Arial" w:cs="Arial" w:eastAsia="Arial" w:hAnsi="Arial"/>
          <w:sz w:val="18"/>
          <w:szCs w:val="18"/>
          <w:color w:val="auto"/>
        </w:rPr>
      </w:pPr>
    </w:p>
    <w:p>
      <w:pPr>
        <w:ind w:left="600" w:right="739" w:hanging="322"/>
        <w:spacing w:after="0" w:line="277" w:lineRule="auto"/>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OID and PIK instruments may have unreliable valuations because their continuing accruals require continuing judgments about the collectability of the deferred payments and the value of the collateral;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OID and PIK instruments may represent a higher credit risk than coupon loans.</w:t>
      </w:r>
    </w:p>
    <w:p>
      <w:pPr>
        <w:spacing w:after="0" w:line="158" w:lineRule="exact"/>
        <w:rPr>
          <w:sz w:val="20"/>
          <w:szCs w:val="20"/>
          <w:color w:val="auto"/>
        </w:rPr>
      </w:pPr>
    </w:p>
    <w:p>
      <w:pPr>
        <w:jc w:val="both"/>
        <w:ind w:left="40" w:right="679"/>
        <w:spacing w:after="0" w:line="264" w:lineRule="auto"/>
        <w:rPr>
          <w:sz w:val="20"/>
          <w:szCs w:val="20"/>
          <w:color w:val="auto"/>
        </w:rPr>
      </w:pPr>
      <w:r>
        <w:rPr>
          <w:rFonts w:ascii="Arial" w:cs="Arial" w:eastAsia="Arial" w:hAnsi="Arial"/>
          <w:sz w:val="18"/>
          <w:szCs w:val="18"/>
          <w:b w:val="1"/>
          <w:bCs w:val="1"/>
          <w:i w:val="1"/>
          <w:iCs w:val="1"/>
          <w:color w:val="auto"/>
        </w:rPr>
        <w:t>If we cannot obtain additional capital because of either regulatory or market price constraints, we could be forced to curtail or cease our new lending and investment activities, our net asset value could decrease and our level of distributions and liquidity could be affected adversely.</w:t>
      </w:r>
    </w:p>
    <w:p>
      <w:pPr>
        <w:spacing w:after="0" w:line="73"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Our ability to secure additional financing and satisfy our financial obligations under indebtedness outstanding from time to time will depend upon our future operating performance, which is subject to the prevailing general economic and credit market conditions, including interest rate levels and the availability of credit generally, and financial, business and other factors, many of which are beyond our control. The prolonged continuation or worsening of current economic and capital market conditions could have a material adverse effect on our ability to secure financing on favorable terms, if at all.</w:t>
      </w:r>
    </w:p>
    <w:p>
      <w:pPr>
        <w:spacing w:after="0" w:line="64" w:lineRule="exact"/>
        <w:rPr>
          <w:sz w:val="20"/>
          <w:szCs w:val="20"/>
          <w:color w:val="auto"/>
        </w:rPr>
      </w:pPr>
    </w:p>
    <w:p>
      <w:pPr>
        <w:jc w:val="both"/>
        <w:ind w:left="40" w:right="939" w:firstLine="270"/>
        <w:spacing w:after="0" w:line="264" w:lineRule="auto"/>
        <w:rPr>
          <w:sz w:val="20"/>
          <w:szCs w:val="20"/>
          <w:color w:val="auto"/>
        </w:rPr>
      </w:pPr>
      <w:r>
        <w:rPr>
          <w:rFonts w:ascii="Arial" w:cs="Arial" w:eastAsia="Arial" w:hAnsi="Arial"/>
          <w:sz w:val="18"/>
          <w:szCs w:val="18"/>
          <w:color w:val="auto"/>
        </w:rPr>
        <w:t>If we are unable to obtain additional debt capital, then our equity investors will not benefit from the potential for increased returns on equity resulting from leverage to the extent that our investment strategy is successful and we may be limited in our ability to make new commitments or fundings to our portfolio companies.</w:t>
      </w:r>
    </w:p>
    <w:p>
      <w:pPr>
        <w:spacing w:after="0" w:line="114" w:lineRule="exact"/>
        <w:rPr>
          <w:sz w:val="20"/>
          <w:szCs w:val="20"/>
          <w:color w:val="auto"/>
        </w:rPr>
      </w:pPr>
    </w:p>
    <w:p>
      <w:pPr>
        <w:ind w:left="40" w:right="699"/>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under the JOBS Act, and we cannot be certain if the reduced disclosure requirements applicable to emerging growth companies will make our securities less attractive to investors.</w:t>
      </w:r>
    </w:p>
    <w:p>
      <w:pPr>
        <w:spacing w:after="0" w:line="38"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We are and we will remain an “emerging growth company” as defined in the JOBS Act until the earlier of (a) the last day of the fiscal year (i) following the fifth anniversary of the completion of our IPO, (ii) in which we have total annual gross revenue of at least $1.0 billion, or (iii) in which we are deemed to be a large accelerated filer, which means the market value of our common stock that is held by non-affiliates exceeds $700 million as of the end of the previous second fiscal quarter, and (b) the date on which we have issued more than $1.0 billion in non-convertible debt during the prior three-year period. For so long as we remain an “emerging growth company” we have chosen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w:t>
      </w:r>
    </w:p>
    <w:p>
      <w:pPr>
        <w:spacing w:after="0" w:line="71" w:lineRule="exact"/>
        <w:rPr>
          <w:sz w:val="20"/>
          <w:szCs w:val="20"/>
          <w:color w:val="auto"/>
        </w:rPr>
      </w:pPr>
    </w:p>
    <w:p>
      <w:pPr>
        <w:ind w:left="40" w:right="759" w:firstLine="270"/>
        <w:spacing w:after="0" w:line="272" w:lineRule="auto"/>
        <w:rPr>
          <w:sz w:val="20"/>
          <w:szCs w:val="20"/>
          <w:color w:val="auto"/>
        </w:rPr>
      </w:pPr>
      <w:r>
        <w:rPr>
          <w:rFonts w:ascii="Arial" w:cs="Arial" w:eastAsia="Arial" w:hAnsi="Arial"/>
          <w:sz w:val="17"/>
          <w:szCs w:val="17"/>
          <w:color w:val="auto"/>
        </w:rPr>
        <w:t>In addition, Section 107 of the JOBS Act also provides that an “emerging growth company” may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chosen to take advantage of the extended transition period for complying with new or revised accounting standards, which may make it more difficult for investors and securities analysts to evaluate us since our financial statements may not be comparable to companies that comply with public company effective dates and may result in less investor confidence.</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Because of the exemptions from various reporting requirements provided to us as an “emerging growth company” under the JOBS Act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97"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b w:val="1"/>
          <w:bCs w:val="1"/>
          <w:i w:val="1"/>
          <w:iCs w:val="1"/>
          <w:color w:val="auto"/>
        </w:rPr>
        <w:t>Our Board is authorized to reclassify any unissued shares of common stock into one or more classes of preferred stock, which could convey special rights and privileges to its owners.</w:t>
      </w:r>
    </w:p>
    <w:p>
      <w:pPr>
        <w:spacing w:after="0" w:line="62"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6"/>
          <w:szCs w:val="16"/>
          <w:color w:val="auto"/>
        </w:rPr>
        <w:t>Under Maryland General Corporation Law and our charter, our Board is authorized to classify and reclassify any authorized but unissued shares of stock into one or more classes of stock, including preferred stock. Prior to the issuance of shares of each class or series, our Board will be required by Maryland law and our charter to set the terms, preferences, conversion or other rights, voting powers, restrictions, limitations as to dividends or other distributions, qualifications and terms or conditions of redemption for each class or series. Thus, our Board could authorize the issuance of shares of preferred stock with terms and conditions that could have the effect of delaying, deferring or preventing a transaction or a change in control that might involve a premium price for holders of our common stock or otherwise be in their best interest. The cost of any such reclassification would be borne by our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The issuance of preferred shares convertible into shares of common stock may also reduce the net income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your investment in our common stock.</w:t>
      </w:r>
    </w:p>
    <w:p>
      <w:pPr>
        <w:spacing w:after="0" w:line="101"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left="40" w:right="599" w:firstLine="270"/>
        <w:spacing w:after="0" w:line="287" w:lineRule="auto"/>
        <w:rPr>
          <w:sz w:val="20"/>
          <w:szCs w:val="20"/>
          <w:color w:val="auto"/>
        </w:rPr>
      </w:pPr>
      <w:r>
        <w:rPr>
          <w:rFonts w:ascii="Arial" w:cs="Arial" w:eastAsia="Arial" w:hAnsi="Arial"/>
          <w:sz w:val="16"/>
          <w:szCs w:val="16"/>
          <w:color w:val="auto"/>
        </w:rPr>
        <w:t>The Maryland General Corporation Law and our charter and bylaws contain provisions that may discourage, delay or make more difficult a change in control of Capitala Finance or the removal of our directors. We are subject to the Maryland Business Combination Act, subject to any applicable requirements of the 1940 Act. Our Board has adopted a resolution exempting from the Maryland Business Combination Act any business combination between us and any other person, subject to prior approval of such business combination by our Board, including approval by a majority of our independent directors. If the resolution exempting business combinations is repealed or our Board does not approve a business combination, the Maryland Business Combination Act may discourage third parties from trying to acquire control of us and increase the difficulty of consummating such an offer. Our bylaws exempt from the Maryland Control Share Acquisition Act acquisitions of our stock by any person. If we amend our bylaws to repeal the exemption from the Maryland Control Share Acquisition Act, the Maryland Control Share Acquisition Act also may make it more difficult for a third-party to obtain control of us and increase the difficulty of consummating such a transaction. It is the position of the staff of the SEC’s Division of Investment Management that if a BDC fails to opt-out of the Maryland Control Share Acquisition Act, it acts in a manner inconsistent with Section 18(i) of the 1940 Act.</w:t>
      </w:r>
    </w:p>
    <w:p>
      <w:pPr>
        <w:spacing w:after="0" w:line="61"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We have also adopted measures that may make it difficult for a third-party to obtain control of us, including provisions of our charter classifying our Board in three classes serving staggered three-year terms, and authorizing our Board to classify or reclassify shares of our stock in one or more classes or series, to cause the issuance of additional shares of our stock, to amend our charter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The foregoing provisions are expected to discourage certain coercive takeover practices and inadequate takeover bids and to encourage persons seeking to acquire control of us to negotiate first with our Board. However, these provisions may deprive a shareholder of the opportunity to sell such shareholder’s shares at a premium to a potential acquirer. We believe that the benefits of these provisions outweigh the potential disadvantages of discouraging any such acquisition proposals because, among other things, the negotiation of such proposals may improve their terms. Our Board has considered both the positive and negative effects of the foregoing provisions and determined that they are in the best interest of our shareholders.</w:t>
      </w:r>
    </w:p>
    <w:p>
      <w:pPr>
        <w:spacing w:after="0" w:line="97" w:lineRule="exact"/>
        <w:rPr>
          <w:sz w:val="20"/>
          <w:szCs w:val="20"/>
          <w:color w:val="auto"/>
        </w:rPr>
      </w:pPr>
    </w:p>
    <w:p>
      <w:pPr>
        <w:ind w:left="40" w:right="779"/>
        <w:spacing w:after="0" w:line="264" w:lineRule="auto"/>
        <w:rPr>
          <w:sz w:val="20"/>
          <w:szCs w:val="20"/>
          <w:color w:val="auto"/>
        </w:rPr>
      </w:pPr>
      <w:r>
        <w:rPr>
          <w:rFonts w:ascii="Arial" w:cs="Arial" w:eastAsia="Arial" w:hAnsi="Arial"/>
          <w:sz w:val="18"/>
          <w:szCs w:val="18"/>
          <w:b w:val="1"/>
          <w:bCs w:val="1"/>
          <w:i w:val="1"/>
          <w:iCs w:val="1"/>
          <w:color w:val="auto"/>
        </w:rPr>
        <w:t>The failure in cyber security systems, as well as the occurrence of events unanticipated in the Company’s disaster recovery systems and management continuity planning or a support failure from external providers during a disaster could impair the Company’s ability to conduct business effectively.</w:t>
      </w:r>
    </w:p>
    <w:p>
      <w:pPr>
        <w:spacing w:after="0" w:line="73"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The occurrence of a disaster such as a cyber-attack, a natural catastrophe, an industrial accident, a terrorist attack or war, events unanticipated in the Company’s disaster recovery systems, or a support failure from external providers, could have an adverse effect on the Company’s ability to conduct business and on the Company’s results of operations and financial condition, particularly if those events affect the Company’s computer-based data processing, transmission, storage, and retrieval systems or destroy data. If a significant number of the Company’s managers were unavailable in the event of a disaster, the Company’s ability to effectively conduct its business could be severely compromised.</w:t>
      </w:r>
    </w:p>
    <w:p>
      <w:pPr>
        <w:spacing w:after="0" w:line="70"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Our business relies on secure information technology systems. We depend heavily upon computer systems to perform necessary business functions. These systems are subject to potential attacks, including through adverse events that threaten the confidentiality, integrity or availability of our information resources (i.e. cyber-attacks). Despite the Company’s implementation of a variety of security measures, its computer systems could be subject to cyber-attacks and unauthorized access, such as physical and electronic break-ins or unauthorized tampering. Like other companies, the Company may experience threats to its data and systems, including malware and computer virus attacks, unauthorized access, system failures and disruptions. If one or more of these events occurs, it could potentially jeopardize the confidential, proprietary and other information processed and stored in, and transmitted through, the Company’s computer systems and networks, or otherwise cause interruptions or malfunctions in its operations, which could result in damage to the Company’s reputation, financial losses, litigation, increased costs, regulatory penalties and/or customer dissatisfaction or loss.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Investments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We invest primarily in first lien loans, second lien loans, subordinated debt investments and select equity investments issued by leveraged companies, each of which carries with it a significant degree of risk.</w:t>
      </w:r>
    </w:p>
    <w:p>
      <w:pPr>
        <w:spacing w:after="0" w:line="62"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b w:val="1"/>
          <w:bCs w:val="1"/>
          <w:i w:val="1"/>
          <w:iCs w:val="1"/>
          <w:color w:val="auto"/>
        </w:rPr>
        <w:t xml:space="preserve">First Lien Loans. </w:t>
      </w:r>
      <w:r>
        <w:rPr>
          <w:rFonts w:ascii="Arial" w:cs="Arial" w:eastAsia="Arial" w:hAnsi="Arial"/>
          <w:sz w:val="16"/>
          <w:szCs w:val="16"/>
          <w:color w:val="auto"/>
        </w:rPr>
        <w:t>There is a risk that the collateral securing our loans may decrease in value over time, may be difficult to sell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 timely manner, may be difficult to appraise 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59"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b w:val="1"/>
          <w:bCs w:val="1"/>
          <w:i w:val="1"/>
          <w:iCs w:val="1"/>
          <w:color w:val="auto"/>
        </w:rPr>
        <w:t xml:space="preserve">Second Lien Loans. </w:t>
      </w:r>
      <w:r>
        <w:rPr>
          <w:rFonts w:ascii="Arial" w:cs="Arial" w:eastAsia="Arial" w:hAnsi="Arial"/>
          <w:sz w:val="18"/>
          <w:szCs w:val="18"/>
          <w:color w:val="auto"/>
        </w:rPr>
        <w:t>Our second lien debt investments have a second priority security interest in all or substantially all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of the borrower. As such, other creditors may rank senior to us in the event of an insolvency, which could likely in many cases result in a substantial or complete loss on such investment in the case of such insolvency. This may result in an above average amount of risk and loss of principal.</w:t>
      </w:r>
    </w:p>
    <w:p>
      <w:pPr>
        <w:spacing w:after="0" w:line="79"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b w:val="1"/>
          <w:bCs w:val="1"/>
          <w:i w:val="1"/>
          <w:iCs w:val="1"/>
          <w:color w:val="auto"/>
        </w:rPr>
        <w:t xml:space="preserve">Subordinated Loans. </w:t>
      </w:r>
      <w:r>
        <w:rPr>
          <w:rFonts w:ascii="Arial" w:cs="Arial" w:eastAsia="Arial" w:hAnsi="Arial"/>
          <w:sz w:val="18"/>
          <w:szCs w:val="18"/>
          <w:color w:val="auto"/>
        </w:rPr>
        <w:t>Our subordinated debt investments are generally subordinated to first lien loans and may be unsecured.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such, other creditors may rank senior to us in the event of an insolvency, which could likely in many cases result in a substantial or complete loss on such investment in the case of such insolvency. This may result in an above average amount of risk and loss of principal.</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b w:val="1"/>
          <w:bCs w:val="1"/>
          <w:i w:val="1"/>
          <w:iCs w:val="1"/>
          <w:color w:val="auto"/>
        </w:rPr>
        <w:t xml:space="preserve">Equity Investments. </w:t>
      </w:r>
      <w:r>
        <w:rPr>
          <w:rFonts w:ascii="Arial" w:cs="Arial" w:eastAsia="Arial" w:hAnsi="Arial"/>
          <w:sz w:val="18"/>
          <w:szCs w:val="18"/>
          <w:color w:val="auto"/>
        </w:rPr>
        <w:t>When we invest in loans, we may acquire equity securities as well. In addition, we may invest directly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equity securities of portfolio companies.</w:t>
      </w:r>
    </w:p>
    <w:p>
      <w:pPr>
        <w:spacing w:after="0" w:line="62"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The portfolio currently has several significant equity positions. Distributions, dispositions, or liquidity events of these investments may affect our results of operations and cause us to have to pay a special dividend relating to the realized gains from such investment in order to minimize to the greatest extent possible our U.S. federal income or excise tax liability.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investing in lower and traditional middle-market companies involves a number of significant risks, including:</w:t>
      </w:r>
    </w:p>
    <w:p>
      <w:pPr>
        <w:spacing w:after="0" w:line="129" w:lineRule="exact"/>
        <w:rPr>
          <w:sz w:val="20"/>
          <w:szCs w:val="20"/>
          <w:color w:val="auto"/>
        </w:rPr>
      </w:pPr>
    </w:p>
    <w:p>
      <w:pPr>
        <w:ind w:left="600" w:right="759" w:hanging="322"/>
        <w:spacing w:after="0" w:line="286" w:lineRule="auto"/>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7" w:lineRule="exact"/>
        <w:rPr>
          <w:rFonts w:ascii="Arial" w:cs="Arial" w:eastAsia="Arial" w:hAnsi="Arial"/>
          <w:sz w:val="17"/>
          <w:szCs w:val="17"/>
          <w:color w:val="auto"/>
        </w:rPr>
      </w:pPr>
    </w:p>
    <w:p>
      <w:pPr>
        <w:jc w:val="both"/>
        <w:ind w:left="600" w:right="879" w:hanging="322"/>
        <w:spacing w:after="0" w:line="264"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they typically have shorter operating histories, narrower product lines and smaller market shares than larger businesses, which tend to render them more vulnerable to competitors’ actions and market conditions, as well as general economic downturns;</w:t>
      </w:r>
    </w:p>
    <w:p>
      <w:pPr>
        <w:spacing w:after="0" w:line="73" w:lineRule="exact"/>
        <w:rPr>
          <w:rFonts w:ascii="Arial" w:cs="Arial" w:eastAsia="Arial" w:hAnsi="Arial"/>
          <w:sz w:val="18"/>
          <w:szCs w:val="18"/>
          <w:color w:val="auto"/>
        </w:rPr>
      </w:pPr>
    </w:p>
    <w:p>
      <w:pPr>
        <w:ind w:left="600" w:right="639" w:hanging="322"/>
        <w:spacing w:after="0" w:line="264"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3" w:lineRule="exact"/>
        <w:rPr>
          <w:rFonts w:ascii="Arial" w:cs="Arial" w:eastAsia="Arial" w:hAnsi="Arial"/>
          <w:sz w:val="18"/>
          <w:szCs w:val="18"/>
          <w:color w:val="auto"/>
        </w:rPr>
      </w:pPr>
    </w:p>
    <w:p>
      <w:pPr>
        <w:ind w:left="600" w:right="899" w:hanging="322"/>
        <w:spacing w:after="0" w:line="312" w:lineRule="auto"/>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38" w:lineRule="exact"/>
        <w:rPr>
          <w:rFonts w:ascii="Arial" w:cs="Arial" w:eastAsia="Arial" w:hAnsi="Arial"/>
          <w:sz w:val="16"/>
          <w:szCs w:val="16"/>
          <w:color w:val="auto"/>
        </w:rPr>
      </w:pPr>
    </w:p>
    <w:p>
      <w:pPr>
        <w:ind w:left="600" w:right="599" w:hanging="322"/>
        <w:spacing w:after="0" w:line="277"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 and</w:t>
      </w:r>
    </w:p>
    <w:p>
      <w:pPr>
        <w:spacing w:after="0" w:line="62" w:lineRule="exact"/>
        <w:rPr>
          <w:rFonts w:ascii="Arial" w:cs="Arial" w:eastAsia="Arial" w:hAnsi="Arial"/>
          <w:sz w:val="18"/>
          <w:szCs w:val="18"/>
          <w:color w:val="auto"/>
        </w:rPr>
      </w:pPr>
    </w:p>
    <w:p>
      <w:pPr>
        <w:ind w:left="600" w:right="1299" w:hanging="322"/>
        <w:spacing w:after="0" w:line="277"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executive officers, directors and our Investment Advisor may, in the ordinary course of business, be named as defendants in litigation arising from our investments in the portfolio companies.</w:t>
      </w:r>
    </w:p>
    <w:p>
      <w:pPr>
        <w:spacing w:after="0" w:line="89" w:lineRule="exact"/>
        <w:rPr>
          <w:sz w:val="20"/>
          <w:szCs w:val="20"/>
          <w:color w:val="auto"/>
        </w:rPr>
      </w:pPr>
    </w:p>
    <w:p>
      <w:pPr>
        <w:ind w:left="40" w:right="699"/>
        <w:spacing w:after="0" w:line="312" w:lineRule="auto"/>
        <w:rPr>
          <w:sz w:val="20"/>
          <w:szCs w:val="20"/>
          <w:color w:val="auto"/>
        </w:rPr>
      </w:pPr>
      <w:r>
        <w:rPr>
          <w:rFonts w:ascii="Arial" w:cs="Arial" w:eastAsia="Arial" w:hAnsi="Arial"/>
          <w:sz w:val="16"/>
          <w:szCs w:val="16"/>
          <w:b w:val="1"/>
          <w:bCs w:val="1"/>
          <w:i w:val="1"/>
          <w:iCs w:val="1"/>
          <w:color w:val="auto"/>
        </w:rPr>
        <w:t>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w:t>
      </w:r>
    </w:p>
    <w:p>
      <w:pPr>
        <w:spacing w:after="0" w:line="39" w:lineRule="exact"/>
        <w:rPr>
          <w:sz w:val="20"/>
          <w:szCs w:val="20"/>
          <w:color w:val="auto"/>
        </w:rPr>
      </w:pPr>
    </w:p>
    <w:p>
      <w:pPr>
        <w:ind w:left="40" w:right="619" w:firstLine="270"/>
        <w:spacing w:after="0" w:line="268" w:lineRule="auto"/>
        <w:rPr>
          <w:sz w:val="20"/>
          <w:szCs w:val="20"/>
          <w:color w:val="auto"/>
        </w:rPr>
      </w:pPr>
      <w:r>
        <w:rPr>
          <w:rFonts w:ascii="Arial" w:cs="Arial" w:eastAsia="Arial" w:hAnsi="Arial"/>
          <w:sz w:val="17"/>
          <w:szCs w:val="17"/>
          <w:color w:val="auto"/>
        </w:rPr>
        <w:t>Our portfolio consists primarily of debt and equity investments in smaller privately owned venture capital-backed companies. Investing in venture capital-backed companies involves a number of significant risks. Typically, the debt in which we will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Compared to larger publicly owned companies, these venture capital-backed companies may be in a weaker financial position and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often face intense competition from larger companies with greater financial, technical and marketing resources and their success typically depends on the managerial talents and efforts of an individual or a small group of persons. Therefore, any loss of its key employees could affect a portfolio company’s ability to compete effectively and harm its financial condition. Further, some of these companies conduct business in regulated industries that are susceptible to regulatory changes. These factors could impair the cash flow of our portfolio companies and result in other events, such as bankruptcy. These events could limit a portfolio company’s</w:t>
      </w:r>
    </w:p>
    <w:p>
      <w:pPr>
        <w:spacing w:after="0" w:line="200" w:lineRule="exact"/>
        <w:rPr>
          <w:sz w:val="20"/>
          <w:szCs w:val="20"/>
          <w:color w:val="auto"/>
        </w:rPr>
      </w:pPr>
    </w:p>
    <w:p>
      <w:pPr>
        <w:spacing w:after="0" w:line="33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59"/>
        <w:spacing w:after="0" w:line="264" w:lineRule="auto"/>
        <w:rPr>
          <w:sz w:val="20"/>
          <w:szCs w:val="20"/>
          <w:color w:val="auto"/>
        </w:rPr>
      </w:pPr>
      <w:r>
        <w:rPr>
          <w:rFonts w:ascii="Arial" w:cs="Arial" w:eastAsia="Arial" w:hAnsi="Arial"/>
          <w:sz w:val="18"/>
          <w:szCs w:val="18"/>
          <w:color w:val="auto"/>
        </w:rPr>
        <w:t>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spacing w:after="0" w:line="73"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Generally, little public information exists about these companies, and we are required to rely on the ability of our Investment Advisor’s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112"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Many of our loans are not fully amortizing and if a borrower cannot repay or refinance such loans at maturity, our results will suffer.</w:t>
      </w:r>
    </w:p>
    <w:p>
      <w:pPr>
        <w:spacing w:after="0" w:line="62"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Most of the loans in which we invest are not structured to fully amortize during their lifetime. Accordingly, a significant portion of the principal amount of such a loan may be due at maturity. As of December 31, 2016, all debt instruments in our portfolio, on a fair value basis, will not fully amortize prior to maturity. In order to create liquidity to pay the final principal payment, borrowers typically must raise additional capital. If they are unable to raise sufficient funds to repay us or we have not elected to enter into a new loan agreement providing for an extended maturity, the loan will go into default, which will require us to foreclose on the borrower’s assets, even if the loan was otherwise performing prior to maturity. This will deprive Capitala Finance from immediately obtaining full recovery on the loan and prevent or delay the reinvestment of the loan proceeds in other, more profitable investments.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investments in leveraged portfolio companies may be risky, and you could lose all or part of your investment.</w:t>
      </w:r>
    </w:p>
    <w:p>
      <w:pPr>
        <w:spacing w:after="0" w:line="129"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Investment in leveraged companies involves a number of significant risks. Leveraged companies in which we invest may have limited financial resources and may be unable to meet their obligations under their loans and debt securities that we hold. Such developments may be accompanied by a deterioration in the value of any collateral and a reduction in the likelihood of our realizing any guarantees that we may have obtained in connection with our investment. Smaller leveraged companies also may have less predictable operating results and may require substantial additional capital to support their operations, finance their expansion or maintain their competitive position.</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portfolio companies may incur debt that ranks equally with, or senior to, our investments in such companies.</w:t>
      </w:r>
    </w:p>
    <w:p>
      <w:pPr>
        <w:spacing w:after="0" w:line="129"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sufficient remaining assets to repay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01" w:lineRule="exact"/>
        <w:rPr>
          <w:sz w:val="20"/>
          <w:szCs w:val="20"/>
          <w:color w:val="auto"/>
        </w:rPr>
      </w:pPr>
    </w:p>
    <w:p>
      <w:pPr>
        <w:jc w:val="both"/>
        <w:ind w:left="40" w:right="739"/>
        <w:spacing w:after="0" w:line="264" w:lineRule="auto"/>
        <w:rPr>
          <w:sz w:val="20"/>
          <w:szCs w:val="20"/>
          <w:color w:val="auto"/>
        </w:rPr>
      </w:pPr>
      <w:r>
        <w:rPr>
          <w:rFonts w:ascii="Arial" w:cs="Arial" w:eastAsia="Arial" w:hAnsi="Arial"/>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73" w:lineRule="exact"/>
        <w:rPr>
          <w:sz w:val="20"/>
          <w:szCs w:val="20"/>
          <w:color w:val="auto"/>
        </w:rPr>
      </w:pPr>
    </w:p>
    <w:p>
      <w:pPr>
        <w:ind w:left="40" w:right="779" w:firstLine="270"/>
        <w:spacing w:after="0" w:line="264" w:lineRule="auto"/>
        <w:rPr>
          <w:sz w:val="20"/>
          <w:szCs w:val="20"/>
          <w:color w:val="auto"/>
        </w:rPr>
      </w:pPr>
      <w:r>
        <w:rPr>
          <w:rFonts w:ascii="Arial" w:cs="Arial" w:eastAsia="Arial" w:hAnsi="Arial"/>
          <w:sz w:val="18"/>
          <w:szCs w:val="18"/>
          <w:color w:val="auto"/>
        </w:rPr>
        <w:t>Certain loans that we make are secured by a second priority security interest in the same collateral pledged by a portfolio company to secure senior debt owed by the portfolio company to commercial banks or other traditional lenders. Often the senior lender has procured covenants from the portfolio company</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59"/>
        <w:spacing w:after="0" w:line="288" w:lineRule="auto"/>
        <w:rPr>
          <w:sz w:val="20"/>
          <w:szCs w:val="20"/>
          <w:color w:val="auto"/>
        </w:rPr>
      </w:pPr>
      <w:r>
        <w:rPr>
          <w:rFonts w:ascii="Arial" w:cs="Arial" w:eastAsia="Arial" w:hAnsi="Arial"/>
          <w:sz w:val="16"/>
          <w:szCs w:val="16"/>
          <w:color w:val="auto"/>
        </w:rPr>
        <w:t>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requires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(i) the commencement of foreclosure or other proceedings to liquidate and collect on the collateral; (ii) the nature, timing and conduct of foreclosure or other collection proceedings; (iii) the amendment of any collateral document; (iv) the release of the security interests in respect of any collateral; and (v) the waiver of defaults under any security agreement. Because of the control we may cede to senior lenders under intercreditor agreements we may enter, we may be unable to realize the proceeds of any collateral securing some of our loans.</w:t>
      </w:r>
    </w:p>
    <w:p>
      <w:pPr>
        <w:spacing w:after="0" w:line="88"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b w:val="1"/>
          <w:bCs w:val="1"/>
          <w:i w:val="1"/>
          <w:iCs w:val="1"/>
          <w:color w:val="auto"/>
        </w:rPr>
        <w:t>If we make subordinated investments, the obligors or the portfolio companies may not generate sufficient cash flow to service their debt obligations to us.</w:t>
      </w:r>
    </w:p>
    <w:p>
      <w:pPr>
        <w:spacing w:after="0" w:line="62"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We have made, and may make, subordinated investments that rank below other obligations of the obligor in right of payment. Subordinated investments are subject to greater risk of default than senior obligations as a result of adverse changes in the financial condition of the obligor or economic conditions in general. If we make a subordinated investment in a portfolio company, the portfolio company may be highly leveraged, and its relatively high debt-to-equity ratio may create increased risks that its operations might not generate sufficient cash flow to service all of its debt obligations.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disposition of our investments may result in contingent liabilities.</w:t>
      </w:r>
    </w:p>
    <w:p>
      <w:pPr>
        <w:spacing w:after="0" w:line="11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Substantially all of our investments involve loans and private securities. In connection with the disposition of an investment in loans and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our return of distributions previously made to us.</w:t>
      </w:r>
    </w:p>
    <w:p>
      <w:pPr>
        <w:spacing w:after="0" w:line="126" w:lineRule="exact"/>
        <w:rPr>
          <w:sz w:val="20"/>
          <w:szCs w:val="20"/>
          <w:color w:val="auto"/>
        </w:rPr>
      </w:pPr>
    </w:p>
    <w:p>
      <w:pPr>
        <w:ind w:left="40" w:right="999"/>
        <w:spacing w:after="0" w:line="277"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62"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6"/>
          <w:szCs w:val="16"/>
          <w:color w:val="auto"/>
        </w:rPr>
        <w:t>Even though we may have structured most of our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 Such risk of equitable subordination may be potentially heightened with respect to various portfolio investments that we may be deemed to control. See also “— Because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Economic recessions could impair our portfolio companies and harm our operating results.</w:t>
      </w:r>
    </w:p>
    <w:p>
      <w:pPr>
        <w:spacing w:after="0" w:line="117"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Certain of our portfolio companies may be susceptible to an economic downturn and may be unable to repay our loans during this period. Therefore, assets may become non-performing and the value of our portfolio may decrease during this period. The adverse economic conditions also may decrease the value of collateral securing some of our loans and the value of our equity investments. A recession could lead to financial losses in our portfolio and a decrease in our revenues, net income and the value of our assets.</w:t>
      </w:r>
    </w:p>
    <w:p>
      <w:pPr>
        <w:spacing w:after="0" w:line="80"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Adverse economic conditions also may decrease the value of collateral securing some of our loans and the value of our equity investments at fair value. Unfavorable economic conditions also could increase our funding costs, limit our access to the capital markets or result in a decision by lenders not to extend credit to us. These events could prevent us from increasing investments and harm our operating results.</w:t>
      </w:r>
    </w:p>
    <w:p>
      <w:pPr>
        <w:spacing w:after="0" w:line="79"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actually provided significant managerial assistance to that portfolio company, a bankruptcy court might re-characterize our debt holdings and subordinate all or a portion of our claim to that of other creditors.</w:t>
      </w:r>
    </w:p>
    <w:p>
      <w:pPr>
        <w:spacing w:after="0" w:line="59"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These portfolio companies may face intense competition, including competition from companies with greater financial resources, more extensive research and development, manufacturing, marketing and service capabilities and greater number of qualified and experienced managerial and technical personnel. They may need additional financing which they are unable to secure and which we are unable or unwilling to provide, or they may be subject to adverse developments unrelated to the technologies they acquire.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We generally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Further, we may face other restrictions on our ability to liquidate an investment in a portfolio company to the extent that we have material non-public information regarding such portfolio company.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in order to: (i) increase or maintain in whole or in part our equity ownership percentage; (ii) exercise warrants, options or convertible securities that were acquired in the original or a subsequent financing; or (iii) attempt to preserve or enhance the value of our investment. We may elect not to make follow-on investments or otherwise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 For example, we may be prohibited under the 1940 Act from making follow-on investments in our portfolio companies that we may be deemed to “control” or in which affiliates of our Investment Advisor are also invested.</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jc w:val="both"/>
        <w:ind w:left="40" w:right="659"/>
        <w:spacing w:after="0" w:line="264" w:lineRule="auto"/>
        <w:rPr>
          <w:sz w:val="20"/>
          <w:szCs w:val="20"/>
          <w:color w:val="auto"/>
        </w:rPr>
      </w:pPr>
      <w:r>
        <w:rPr>
          <w:rFonts w:ascii="Arial" w:cs="Arial" w:eastAsia="Arial" w:hAnsi="Arial"/>
          <w:sz w:val="18"/>
          <w:szCs w:val="18"/>
          <w:b w:val="1"/>
          <w:bCs w:val="1"/>
          <w:i w:val="1"/>
          <w:iCs w:val="1"/>
          <w:color w:val="auto"/>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p>
    <w:p>
      <w:pPr>
        <w:spacing w:after="0" w:line="73"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We are prohibited under the 1940 Act from participating in certain transactions with our affiliates without the prior approval of our independent directors and, in some cases, the SEC. Any person that owns, directly or indirectly, 5% or more of our outstanding voting securities will be our affiliate for purposes of the 1940 Act and we are generally prohibited from buying or selling any security from or to such affiliate without the prior approval of our independent directors. The 1940 Act also prohibits certain “joint” transactions with certain of our affiliates, which could include concurrent investments in the same company, without prior approval of our independent directors and, in some cases, the SEC. We are prohibited from buying or selling any security from or to any person that controls us or who owns more than 25% of our voting securities or certain of that person’s affiliates, or entering into prohibited joint transactions with such persons, absent the prior approval of the SEC. As a result of these restrictions, we may be prohibited from buying or selling any security (other than any security of which we are the issuer) from or to any company that is advised or managed by our Investment Advisor or its affiliates without the prior approval of the SEC, which may limit the scope of investment opportunities that would otherwise be available to us.</w:t>
      </w:r>
    </w:p>
    <w:p>
      <w:pPr>
        <w:spacing w:after="0" w:line="75" w:lineRule="exact"/>
        <w:rPr>
          <w:sz w:val="20"/>
          <w:szCs w:val="20"/>
          <w:color w:val="auto"/>
        </w:rPr>
      </w:pPr>
    </w:p>
    <w:p>
      <w:pPr>
        <w:ind w:left="40" w:right="899" w:firstLine="270"/>
        <w:spacing w:after="0" w:line="271" w:lineRule="auto"/>
        <w:rPr>
          <w:sz w:val="20"/>
          <w:szCs w:val="20"/>
          <w:color w:val="auto"/>
        </w:rPr>
      </w:pPr>
      <w:r>
        <w:rPr>
          <w:rFonts w:ascii="Arial" w:cs="Arial" w:eastAsia="Arial" w:hAnsi="Arial"/>
          <w:sz w:val="17"/>
          <w:szCs w:val="17"/>
          <w:color w:val="auto"/>
        </w:rPr>
        <w:t>In the future, we may co-invest with investment funds, accounts and vehicles managed by our Investment Advisor or its affiliates when doing so is consistent with our investment strategy as well as applicable law and SEC staff interpretations. We generally will only be permitted to co-invest with such investment funds, accounts and vehicles where the only term that is negotiated is price. On June 1, 2016, the SEC issued an exemptive order permitting us and certain of our affiliates, to co-invest together in portfolio companies subject to certain conditions included therein. We expect that this order will permit greater flexibility to negotiate the terms of co-investments with investment funds, accounts and investment vehicles managed by our Investment Advisor or its affiliates in a manner consistent with our investment objective, positions, policies, strategies and restrictions as well as regulatory requirements and other pertinent factors.</w:t>
      </w:r>
    </w:p>
    <w:p>
      <w:pPr>
        <w:spacing w:after="0" w:line="71"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In addition, within our portfolio there are investments that may be deemed to be “controlled” investments under the 1940 Act. To the extent that our investments in such portfolio companies need to be restructured or that we choose to exit these investments in the future, our ability to do so may be limited if such restructuring or exit also involves the affiliates of our Investment Advisor because such a transaction could be considered a joint transaction prohibited by the 1940 Act in the absence of our receipt of relief from the SEC in connection with such transaction. For example, if an affiliate of our Investment Advisor were required to approve a restructuring of an investment in the portfolio and the affiliate of our Investment Advisor was deemed to be our affiliate, such a restructuring transaction may constitute a prohibited joint transaction under the 1940 Act.</w:t>
      </w:r>
    </w:p>
    <w:p>
      <w:pPr>
        <w:spacing w:after="0" w:line="100" w:lineRule="exact"/>
        <w:rPr>
          <w:sz w:val="20"/>
          <w:szCs w:val="20"/>
          <w:color w:val="auto"/>
        </w:rPr>
      </w:pPr>
    </w:p>
    <w:p>
      <w:pPr>
        <w:ind w:left="40" w:right="799"/>
        <w:spacing w:after="0" w:line="308" w:lineRule="auto"/>
        <w:rPr>
          <w:sz w:val="20"/>
          <w:szCs w:val="20"/>
          <w:color w:val="auto"/>
        </w:rPr>
      </w:pPr>
      <w:r>
        <w:rPr>
          <w:rFonts w:ascii="Arial" w:cs="Arial" w:eastAsia="Arial" w:hAnsi="Arial"/>
          <w:sz w:val="17"/>
          <w:szCs w:val="17"/>
          <w:b w:val="1"/>
          <w:bCs w:val="1"/>
          <w:i w:val="1"/>
          <w:iCs w:val="1"/>
          <w:color w:val="auto"/>
        </w:rPr>
        <w:t>Our portfolio may lack diversification among portfolio companies, which may subject us to a risk of significant loss if one or more of these companies defaults on its obligations under any of its debt instruments.</w:t>
      </w:r>
    </w:p>
    <w:p>
      <w:pPr>
        <w:spacing w:after="0" w:line="38"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Our portfolio may be concentrated in a limited number of portfolio companies. Beyond the asset diversification requirements associated with our qualification as a RIC under the Code, we do not have fixed guidelines for diversification, and our investments may be concentrated in relatively few companies. As our portfolio is less diversified than the portfolios of some larger funds, we are more susceptible to failure if a single loan fails. The disposition or liquidity of a significant investment may also adversely impact our net asset value and our results of operations. Similarly, the aggregate returns we realize may be significantly adversely affected if a small number of investments perform poorly or if we need to write down the value of any one investment.</w:t>
      </w:r>
    </w:p>
    <w:p>
      <w:pPr>
        <w:spacing w:after="0" w:line="97"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62" w:lineRule="exact"/>
        <w:rPr>
          <w:sz w:val="20"/>
          <w:szCs w:val="20"/>
          <w:color w:val="auto"/>
        </w:rPr>
      </w:pPr>
    </w:p>
    <w:p>
      <w:pPr>
        <w:jc w:val="both"/>
        <w:ind w:left="40" w:right="719" w:firstLine="270"/>
        <w:spacing w:after="0" w:line="264"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Beyond the asset diversification requirements associated with our qualification</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19"/>
        <w:spacing w:after="0" w:line="257" w:lineRule="auto"/>
        <w:rPr>
          <w:sz w:val="20"/>
          <w:szCs w:val="20"/>
          <w:color w:val="auto"/>
        </w:rPr>
      </w:pPr>
      <w:r>
        <w:rPr>
          <w:rFonts w:ascii="Arial" w:cs="Arial" w:eastAsia="Arial" w:hAnsi="Arial"/>
          <w:sz w:val="18"/>
          <w:szCs w:val="18"/>
          <w:color w:val="auto"/>
        </w:rPr>
        <w:t>as a RIC under the Code, we do not have fixed guidelines for diversification. To the extent that we assume large positions in the securities of a small number of issuers or our investments are concentrated in relatively few industries,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w:t>
      </w:r>
    </w:p>
    <w:p>
      <w:pPr>
        <w:spacing w:after="0" w:line="107" w:lineRule="exact"/>
        <w:rPr>
          <w:sz w:val="20"/>
          <w:szCs w:val="20"/>
          <w:color w:val="auto"/>
        </w:rPr>
      </w:pPr>
    </w:p>
    <w:p>
      <w:pPr>
        <w:ind w:left="40" w:right="579"/>
        <w:spacing w:after="0" w:line="308" w:lineRule="auto"/>
        <w:rPr>
          <w:sz w:val="20"/>
          <w:szCs w:val="20"/>
          <w:color w:val="auto"/>
        </w:rPr>
      </w:pPr>
      <w:r>
        <w:rPr>
          <w:rFonts w:ascii="Arial" w:cs="Arial" w:eastAsia="Arial" w:hAnsi="Arial"/>
          <w:sz w:val="17"/>
          <w:szCs w:val="17"/>
          <w:b w:val="1"/>
          <w:bCs w:val="1"/>
          <w:i w:val="1"/>
          <w:iCs w:val="1"/>
          <w:color w:val="auto"/>
        </w:rPr>
        <w:t>Our portfolio may be concentrated in a limited number of industries, which may subject us to a risk of significant loss if there is a downturn in a particular industry in which a number of our investments are concentrated.</w:t>
      </w:r>
    </w:p>
    <w:p>
      <w:pPr>
        <w:spacing w:after="0" w:line="38" w:lineRule="exact"/>
        <w:rPr>
          <w:sz w:val="20"/>
          <w:szCs w:val="20"/>
          <w:color w:val="auto"/>
        </w:rPr>
      </w:pPr>
    </w:p>
    <w:p>
      <w:pPr>
        <w:ind w:left="40" w:right="559" w:firstLine="270"/>
        <w:spacing w:after="0" w:line="302" w:lineRule="auto"/>
        <w:rPr>
          <w:sz w:val="20"/>
          <w:szCs w:val="20"/>
          <w:color w:val="auto"/>
        </w:rPr>
      </w:pPr>
      <w:r>
        <w:rPr>
          <w:rFonts w:ascii="Arial" w:cs="Arial" w:eastAsia="Arial" w:hAnsi="Arial"/>
          <w:sz w:val="16"/>
          <w:szCs w:val="16"/>
          <w:color w:val="auto"/>
        </w:rPr>
        <w:t>Our portfolio may be concentrated in a limited number of industries. A downturn in any particular industry in which we are invested could significantly impact the aggregate returns we realize. If an industry in which we have significant investments suffers from adverse business or economic conditions, as these industries have to varying degrees, a material portion of our investment portfolio could be affected adversely, which, in turn, could adversely affect our financial position and results of operations.</w:t>
      </w:r>
    </w:p>
    <w:p>
      <w:pPr>
        <w:spacing w:after="0" w:line="87" w:lineRule="exact"/>
        <w:rPr>
          <w:sz w:val="20"/>
          <w:szCs w:val="20"/>
          <w:color w:val="auto"/>
        </w:rPr>
      </w:pPr>
    </w:p>
    <w:p>
      <w:pPr>
        <w:jc w:val="both"/>
        <w:ind w:left="40" w:right="619"/>
        <w:spacing w:after="0" w:line="264" w:lineRule="auto"/>
        <w:rPr>
          <w:sz w:val="20"/>
          <w:szCs w:val="20"/>
          <w:color w:val="auto"/>
        </w:rPr>
      </w:pPr>
      <w:r>
        <w:rPr>
          <w:rFonts w:ascii="Arial" w:cs="Arial" w:eastAsia="Arial" w:hAnsi="Arial"/>
          <w:sz w:val="18"/>
          <w:szCs w:val="18"/>
          <w:b w:val="1"/>
          <w:bCs w:val="1"/>
          <w:i w:val="1"/>
          <w:iCs w:val="1"/>
          <w:color w:val="auto"/>
        </w:rPr>
        <w:t>Because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73"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We currently hold controlling equity positions in six portfolio companies. Although we may do so in the future, we expect that we will not hold controlling equity positions in most of our portfolio companies. If we do not hold a controlling equity position in a portfolio company, we are subject to the risk that the portfolio company may make business decisions with which we disagree, and that the management and/or stockholders of the portfolio company may take risks or otherwise act in ways that are adverse to our interests. Due to the lack of liquidity of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Defaults by our portfolio companies will harm our operating results.</w:t>
      </w:r>
    </w:p>
    <w:p>
      <w:pPr>
        <w:spacing w:after="0" w:line="117"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Any extension or restructuring of our loans could adversely affect our cash flows. In addition, 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 creditors. If any of these occur, it could materially and adversely affect our operating results and cash flows.</w:t>
      </w:r>
    </w:p>
    <w:p>
      <w:pPr>
        <w:spacing w:after="0" w:line="101" w:lineRule="exact"/>
        <w:rPr>
          <w:sz w:val="20"/>
          <w:szCs w:val="20"/>
          <w:color w:val="auto"/>
        </w:rPr>
      </w:pPr>
    </w:p>
    <w:p>
      <w:pPr>
        <w:ind w:left="40" w:right="779"/>
        <w:spacing w:after="0" w:line="286" w:lineRule="auto"/>
        <w:rPr>
          <w:sz w:val="20"/>
          <w:szCs w:val="20"/>
          <w:color w:val="auto"/>
        </w:rPr>
      </w:pPr>
      <w:r>
        <w:rPr>
          <w:rFonts w:ascii="Arial" w:cs="Arial" w:eastAsia="Arial" w:hAnsi="Arial"/>
          <w:sz w:val="17"/>
          <w:szCs w:val="17"/>
          <w:b w:val="1"/>
          <w:bCs w:val="1"/>
          <w:i w:val="1"/>
          <w:iCs w:val="1"/>
          <w:color w:val="auto"/>
        </w:rPr>
        <w:t>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w:t>
      </w:r>
    </w:p>
    <w:p>
      <w:pPr>
        <w:spacing w:after="0" w:line="57" w:lineRule="exact"/>
        <w:rPr>
          <w:sz w:val="20"/>
          <w:szCs w:val="20"/>
          <w:color w:val="auto"/>
        </w:rPr>
      </w:pPr>
    </w:p>
    <w:p>
      <w:pPr>
        <w:ind w:left="40" w:right="659" w:firstLine="270"/>
        <w:spacing w:after="0" w:line="291" w:lineRule="auto"/>
        <w:rPr>
          <w:sz w:val="20"/>
          <w:szCs w:val="20"/>
          <w:color w:val="auto"/>
        </w:rPr>
      </w:pPr>
      <w:r>
        <w:rPr>
          <w:rFonts w:ascii="Arial" w:cs="Arial" w:eastAsia="Arial" w:hAnsi="Arial"/>
          <w:sz w:val="16"/>
          <w:szCs w:val="16"/>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that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55" w:lineRule="auto"/>
        <w:rPr>
          <w:sz w:val="20"/>
          <w:szCs w:val="20"/>
          <w:color w:val="auto"/>
        </w:rPr>
      </w:pPr>
      <w:r>
        <w:rPr>
          <w:rFonts w:ascii="Arial" w:cs="Arial" w:eastAsia="Arial" w:hAnsi="Arial"/>
          <w:sz w:val="18"/>
          <w:szCs w:val="18"/>
          <w:color w:val="auto"/>
        </w:rPr>
        <w:t>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08"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loan portfolio may be an indication of future realized losses, which could reduce our income available for distribution.</w:t>
      </w:r>
    </w:p>
    <w:p>
      <w:pPr>
        <w:spacing w:after="0" w:line="62" w:lineRule="exact"/>
        <w:rPr>
          <w:sz w:val="20"/>
          <w:szCs w:val="20"/>
          <w:color w:val="auto"/>
        </w:rPr>
      </w:pPr>
    </w:p>
    <w:p>
      <w:pPr>
        <w:ind w:left="40" w:right="719" w:firstLine="270"/>
        <w:spacing w:after="0" w:line="276" w:lineRule="auto"/>
        <w:rPr>
          <w:sz w:val="20"/>
          <w:szCs w:val="20"/>
          <w:color w:val="auto"/>
        </w:rPr>
      </w:pPr>
      <w:r>
        <w:rPr>
          <w:rFonts w:ascii="Arial" w:cs="Arial" w:eastAsia="Arial" w:hAnsi="Arial"/>
          <w:sz w:val="17"/>
          <w:szCs w:val="17"/>
          <w:color w:val="auto"/>
        </w:rPr>
        <w:t>As a BDC, we are required to carry our investments at market value or, if no market value is ascertainable, at the fair value as determined in good faith by our Board. Decreases in the market values or fair values of our investments will be recorded as unrealized depreciation. Any unrealized losses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105"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b w:val="1"/>
          <w:bCs w:val="1"/>
          <w:i w:val="1"/>
          <w:iCs w:val="1"/>
          <w:color w:val="auto"/>
        </w:rPr>
        <w:t>Prepayments of our debt investments by our portfolio companies could adversely impact our results of operations and reduce our return on equity.</w:t>
      </w:r>
    </w:p>
    <w:p>
      <w:pPr>
        <w:spacing w:after="0" w:line="62"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We are subject to the risk that the investments we make in our portfolio companies may be repaid prior to maturity. When this occurs, we will generally reinvest these proceeds in temporary investments or repay any revolving credit facility, depending on expected future investment in new portfolio companies. Temporary investments will typically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not realize gains from our equity investments.</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Certain investments that we may make include warrants or other equity securities.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often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left="40" w:right="699" w:firstLine="270"/>
        <w:spacing w:after="0" w:line="255" w:lineRule="auto"/>
        <w:rPr>
          <w:sz w:val="20"/>
          <w:szCs w:val="20"/>
          <w:color w:val="auto"/>
        </w:rPr>
      </w:pPr>
      <w:r>
        <w:rPr>
          <w:rFonts w:ascii="Arial" w:cs="Arial" w:eastAsia="Arial" w:hAnsi="Arial"/>
          <w:sz w:val="18"/>
          <w:szCs w:val="18"/>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59"/>
        <w:spacing w:after="0" w:line="271" w:lineRule="auto"/>
        <w:rPr>
          <w:sz w:val="20"/>
          <w:szCs w:val="20"/>
          <w:color w:val="auto"/>
        </w:rPr>
      </w:pPr>
      <w:r>
        <w:rPr>
          <w:rFonts w:ascii="Arial" w:cs="Arial" w:eastAsia="Arial" w:hAnsi="Arial"/>
          <w:sz w:val="17"/>
          <w:szCs w:val="17"/>
          <w:color w:val="auto"/>
        </w:rPr>
        <w:t>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98"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The health and performance of our portfolio companies could be adversely affected by political and economic conditions in the countries in which they conduct business.</w:t>
      </w:r>
    </w:p>
    <w:p>
      <w:pPr>
        <w:spacing w:after="0" w:line="62" w:lineRule="exact"/>
        <w:rPr>
          <w:sz w:val="20"/>
          <w:szCs w:val="20"/>
          <w:color w:val="auto"/>
        </w:rPr>
      </w:pPr>
    </w:p>
    <w:p>
      <w:pPr>
        <w:ind w:left="40" w:right="679" w:firstLine="270"/>
        <w:spacing w:after="0" w:line="271" w:lineRule="auto"/>
        <w:rPr>
          <w:sz w:val="20"/>
          <w:szCs w:val="20"/>
          <w:color w:val="auto"/>
        </w:rPr>
      </w:pPr>
      <w:r>
        <w:rPr>
          <w:rFonts w:ascii="Arial" w:cs="Arial" w:eastAsia="Arial" w:hAnsi="Arial"/>
          <w:sz w:val="17"/>
          <w:szCs w:val="17"/>
          <w:color w:val="auto"/>
        </w:rPr>
        <w:t>Some of the products of our portfolio companies are developed, manufactured, assembled, tested or marketed outside the U.S. Any conflict or uncertainty in these countries, including due to natural disasters, public health concerns, political unrest or safety concerns, could harm their business, financial condition and results of operations. In addition, if the government of any country in which their products are developed, manufactured or sold sets technical or regulatory standards for products developed or manufactured in or imported into their country that are not widely shared, it may lead some of their customers to suspend imports of their products into that country, require manufacturers or developers in that country to manufacture or develop products with different technical or regulatory standards and disrupt cross-border manufacturing, marketing or business relationships which, in each case, could harm their businesses.</w:t>
      </w:r>
    </w:p>
    <w:p>
      <w:pPr>
        <w:spacing w:after="0" w:line="111"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b w:val="1"/>
          <w:bCs w:val="1"/>
          <w:i w:val="1"/>
          <w:iCs w:val="1"/>
          <w:color w:val="auto"/>
        </w:rPr>
        <w:t>Our equity ownership in a portfolio company may represent a control investment. Our ability to exit a control investment in a timely manner could result in a realized loss on the investment.</w:t>
      </w:r>
    </w:p>
    <w:p>
      <w:pPr>
        <w:spacing w:after="0" w:line="62"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We currently have, and may acquire in the future, control investments in portfolio companies. Our ability to divest ourselves from a debt or equity investment in a controlled portfolio company could be restricted due to illiquidity in a private stock, limited trading volume on a public company’s stock, inside information on a company’s performance, insider blackout periods, or other factors that could prohibit us from disposing of the investment as we would if it were not a control investment. Additionally, we may choose not to take certain actions to protect a debt investment in a control investment portfolio company. As a result, we could experience a decrease in the value of our portfolio company holdings and potentially incur a realized loss on the investment.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If the assets securing the loans that we make decrease in value, then we may lack sufficient collateral to cover losses.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 attempt to mitigate credit risks, we will typically take a security interest in the available assets of our portfolio companies.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is no assurance that we will obtain or properly perfect our liens.</w:t>
      </w:r>
    </w:p>
    <w:p>
      <w:pPr>
        <w:spacing w:after="0" w:line="103"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a portfolio company to raise additional capital. In some circumstances, our lien could be subordinated to claims of other creditors. Consequently, the fact that a loan is secured does not guarantee that we will receive principal and interest payments according to the loan’s terms, or that we will be able to collect on the loan should we be forced to enforce our remedies.</w:t>
      </w:r>
    </w:p>
    <w:p>
      <w:pPr>
        <w:spacing w:after="0" w:line="50"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In addition, because we may invest in technology-related companies, a substantial portion of the assets securing our investment may be in the form of intellectual property, if any, inventory and equipment and, to a lesser extent, cash and accounts receivable. Intellectual property, if any, that is securing our loan could lose value if, among other things, the company’s rights to the intellectual property are challenged or if the company’s license to the intellectual property is revoked or expires, the technology fails to achieve its intended results or a new technology makes the intellectual property functionally obsolete. Inventory may not be adequate to secure our loan if our valuation of the inventory at the time that we made the loan was not accurate or if there is a reduction in the demand for the inventory.</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Similarly, any equipment securing our loan may not provide us with the anticipated security if there are changes in technology or advances in new equipment that render the particular equipment obsolete or of limited value, or if the company fails to adequately maintain or repair the equipment. Any one or more of the preceding factors could materially impair our ability to recover principal in a foreclosure.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left="40" w:right="679" w:firstLine="270"/>
        <w:spacing w:after="0" w:line="270" w:lineRule="auto"/>
        <w:rPr>
          <w:sz w:val="20"/>
          <w:szCs w:val="20"/>
          <w:color w:val="auto"/>
        </w:rPr>
      </w:pPr>
      <w:r>
        <w:rPr>
          <w:rFonts w:ascii="Arial" w:cs="Arial" w:eastAsia="Arial" w:hAnsi="Arial"/>
          <w:sz w:val="17"/>
          <w:szCs w:val="17"/>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 Energy companies could also be affected by the potential for lawsuits against or taxes or other regulatory costs imposed on greenhouse gas emitters, based on links drawn between greenhouse gas emissions and climate change.</w:t>
      </w:r>
    </w:p>
    <w:p>
      <w:pPr>
        <w:spacing w:after="0" w:line="70"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In December 2015 the United Nations, of which the U.S. is a member, adopted a climate accord (the “Paris Agreement”) with the long-term goal of limiting global warming and the short-term goal of significantly reducing greenhouse gas emissions. The U.S. subsequently ratified the Paris Agreement, and it entered into force on November 4, 2016. As a result, some of our portfolio companies may become subject to new or strengthened regulations or legislation which could increase their operating costs and/or decrease their revenues.</w:t>
      </w:r>
    </w:p>
    <w:p>
      <w:pPr>
        <w:spacing w:after="0" w:line="121" w:lineRule="exact"/>
        <w:rPr>
          <w:sz w:val="20"/>
          <w:szCs w:val="20"/>
          <w:color w:val="auto"/>
        </w:rPr>
      </w:pPr>
    </w:p>
    <w:p>
      <w:pPr>
        <w:ind w:left="40" w:right="779"/>
        <w:spacing w:after="0" w:line="277" w:lineRule="auto"/>
        <w:rPr>
          <w:sz w:val="20"/>
          <w:szCs w:val="20"/>
          <w:color w:val="auto"/>
        </w:rPr>
      </w:pPr>
      <w:r>
        <w:rPr>
          <w:rFonts w:ascii="Arial" w:cs="Arial" w:eastAsia="Arial" w:hAnsi="Arial"/>
          <w:sz w:val="18"/>
          <w:szCs w:val="18"/>
          <w:b w:val="1"/>
          <w:bCs w:val="1"/>
          <w:i w:val="1"/>
          <w:iCs w:val="1"/>
          <w:color w:val="auto"/>
        </w:rPr>
        <w:t>We may choose to waive or defer enforcement of covenants in the debt securities held in our portfolio, which may cause us to lose all or part of our investment in these companies.</w:t>
      </w:r>
    </w:p>
    <w:p>
      <w:pPr>
        <w:spacing w:after="0" w:line="62"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We structure the debt investments in our portfolio companies to include business and financial covenants placing affirmative and negative obligations on the operation of the company’s business and its financial condition. However, from time to time we may elect to waive breaches of these covenants, including our right to payment, or waive or defer enforcement of remedies, such as acceleration of obligations or foreclosure on collateral, depending upon the financial condition and prospects of the particular portfolio company. These actions may reduce the likelihood of our receiving the full amount of future payments of interest or principal and be accompanied by a deterioration in the value of the underlying collateral as many of these companies may have limited financial resources, may be unable to meet future obligations and may go bankrupt. This could negatively impact our ability to pay dividends, could adversely affect our results of operations and financial condition and cause the loss of all or part of your investment.</w:t>
      </w:r>
    </w:p>
    <w:p>
      <w:pPr>
        <w:spacing w:after="0" w:line="130" w:lineRule="exact"/>
        <w:rPr>
          <w:sz w:val="20"/>
          <w:szCs w:val="20"/>
          <w:color w:val="auto"/>
        </w:rPr>
      </w:pPr>
    </w:p>
    <w:p>
      <w:pPr>
        <w:ind w:left="40" w:right="759"/>
        <w:spacing w:after="0" w:line="375" w:lineRule="auto"/>
        <w:rPr>
          <w:sz w:val="20"/>
          <w:szCs w:val="20"/>
          <w:color w:val="auto"/>
        </w:rPr>
      </w:pPr>
      <w:r>
        <w:rPr>
          <w:rFonts w:ascii="Arial" w:cs="Arial" w:eastAsia="Arial" w:hAnsi="Arial"/>
          <w:sz w:val="15"/>
          <w:szCs w:val="15"/>
          <w:b w:val="1"/>
          <w:bCs w:val="1"/>
          <w:i w:val="1"/>
          <w:iCs w:val="1"/>
          <w:color w:val="auto"/>
        </w:rPr>
        <w:t>Our investments in securities rated below investment grade are speculative in nature and are subject to additional risk factors such as increased possibility of default, illiquidity of the security, and changes in value based on changes in interest rates.</w:t>
      </w:r>
    </w:p>
    <w:p>
      <w:pPr>
        <w:spacing w:after="0" w:line="1"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The securities that we invest in are typically rated below investment grade. Securities rated below investment grade are often referred to as “leveraged loans,” “high yield” or “junk” securities, and may be considered “high risk” compared to debt instruments that are rated investment grade. High yield securities are regarded as having predominantly speculative characteristics with respect to the issuer’s capacity to pay interest and repay principal in accordance with the terms of the obligations and involve major risk exposure to adverse conditions. In addition, high yield securities generally offer a higher current yield than that available from higher grade issues, but typically involve greater risk. These securities are especially sensitive to adverse changes in general economic conditions, to changes in the financial condition of their issuers and to price fluctuation in response to changes in interest rates. During periods of economic downturn or rising interest rates, issuers of below investment grade instruments may experience financial stress that could adversely affect their ability to make payments of principal and interest and increase the possibility of default.</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investments may be in portfolio companies which may have limited operating histories and financial resources.</w:t>
      </w:r>
    </w:p>
    <w:p>
      <w:pPr>
        <w:spacing w:after="0" w:line="129"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We expect that our portfolio will continue to consist of investments that may have relatively limited operating histories. These companies may be particularly vulnerable to U.S. and foreign economic downturns such as the current recession and European financial crisis, may have more limited access to capital and higher funding costs, may have a weaker financial position and may need more capital to expand or compete. These businesses also may experience substantial variations in operating results. They may face intense competition, including from companies with greater financial, technical and marketing resources. Furthermore, some of these companies do business in regulated industries and could be affected by changes in government regulation. Accordingly, these factors could impair their cash flow or result in other events, such as bankruptcy, which could limit their ability to repay their obligations to us, and may adversely affect the return on, or the recovery of, our investment in these companies. We cannot assure you that any of our investments in our portfolio companies will be successful. Our portfolio companies compete with larger, more established companies with greater access to, and resources for, further development in these new technologies. We may lose our entire investment in any or all of our portfolio companies.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Relating to our Securities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left="40" w:right="1019" w:firstLine="270"/>
        <w:spacing w:after="0" w:line="264" w:lineRule="auto"/>
        <w:rPr>
          <w:sz w:val="20"/>
          <w:szCs w:val="20"/>
          <w:color w:val="auto"/>
        </w:rPr>
      </w:pPr>
      <w:r>
        <w:rPr>
          <w:rFonts w:ascii="Arial" w:cs="Arial" w:eastAsia="Arial" w:hAnsi="Arial"/>
          <w:sz w:val="18"/>
          <w:szCs w:val="18"/>
          <w:color w:val="auto"/>
        </w:rPr>
        <w:t>The market price and liquidity of the expected market for shares of our common stock may be significantly affected by numerous factors, some of which are beyond our control and may not be directly related to our operating performance. These factors include:</w:t>
      </w:r>
    </w:p>
    <w:p>
      <w:pPr>
        <w:spacing w:after="0" w:line="73" w:lineRule="exact"/>
        <w:rPr>
          <w:sz w:val="20"/>
          <w:szCs w:val="20"/>
          <w:color w:val="auto"/>
        </w:rPr>
      </w:pPr>
    </w:p>
    <w:p>
      <w:pPr>
        <w:ind w:left="600" w:hanging="322"/>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investor demand for our shares;</w:t>
      </w:r>
    </w:p>
    <w:p>
      <w:pPr>
        <w:spacing w:after="0" w:line="117" w:lineRule="exact"/>
        <w:rPr>
          <w:rFonts w:ascii="Arial" w:cs="Arial" w:eastAsia="Arial" w:hAnsi="Arial"/>
          <w:sz w:val="18"/>
          <w:szCs w:val="18"/>
          <w:color w:val="auto"/>
        </w:rPr>
      </w:pPr>
    </w:p>
    <w:p>
      <w:pPr>
        <w:ind w:left="600" w:right="679" w:hanging="322"/>
        <w:spacing w:after="0" w:line="277"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regulatory policies or tax guidelines with respect to RICs, BDCs or SBICs;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qualify as a RIC, or the loss of RIC status;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shortfall in revenue or net income or any increase in losses from levels expected by investors or securities analysts;</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departures of the Investment Advisor’s key personnel;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conditions and trends and other external factors.</w:t>
      </w:r>
    </w:p>
    <w:p>
      <w:pPr>
        <w:spacing w:after="0" w:line="144" w:lineRule="exact"/>
        <w:rPr>
          <w:sz w:val="20"/>
          <w:szCs w:val="20"/>
          <w:color w:val="auto"/>
        </w:rPr>
      </w:pPr>
    </w:p>
    <w:p>
      <w:pPr>
        <w:ind w:left="40" w:right="579"/>
        <w:spacing w:after="0" w:line="375" w:lineRule="auto"/>
        <w:rPr>
          <w:sz w:val="20"/>
          <w:szCs w:val="20"/>
          <w:color w:val="auto"/>
        </w:rPr>
      </w:pPr>
      <w:r>
        <w:rPr>
          <w:rFonts w:ascii="Arial" w:cs="Arial" w:eastAsia="Arial" w:hAnsi="Arial"/>
          <w:sz w:val="15"/>
          <w:szCs w:val="15"/>
          <w:b w:val="1"/>
          <w:bCs w:val="1"/>
          <w:i w:val="1"/>
          <w:iCs w:val="1"/>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spacing w:after="0" w:line="1"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 action litigation has often been brought against that company. Shareholder activism, which could take many forms or arise in a variety of situations, increased in the BDC space recently. While we are currently not subject to any securities litigation or shareholder activism, due to the potential volatility of our stock price and for a variety of other reasons, we may in the future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w:t>
      </w:r>
    </w:p>
    <w:p>
      <w:pPr>
        <w:spacing w:after="0" w:line="200" w:lineRule="exact"/>
        <w:rPr>
          <w:sz w:val="20"/>
          <w:szCs w:val="20"/>
          <w:color w:val="auto"/>
        </w:rPr>
      </w:pPr>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39"/>
        <w:spacing w:after="0" w:line="342" w:lineRule="auto"/>
        <w:rPr>
          <w:sz w:val="20"/>
          <w:szCs w:val="20"/>
          <w:color w:val="auto"/>
        </w:rPr>
      </w:pPr>
      <w:r>
        <w:rPr>
          <w:rFonts w:ascii="Arial" w:cs="Arial" w:eastAsia="Arial" w:hAnsi="Arial"/>
          <w:sz w:val="16"/>
          <w:szCs w:val="16"/>
          <w:color w:val="auto"/>
        </w:rPr>
        <w:t>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Investing in our common stock may involve an above average degree of risk.</w:t>
      </w:r>
    </w:p>
    <w:p>
      <w:pPr>
        <w:spacing w:after="0" w:line="117"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The investments we make may result in a higher amount of risk, volatility, or loss of principal than alternative investment options. These investments in portfolio companies may be highly speculative and aggressive, and therefore, an investment in our common stock may not be suitable for investors with lower risk tolerance.</w:t>
      </w:r>
    </w:p>
    <w:p>
      <w:pPr>
        <w:spacing w:after="0" w:line="114" w:lineRule="exact"/>
        <w:rPr>
          <w:sz w:val="20"/>
          <w:szCs w:val="20"/>
          <w:color w:val="auto"/>
        </w:rPr>
      </w:pPr>
    </w:p>
    <w:p>
      <w:pPr>
        <w:ind w:left="40" w:right="899"/>
        <w:spacing w:after="0" w:line="277" w:lineRule="auto"/>
        <w:rPr>
          <w:sz w:val="20"/>
          <w:szCs w:val="20"/>
          <w:color w:val="auto"/>
        </w:rPr>
      </w:pPr>
      <w:r>
        <w:rPr>
          <w:rFonts w:ascii="Arial" w:cs="Arial" w:eastAsia="Arial" w:hAnsi="Arial"/>
          <w:sz w:val="18"/>
          <w:szCs w:val="18"/>
          <w:b w:val="1"/>
          <w:bCs w:val="1"/>
          <w:i w:val="1"/>
          <w:iCs w:val="1"/>
          <w:color w:val="auto"/>
        </w:rPr>
        <w:t>Our shares of common stock have a limited trading history and we cannot assure you that the market price of shares of our common stock will not decline.</w:t>
      </w:r>
    </w:p>
    <w:p>
      <w:pPr>
        <w:spacing w:after="0" w:line="62"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Our shares of common stock have a limited trading history and we cannot assure you that a public trading market will be sustained for such shares. We cannot predict the prices at which our common stock will trade. We cannot assure you that the market price of shares of our common stock will not decline at any time. In addition, our common stock has from time to time traded below its net asset value since our inception and if our common stock continues to trade below its net asset value, we will generally not be able to sell additional shares of our common stock to the public at its market price without first obtaining the approval of our stockholders (including our unaffiliated stockholders) and our independent directors for such issuance.</w:t>
      </w:r>
    </w:p>
    <w:p>
      <w:pPr>
        <w:spacing w:after="0" w:line="111"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b w:val="1"/>
          <w:bCs w:val="1"/>
          <w:i w:val="1"/>
          <w:iCs w:val="1"/>
          <w:color w:val="auto"/>
        </w:rPr>
        <w:t>Our common stockholders will bear the expenses associated with our borrowings, and the holders of our debt securities will have certain rights senior to our common stockholders.</w:t>
      </w:r>
    </w:p>
    <w:p>
      <w:pPr>
        <w:spacing w:after="0" w:line="62"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All of the costs of offering and servicing our debt securities, including interest thereon, is borne by our common stockholders. The interests of the holders of any debt we may issue will not necessarily be aligned with the interests of our common stockholders. In particular, the rights of holders of our debt to receive interest or principal repayment will be senior to those of our common stockholders. In addition, we may grant a lender a security interest in a significant portion or all of our assets, even if the total amount we may borrow from such lender is less than the amount of such lender’s security interest in our assets.</w:t>
      </w:r>
    </w:p>
    <w:p>
      <w:pPr>
        <w:spacing w:after="0" w:line="77"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 may have an adverse effect on the market price of our common stock.</w:t>
      </w:r>
    </w:p>
    <w:p>
      <w:pPr>
        <w:spacing w:after="0" w:line="62"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for a sustained period of time, it could impair our ability to raise additional capital through the sale of securities should we desire to do so.</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Shares of our common stock have traded at a discount from net asset value and may do so in the future.</w:t>
      </w:r>
    </w:p>
    <w:p>
      <w:pPr>
        <w:spacing w:after="0" w:line="117"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Shares of closed-end investment companies have frequently traded at a market price that is less than the net asset value that is attributable to those shares. In part as a result of adverse economic conditions and increasing pressure within the financial sector of which we are a part, our common stock has at times traded below its net asset value per share since our IPO on September 30, 2013. Our shares could continue trade at a discount to net asset value. The possibility that our shares of common stock may trade at a discount from net asset value over the long term is separate and distinct from the risk that our net asset value will decrease. We cannot predict whether shares of our common stock will trade above, at or below its net asset value. If our common stock trades below its net asset value, we will generally not be able to issue additional shares of our common stock at its market price without first obtaining the approval for such issuance from our stockholders and our independent directors. If additional funds are not available to us, we could be forced to curtail or cease our new lending and investment activities, and our net asset value could decrease and our level of distributions could be impacted.</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699"/>
        <w:spacing w:after="0" w:line="277" w:lineRule="auto"/>
        <w:rPr>
          <w:sz w:val="20"/>
          <w:szCs w:val="20"/>
          <w:color w:val="auto"/>
        </w:rPr>
      </w:pPr>
      <w:r>
        <w:rPr>
          <w:rFonts w:ascii="Arial" w:cs="Arial" w:eastAsia="Arial" w:hAnsi="Arial"/>
          <w:sz w:val="18"/>
          <w:szCs w:val="18"/>
          <w:b w:val="1"/>
          <w:bCs w:val="1"/>
          <w:i w:val="1"/>
          <w:iCs w:val="1"/>
          <w:color w:val="auto"/>
        </w:rPr>
        <w:t>You may not receive distributions or our distributions may decline or may not grow over time, and you will experience dilution in your ownership percentage if you opt out of our dividend reinvestment plan.</w:t>
      </w:r>
    </w:p>
    <w:p>
      <w:pPr>
        <w:spacing w:after="0" w:line="62"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materially and adversely affected by the impact of one or more of the risks described herein. Due to the asset coverage test applicable to us under the 1940 Act as a BDC, we may be limited in our ability to make distributions. All distributions will be made at the discretion of our Board and will depend on our earnings, financial condition, maintenance of RIC status, compliance with applicable BDC, SBA regulations and such other factors as our Board may deem relevant from time to time. We cannot assure you that we will make distributions to our stockholders in the future.</w:t>
      </w:r>
    </w:p>
    <w:p>
      <w:pPr>
        <w:spacing w:after="0" w:line="84"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All dividends declared in cash payable to stockholders that are participants in our dividend reinvestment plan are automatically reinvested in shares of our common stock. As a result, our stockholders that opt out of our dividend reinvestment plan will experience dilution in their ownership percentage of our common stock over time.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will have broad discretion over the use of proceeds of any successful offering of securities.</w:t>
      </w:r>
    </w:p>
    <w:p>
      <w:pPr>
        <w:spacing w:after="0" w:line="117"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We will have significant flexibility in applying the proceeds of any successful offering of our securities. We will also pay operating expenses, and may pay other expenses such as due diligence expenses of potential new investments, from net proceeds. Our ability to achieve our investment objective may be limited to the extent that the net proceeds of any offering, pending full investment, are used to pay operating expenses. In addition, we can provide you no assurance that the any offering will be successful, or that by increasing the size of our available equity capital, our aggregate expenses, and correspondingly, our expense ratio, will be lowered.</w:t>
      </w:r>
    </w:p>
    <w:p>
      <w:pPr>
        <w:spacing w:after="0" w:line="126" w:lineRule="exact"/>
        <w:rPr>
          <w:sz w:val="20"/>
          <w:szCs w:val="20"/>
          <w:color w:val="auto"/>
        </w:rPr>
      </w:pPr>
    </w:p>
    <w:p>
      <w:pPr>
        <w:ind w:left="40" w:right="1179"/>
        <w:spacing w:after="0" w:line="308" w:lineRule="auto"/>
        <w:rPr>
          <w:sz w:val="20"/>
          <w:szCs w:val="20"/>
          <w:color w:val="auto"/>
        </w:rPr>
      </w:pPr>
      <w:r>
        <w:rPr>
          <w:rFonts w:ascii="Arial" w:cs="Arial" w:eastAsia="Arial" w:hAnsi="Arial"/>
          <w:sz w:val="17"/>
          <w:szCs w:val="17"/>
          <w:b w:val="1"/>
          <w:bCs w:val="1"/>
          <w:i w:val="1"/>
          <w:iCs w:val="1"/>
          <w:color w:val="auto"/>
        </w:rPr>
        <w:t>The net asset value per share of our common stock may be diluted if we sell shares of our common stock in one or more offerings at prices below the then current net asset value per share of our common stock.</w:t>
      </w:r>
    </w:p>
    <w:p>
      <w:pPr>
        <w:spacing w:after="0" w:line="38"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At our 2016 Annual Stockholders Meeting, subject to certain determinations required to be made by our Board, our stockholders approved our ability to sell or otherwise issue shares of our common stock, not exceeding 25% of our then outstanding common stock immediately prior to each such offering, at a price below the then current net asset value per share during a period beginning on May 3, 2016 and expiring on the earlier of the one-year anniversary of the date of the 2016 Annual Stockholders Meeting and the date of our 2017 Annual Stockholders Meeting, which is expected to be held in May 2017.</w:t>
      </w:r>
    </w:p>
    <w:p>
      <w:pPr>
        <w:spacing w:after="0" w:line="50"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Any decision to sell shares of our common stock below its then current net asset value per share would be subject to the determination by our Board that such issuance is in our and our stockholders’ best interests. If we were to sell shares of our common stock below its then current net asset value per share; such sales would result in an immediate dilution to the net asset value per share of our common stock. This dilution would occur as a result of the sale of shares at a price below the then current net asset value per share of our common stock and a proportionately greater decrease in the stockholders’ interest in our earnings and assets and their voting interest in us than the increase in our assets resulting from such issuance. Because the number of shares of common stock that could be so issued and the timing of any issuance is not currently known, the actual dilutive effect cannot be predicted.</w:t>
      </w:r>
    </w:p>
    <w:p>
      <w:pPr>
        <w:spacing w:after="0" w:line="84" w:lineRule="exact"/>
        <w:rPr>
          <w:sz w:val="20"/>
          <w:szCs w:val="20"/>
          <w:color w:val="auto"/>
        </w:rPr>
      </w:pPr>
    </w:p>
    <w:p>
      <w:pPr>
        <w:ind w:left="40" w:right="619" w:firstLine="270"/>
        <w:spacing w:after="0" w:line="302" w:lineRule="auto"/>
        <w:rPr>
          <w:sz w:val="20"/>
          <w:szCs w:val="20"/>
          <w:color w:val="auto"/>
        </w:rPr>
      </w:pPr>
      <w:r>
        <w:rPr>
          <w:rFonts w:ascii="Arial" w:cs="Arial" w:eastAsia="Arial" w:hAnsi="Arial"/>
          <w:sz w:val="16"/>
          <w:szCs w:val="16"/>
          <w:color w:val="auto"/>
        </w:rPr>
        <w:t>Further, if our current stockholders do not purchase any shares to maintain their percentage interest, regardless of whether such offering is above or below the then current net asset value per share, their voting power will be diluted. For example, if we sell an additional 10% of our common shares at a 10% discount from net asset value, a stockholder who does not participate in that offering for its proportionate interest will suffer net asset value dilution of up to 1.0% or $10 per $1,000 of net asset value.</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Your interest in Capitala Finance may be diluted if you do not fully exercise your subscription rights in any rights offering.</w:t>
      </w:r>
    </w:p>
    <w:p>
      <w:pPr>
        <w:spacing w:after="0" w:line="140"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In the event we issue subscription rights to purchase shares of our common stock, stockholders who do not fully exercise their rights should expect that they will, at the completion of the offer, own a smaller proportional interest in Capitala Finance than would otherwise be the case if they fully exercised their rights.</w:t>
      </w:r>
    </w:p>
    <w:p>
      <w:pPr>
        <w:spacing w:after="0" w:line="73" w:lineRule="exact"/>
        <w:rPr>
          <w:sz w:val="20"/>
          <w:szCs w:val="20"/>
          <w:color w:val="auto"/>
        </w:rPr>
      </w:pPr>
    </w:p>
    <w:p>
      <w:pPr>
        <w:ind w:left="40" w:right="1139" w:firstLine="270"/>
        <w:spacing w:after="0" w:line="277" w:lineRule="auto"/>
        <w:rPr>
          <w:sz w:val="20"/>
          <w:szCs w:val="20"/>
          <w:color w:val="auto"/>
        </w:rPr>
      </w:pPr>
      <w:r>
        <w:rPr>
          <w:rFonts w:ascii="Arial" w:cs="Arial" w:eastAsia="Arial" w:hAnsi="Arial"/>
          <w:sz w:val="18"/>
          <w:szCs w:val="18"/>
          <w:color w:val="auto"/>
        </w:rPr>
        <w:t>We cannot state precisely the amount of any such dilution in share ownership because we do not know at this time what proportion of the shares would be purchased as a result of a rights offering.</w:t>
      </w:r>
    </w:p>
    <w:p>
      <w:pPr>
        <w:spacing w:after="0" w:line="62"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In addition, if the subscription price in a rights offering is less than our net asset value per share, then our stockholders would experience an immediate dilution of the aggregate net asset value of their shares as a result of the rights offering. The amount of any decrease in net asset value is not predictable because it is not known at this time what the subscription price and net asset value per share will be on the expiration date of any rights offering or what proportion of the shares will be purchased as a result of such rights offering. Such dilution could be substantial.</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If we issue preferred stock, the net asset value and market value of our common stock will likely become more volatile.</w:t>
      </w:r>
    </w:p>
    <w:p>
      <w:pPr>
        <w:spacing w:after="0" w:line="140" w:lineRule="exact"/>
        <w:rPr>
          <w:sz w:val="20"/>
          <w:szCs w:val="20"/>
          <w:color w:val="auto"/>
        </w:rPr>
      </w:pPr>
    </w:p>
    <w:p>
      <w:pPr>
        <w:ind w:left="40" w:right="559" w:firstLine="270"/>
        <w:spacing w:after="0" w:line="285" w:lineRule="auto"/>
        <w:rPr>
          <w:sz w:val="20"/>
          <w:szCs w:val="20"/>
          <w:color w:val="auto"/>
        </w:rPr>
      </w:pPr>
      <w:r>
        <w:rPr>
          <w:rFonts w:ascii="Arial" w:cs="Arial" w:eastAsia="Arial" w:hAnsi="Arial"/>
          <w:sz w:val="16"/>
          <w:szCs w:val="16"/>
          <w:color w:val="auto"/>
        </w:rPr>
        <w:t>We cannot assure you that the issuance of preferred stock would result in a higher yield or return to the holders of our common stock. The issuance of preferred stock would likely cause the net asset value and market value of the common stock to become more volatile.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if any,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we would pay (and the holders of common stock would bear) all costs and expenses relating to the issuance and ongoing maintenance of the preferred stock, including higher advisory fees if our total return exceeds the dividend rate on the preferred stock. Holders of preferred stock may have different interests than holders of common stock and may at times have disproportionate influence over our affairs.</w:t>
      </w:r>
    </w:p>
    <w:p>
      <w:pPr>
        <w:spacing w:after="0" w:line="110"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b w:val="1"/>
          <w:bCs w:val="1"/>
          <w:i w:val="1"/>
          <w:iCs w:val="1"/>
          <w:color w:val="auto"/>
        </w:rPr>
        <w:t>Holders of any preferred stock we might issue would have the right to elect members of our Board and class voting rights on certain matters.</w:t>
      </w:r>
    </w:p>
    <w:p>
      <w:pPr>
        <w:spacing w:after="0" w:line="62"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color w:val="auto"/>
        </w:rPr>
        <w:t>Holders of any preferred stock we might issue, voting separately as a single class, would have the right to elect two members of our Board at all times and in the event dividends become two full years in arrears would have the right to elect a majority of the directors until such arrearage is completely eliminated. In addition, preferred stockholders have class voting rights on certain matters, including changes in fundamental investment restrictions and conversion to open-end status, and accordingly can veto any such changes. Restrictions imposed on the declarations and payment of dividends or other distributions to the holders of our common stock and preferred stock, both by the 1940 Act and by requirements imposed by rating agencies, if any, or the terms of our credit facilities, if any, might impair our ability to maintain our qualification as a RIC for U.S.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200" w:lineRule="exact"/>
        <w:rPr>
          <w:sz w:val="20"/>
          <w:szCs w:val="20"/>
          <w:color w:val="auto"/>
        </w:rPr>
      </w:pPr>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left="40" w:right="619" w:firstLine="270"/>
        <w:spacing w:after="0" w:line="264" w:lineRule="auto"/>
        <w:rPr>
          <w:sz w:val="20"/>
          <w:szCs w:val="20"/>
          <w:color w:val="auto"/>
        </w:rPr>
      </w:pPr>
      <w:r>
        <w:rPr>
          <w:rFonts w:ascii="Arial" w:cs="Arial" w:eastAsia="Arial" w:hAnsi="Arial"/>
          <w:sz w:val="18"/>
          <w:szCs w:val="18"/>
          <w:color w:val="auto"/>
        </w:rPr>
        <w:t>Our executive offices are located at 4201 Congress Street, Suite 360, Charlotte, North Carolina 28209, and are provided by our Administrator in accordance with the terms of the Administration Agreement. We believe that our office facilities are suitable and adequate for our business as it is contemplated to be conducted.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None of us, our Investment Advisor or Administrator or any of the Legacy Funds, are currently subject to any material legal proceedings, nor, to our knowledge, is any material legal proceeding threatened against us, or against our Investment Advisor or Administrator or any of the Legacy Funds. From time to time, we, our Investment Advisor or Administrator, or any of the Legacy Funds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5" w:name="page66"/>
    <w:bookmarkEnd w:id="6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left="60" w:right="57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left="60" w:right="619" w:firstLine="270"/>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“CPTA.” The following table sets forth, for each fiscal quarter within the two most recent fiscal years, the range of high and low intraday sales prices of our common stock as reported on the NASDAQ Global Select Market, the premium (discount) of sales price to our net asset value (NAV) and the distributions declared by us for each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2139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(Discount)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158"/>
        </w:trPr>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High Sales</w:t>
            </w:r>
          </w:p>
        </w:tc>
        <w:tc>
          <w:tcPr>
            <w:tcW w:w="16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Low Sales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2016</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5"/>
              <w:spacing w:after="0" w:line="202" w:lineRule="exact"/>
              <w:rPr>
                <w:sz w:val="20"/>
                <w:szCs w:val="20"/>
                <w:color w:val="auto"/>
              </w:rPr>
            </w:pPr>
            <w:r>
              <w:rPr>
                <w:rFonts w:ascii="Arial" w:cs="Arial" w:eastAsia="Arial" w:hAnsi="Arial"/>
                <w:sz w:val="23"/>
                <w:szCs w:val="23"/>
                <w:b w:val="1"/>
                <w:bCs w:val="1"/>
                <w:color w:val="auto"/>
                <w:w w:val="95"/>
                <w:vertAlign w:val="subscript"/>
              </w:rPr>
              <w:t>NAV</w:t>
            </w:r>
            <w:r>
              <w:rPr>
                <w:rFonts w:ascii="Arial" w:cs="Arial" w:eastAsia="Arial" w:hAnsi="Arial"/>
                <w:sz w:val="11"/>
                <w:szCs w:val="11"/>
                <w:b w:val="1"/>
                <w:bCs w:val="1"/>
                <w:color w:val="auto"/>
                <w:w w:val="95"/>
              </w:rPr>
              <w:t>(1)</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(2)</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(2)</w:t>
            </w:r>
          </w:p>
        </w:tc>
        <w:tc>
          <w:tcPr>
            <w:tcW w:w="160" w:type="dxa"/>
            <w:vAlign w:val="bottom"/>
          </w:tcPr>
          <w:p>
            <w:pPr>
              <w:spacing w:after="0"/>
              <w:rPr>
                <w:sz w:val="17"/>
                <w:szCs w:val="17"/>
                <w:color w:val="auto"/>
              </w:rPr>
            </w:pPr>
          </w:p>
        </w:tc>
        <w:tc>
          <w:tcPr>
            <w:tcW w:w="106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4"/>
                <w:szCs w:val="14"/>
                <w:b w:val="1"/>
                <w:bCs w:val="1"/>
                <w:color w:val="auto"/>
                <w:w w:val="91"/>
              </w:rPr>
              <w:t>Distributions</w:t>
            </w:r>
            <w:r>
              <w:rPr>
                <w:rFonts w:ascii="Arial" w:cs="Arial" w:eastAsia="Arial" w:hAnsi="Arial"/>
                <w:sz w:val="23"/>
                <w:szCs w:val="23"/>
                <w:b w:val="1"/>
                <w:bCs w:val="1"/>
                <w:color w:val="auto"/>
                <w:w w:val="91"/>
                <w:vertAlign w:val="superscript"/>
              </w:rPr>
              <w:t>(3)</w:t>
            </w: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(11.7)%</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(27.1)%</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15.68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15.80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12.75</w:t>
            </w:r>
          </w:p>
        </w:tc>
        <w:tc>
          <w:tcPr>
            <w:tcW w:w="1240" w:type="dxa"/>
            <w:vAlign w:val="bottom"/>
            <w:gridSpan w:val="2"/>
          </w:tcPr>
          <w:p>
            <w:pPr>
              <w:jc w:val="right"/>
              <w:ind w:right="188"/>
              <w:spacing w:after="0"/>
              <w:rPr>
                <w:sz w:val="20"/>
                <w:szCs w:val="20"/>
                <w:color w:val="auto"/>
              </w:rPr>
            </w:pPr>
            <w:r>
              <w:rPr>
                <w:rFonts w:ascii="Arial" w:cs="Arial" w:eastAsia="Arial" w:hAnsi="Arial"/>
                <w:sz w:val="18"/>
                <w:szCs w:val="18"/>
                <w:color w:val="auto"/>
              </w:rPr>
              <w:t>0.8%</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(18.7)%</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(12.8)%</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(28.0)%</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16.29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13.18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9.54</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(19.1)%</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(41.4)%</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74"/>
        </w:trPr>
        <w:tc>
          <w:tcPr>
            <w:tcW w:w="1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(Discount)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158"/>
        </w:trPr>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High Sales</w:t>
            </w:r>
          </w:p>
        </w:tc>
        <w:tc>
          <w:tcPr>
            <w:tcW w:w="16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Low Sales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2015</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5"/>
              <w:spacing w:after="0" w:line="202" w:lineRule="exact"/>
              <w:rPr>
                <w:sz w:val="20"/>
                <w:szCs w:val="20"/>
                <w:color w:val="auto"/>
              </w:rPr>
            </w:pPr>
            <w:r>
              <w:rPr>
                <w:rFonts w:ascii="Arial" w:cs="Arial" w:eastAsia="Arial" w:hAnsi="Arial"/>
                <w:sz w:val="14"/>
                <w:szCs w:val="14"/>
                <w:b w:val="1"/>
                <w:bCs w:val="1"/>
                <w:color w:val="auto"/>
                <w:w w:val="91"/>
              </w:rPr>
              <w:t>NAV</w:t>
            </w:r>
            <w:r>
              <w:rPr>
                <w:rFonts w:ascii="Arial" w:cs="Arial" w:eastAsia="Arial" w:hAnsi="Arial"/>
                <w:sz w:val="23"/>
                <w:szCs w:val="23"/>
                <w:b w:val="1"/>
                <w:bCs w:val="1"/>
                <w:color w:val="auto"/>
                <w:w w:val="91"/>
                <w:vertAlign w:val="superscript"/>
              </w:rPr>
              <w:t>(1)</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(2)</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(2)</w:t>
            </w:r>
          </w:p>
        </w:tc>
        <w:tc>
          <w:tcPr>
            <w:tcW w:w="160" w:type="dxa"/>
            <w:vAlign w:val="bottom"/>
          </w:tcPr>
          <w:p>
            <w:pPr>
              <w:spacing w:after="0"/>
              <w:rPr>
                <w:sz w:val="17"/>
                <w:szCs w:val="17"/>
                <w:color w:val="auto"/>
              </w:rPr>
            </w:pPr>
          </w:p>
        </w:tc>
        <w:tc>
          <w:tcPr>
            <w:tcW w:w="106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4"/>
                <w:szCs w:val="14"/>
                <w:b w:val="1"/>
                <w:bCs w:val="1"/>
                <w:color w:val="auto"/>
                <w:w w:val="91"/>
              </w:rPr>
              <w:t>Distributions</w:t>
            </w:r>
            <w:r>
              <w:rPr>
                <w:rFonts w:ascii="Arial" w:cs="Arial" w:eastAsia="Arial" w:hAnsi="Arial"/>
                <w:sz w:val="23"/>
                <w:szCs w:val="23"/>
                <w:b w:val="1"/>
                <w:bCs w:val="1"/>
                <w:color w:val="auto"/>
                <w:w w:val="91"/>
                <w:vertAlign w:val="superscript"/>
              </w:rPr>
              <w:t>(3)</w:t>
            </w: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(14.0)%</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(31.0)%</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18.04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16.76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12.54</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(7.1)%</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(30.5)%</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2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6.4%</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(14.5)%</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18.35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19.12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17.97</w:t>
            </w:r>
          </w:p>
        </w:tc>
        <w:tc>
          <w:tcPr>
            <w:tcW w:w="1240" w:type="dxa"/>
            <w:vAlign w:val="bottom"/>
            <w:gridSpan w:val="2"/>
          </w:tcPr>
          <w:p>
            <w:pPr>
              <w:jc w:val="right"/>
              <w:ind w:right="188"/>
              <w:spacing w:after="0"/>
              <w:rPr>
                <w:sz w:val="20"/>
                <w:szCs w:val="20"/>
                <w:color w:val="auto"/>
              </w:rPr>
            </w:pPr>
            <w:r>
              <w:rPr>
                <w:rFonts w:ascii="Arial" w:cs="Arial" w:eastAsia="Arial" w:hAnsi="Arial"/>
                <w:sz w:val="18"/>
                <w:szCs w:val="18"/>
                <w:color w:val="auto"/>
              </w:rPr>
              <w:t>4.2%</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(2.1)%</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-1045845</wp:posOffset>
            </wp:positionV>
            <wp:extent cx="52139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00" w:right="619" w:hanging="272"/>
        <w:spacing w:after="0" w:line="264" w:lineRule="auto"/>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Calculated as of the respective high or low intraday sales price divided by the quarter end NAV and subtracting 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distributions paid or to be paid in the specified quarter.</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60" w:right="999" w:firstLine="270"/>
        <w:spacing w:after="0" w:line="277" w:lineRule="auto"/>
        <w:rPr>
          <w:sz w:val="20"/>
          <w:szCs w:val="20"/>
          <w:color w:val="auto"/>
        </w:rPr>
      </w:pPr>
      <w:r>
        <w:rPr>
          <w:rFonts w:ascii="Arial" w:cs="Arial" w:eastAsia="Arial" w:hAnsi="Arial"/>
          <w:sz w:val="18"/>
          <w:szCs w:val="18"/>
          <w:color w:val="auto"/>
        </w:rPr>
        <w:t>The last reported price for our common stock on March 6, 2017 was $14.02 per share. As of March 6, 2017 there were 55 holders of record of our common stock.</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60" w:right="539" w:firstLine="270"/>
        <w:spacing w:after="0" w:line="253" w:lineRule="auto"/>
        <w:rPr>
          <w:sz w:val="20"/>
          <w:szCs w:val="20"/>
          <w:color w:val="auto"/>
        </w:rPr>
      </w:pPr>
      <w:r>
        <w:rPr>
          <w:rFonts w:ascii="Arial" w:cs="Arial" w:eastAsia="Arial" w:hAnsi="Arial"/>
          <w:sz w:val="18"/>
          <w:szCs w:val="18"/>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To the extent that we have income available, we intend to make monthly distributions to our stockholders. Our monthly stockholder distributions, if any, will be determined by our Board on a quarterly basis. Any distribution to our stockholders will be declared out of assets legally available for distribution.</w:t>
      </w:r>
    </w:p>
    <w:p>
      <w:pPr>
        <w:spacing w:after="0" w:line="200" w:lineRule="exact"/>
        <w:rPr>
          <w:sz w:val="20"/>
          <w:szCs w:val="20"/>
          <w:color w:val="auto"/>
        </w:rPr>
      </w:pPr>
    </w:p>
    <w:p>
      <w:pPr>
        <w:spacing w:after="0" w:line="33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6" w:name="page67"/>
    <w:bookmarkEnd w:id="66"/>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759" w:firstLine="270"/>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80" w:lineRule="exact"/>
        <w:rPr>
          <w:sz w:val="20"/>
          <w:szCs w:val="20"/>
          <w:color w:val="auto"/>
        </w:rPr>
      </w:pPr>
    </w:p>
    <w:p>
      <w:pPr>
        <w:ind w:left="180" w:right="739" w:firstLine="270"/>
        <w:spacing w:after="0" w:line="276"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64" w:lineRule="exact"/>
        <w:rPr>
          <w:sz w:val="20"/>
          <w:szCs w:val="20"/>
          <w:color w:val="auto"/>
        </w:rPr>
      </w:pPr>
    </w:p>
    <w:p>
      <w:pPr>
        <w:ind w:left="180" w:right="579" w:firstLine="270"/>
        <w:spacing w:after="0" w:line="273"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distribution, then stockholders’ cash distributions will be automatically reinvested in additional shares of our common stock unless a stockholder specifically “opts out” of our dividend reinvestment plan.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distributions declared during fiscal years ended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421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3, 2017</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20, 2017</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30, 2017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January 3, 2017</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February 20, 2017</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3, 2017</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23, 2017</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30, 2017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00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rPr>
              <w:t>Total Distributions Declared for</w:t>
            </w:r>
          </w:p>
        </w:tc>
        <w:tc>
          <w:tcPr>
            <w:tcW w:w="160" w:type="dxa"/>
            <w:vAlign w:val="bottom"/>
            <w:tcBorders>
              <w:top w:val="single" w:sz="8" w:color="CCEEFF"/>
            </w:tcBorders>
          </w:tcPr>
          <w:p>
            <w:pPr>
              <w:spacing w:after="0"/>
              <w:rPr>
                <w:sz w:val="16"/>
                <w:szCs w:val="16"/>
                <w:color w:val="auto"/>
              </w:rPr>
            </w:pPr>
          </w:p>
        </w:tc>
        <w:tc>
          <w:tcPr>
            <w:tcW w:w="1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Fiscal 2017</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24"/>
                <w:szCs w:val="2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24"/>
                <w:szCs w:val="2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4, 2016</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22, 2016</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28, 2016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January 4, 2016</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February 19, 2016</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February 26, 2016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4, 2016</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22, 2016</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April 1, 2016</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April 22, 2016</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April 28, 2016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2016</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23, 2016</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30, 2016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April 1, 2016</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June 21, 2016</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June 29, 2016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2016</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22, 2016</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29, 2016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July 1, 2016</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22, 2016</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30, 2016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2016</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22, 2016</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29, 2016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September 22, 2016</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October 21, 2016</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October 28, 2016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22, 2016</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21, 2016</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September 22, 2016</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December 21, 2016</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December 29, 2016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Total Distributions Declared for</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20" w:type="dxa"/>
            <w:vAlign w:val="bottom"/>
          </w:tcPr>
          <w:p>
            <w:pPr>
              <w:spacing w:after="0"/>
              <w:rPr>
                <w:sz w:val="23"/>
                <w:szCs w:val="23"/>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Fiscal 2016</w:t>
            </w: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00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0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0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-3206750</wp:posOffset>
            </wp:positionV>
            <wp:extent cx="6114415" cy="32200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14415" cy="3220085"/>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3000" w:type="dxa"/>
            <w:vAlign w:val="bottom"/>
            <w:gridSpan w:val="3"/>
          </w:tcPr>
          <w:p>
            <w:pPr>
              <w:ind w:left="2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line="20" w:lineRule="exact"/>
              <w:rPr>
                <w:sz w:val="1"/>
                <w:szCs w:val="1"/>
                <w:color w:val="auto"/>
              </w:rPr>
            </w:pPr>
          </w:p>
        </w:tc>
      </w:tr>
      <w:tr>
        <w:trPr>
          <w:trHeight w:val="376"/>
        </w:trPr>
        <w:tc>
          <w:tcPr>
            <w:tcW w:w="3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24"/>
                <w:szCs w:val="2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24"/>
                <w:szCs w:val="2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0"/>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January 2,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22,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29, 2015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January 2,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February 20,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February 26, 2015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January 2,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23,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30, 2015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0.0500</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26,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23,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29, 2015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0.0500</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May 21,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May 28, 2015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0.0500</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26,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22,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29, 2015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0.0500</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July 23,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July 30, 2015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0.0500</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26,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21,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28, 2015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0.0500</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September 23,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September 29, 2015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0.0500</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26,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23,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29, 2015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0.0500</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20,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27, 2015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0.0500</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26,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22,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30, 2015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0.0500</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April 1,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April 23,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April 29, 2015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April 1,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21,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28, 2015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April 1,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June 22,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June 29, 2015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July 1,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23,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July 1,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21,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28, 2015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July 1,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23,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29, 2015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October 1,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October 23,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October 29, 2015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October 1,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20,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27, 2015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October 1,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December 22, 2015</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December 30, 2015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195"/>
        </w:trPr>
        <w:tc>
          <w:tcPr>
            <w:tcW w:w="3000" w:type="dxa"/>
            <w:vAlign w:val="bottom"/>
            <w:gridSpan w:val="3"/>
            <w:shd w:val="clear" w:color="auto" w:fill="CCEEFF"/>
          </w:tcPr>
          <w:p>
            <w:pPr>
              <w:ind w:left="20"/>
              <w:spacing w:after="0" w:line="195" w:lineRule="exact"/>
              <w:rPr>
                <w:sz w:val="20"/>
                <w:szCs w:val="20"/>
                <w:color w:val="auto"/>
              </w:rPr>
            </w:pPr>
            <w:r>
              <w:rPr>
                <w:rFonts w:ascii="Arial" w:cs="Arial" w:eastAsia="Arial" w:hAnsi="Arial"/>
                <w:sz w:val="18"/>
                <w:szCs w:val="18"/>
                <w:color w:val="auto"/>
              </w:rPr>
              <w:t>Total Distributions Declared for</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Borders>
              <w:bottom w:val="single" w:sz="8" w:color="CCEEFF"/>
            </w:tcBorders>
            <w:shd w:val="clear" w:color="auto" w:fill="CCEEFF"/>
          </w:tcPr>
          <w:p>
            <w:pPr>
              <w:spacing w:after="0"/>
              <w:rPr>
                <w:sz w:val="23"/>
                <w:szCs w:val="23"/>
                <w:color w:val="auto"/>
              </w:rPr>
            </w:pPr>
          </w:p>
        </w:tc>
        <w:tc>
          <w:tcPr>
            <w:tcW w:w="2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Fiscal 2015</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38</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-3609975</wp:posOffset>
            </wp:positionV>
            <wp:extent cx="4742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left="60" w:right="539" w:firstLine="270"/>
        <w:spacing w:after="0" w:line="271" w:lineRule="auto"/>
        <w:rPr>
          <w:sz w:val="20"/>
          <w:szCs w:val="20"/>
          <w:color w:val="auto"/>
        </w:rPr>
      </w:pPr>
      <w:r>
        <w:rPr>
          <w:rFonts w:ascii="Arial" w:cs="Arial" w:eastAsia="Arial" w:hAnsi="Arial"/>
          <w:sz w:val="17"/>
          <w:szCs w:val="17"/>
          <w:color w:val="auto"/>
        </w:rPr>
        <w:t>The following graph compares the cumulative return on our common stock with that of the Standard &amp; Poor’s 500 Stock Index and the NASDAQ Financial 100 index, as we do not believe there is an appropriate index of companies with an investment strategy similar to our own with which to compare the return on our common stock, for the period from September 25, 2013, the date our common stock began trading, through December 31, 2016. The graph assumes that on September 25, 2013, a person invested $100 in each of our common stock, the Standard &amp; Poor’s 500 Stock Index and the NASDAQ Financial 100 index. The graph measures total shareholder return, which takes into account both changes in stock price and dividends. The graph also assumes that dividends paid are reinvested in the same class of equity securities at the frequency with which dividends are paid on such securities during the applicable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53975</wp:posOffset>
            </wp:positionV>
            <wp:extent cx="5008245" cy="18865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0824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68" w:name="page69"/>
    <w:bookmarkEnd w:id="6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679" w:firstLine="270"/>
        <w:spacing w:after="0" w:line="259" w:lineRule="auto"/>
        <w:rPr>
          <w:sz w:val="20"/>
          <w:szCs w:val="20"/>
          <w:color w:val="auto"/>
        </w:rPr>
      </w:pPr>
      <w:r>
        <w:rPr>
          <w:rFonts w:ascii="Arial" w:cs="Arial" w:eastAsia="Arial" w:hAnsi="Arial"/>
          <w:sz w:val="18"/>
          <w:szCs w:val="18"/>
          <w:color w:val="auto"/>
        </w:rPr>
        <w:t>The graph and other information furnished under this Part II Item 5 of this annual report on Form 10-K shall not be deemed to be “soliciting material” or to be “filed” with the SEC or subject to Regulation 14A or 14C under, or to the liabilities of Section 18 of, the Exchange Act. The stock price performance included in the above graph is not necessarily indicative of future stock price performance.</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60" w:right="559" w:firstLine="270"/>
        <w:spacing w:after="0" w:line="257" w:lineRule="auto"/>
        <w:rPr>
          <w:sz w:val="20"/>
          <w:szCs w:val="20"/>
          <w:color w:val="auto"/>
        </w:rPr>
      </w:pPr>
      <w:r>
        <w:rPr>
          <w:rFonts w:ascii="Arial" w:cs="Arial" w:eastAsia="Arial" w:hAnsi="Arial"/>
          <w:sz w:val="18"/>
          <w:szCs w:val="18"/>
          <w:color w:val="auto"/>
        </w:rPr>
        <w:t>During the year ended December 31, 2016, we issued 90,700 shares of common stock under our dividend reinvestment plan. The issuances were not subject to the registration requirements under the Securities Act of 1933, as amended. The cash paid for shares of common stock issued under our dividend reinvestment plan during the year ended December 31, 2016 was approximately $1.1 million. Other than the shares issued under our dividend reinvestment plan during the year ended December 31, 2016, we did not sell any unregistered equity securities.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left="60" w:right="539" w:firstLine="270"/>
        <w:spacing w:after="0" w:line="297" w:lineRule="auto"/>
        <w:rPr>
          <w:sz w:val="20"/>
          <w:szCs w:val="20"/>
          <w:color w:val="auto"/>
        </w:rPr>
      </w:pPr>
      <w:r>
        <w:rPr>
          <w:rFonts w:ascii="Arial" w:cs="Arial" w:eastAsia="Arial" w:hAnsi="Arial"/>
          <w:sz w:val="16"/>
          <w:szCs w:val="16"/>
          <w:color w:val="auto"/>
        </w:rPr>
        <w:t>The following selected consolidated financial data of the Company as of and for the years ended December 31, 2016, 2015, 2014 and 2013 are derived from our consolidated financial statements that have been audited by Ernst &amp; Young LLP, our independent registered public accounting firm. This consolidated financial data should be read in conjunction with our consolidated financial statements and related notes thereto included elsewhere in this Form 10-K and with Management’s Discussion and Analysis of Financial Condition and Results of Operations which follows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52139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As of and</w:t>
            </w:r>
          </w:p>
        </w:tc>
        <w:tc>
          <w:tcPr>
            <w:tcW w:w="1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As of and</w:t>
            </w:r>
          </w:p>
        </w:tc>
        <w:tc>
          <w:tcPr>
            <w:tcW w:w="10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As of and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As of and</w:t>
            </w: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for the</w:t>
            </w: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for the</w:t>
            </w:r>
          </w:p>
        </w:tc>
        <w:tc>
          <w:tcPr>
            <w:tcW w:w="10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for the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for the</w:t>
            </w: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year ended</w:t>
            </w: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year ended</w:t>
            </w:r>
          </w:p>
        </w:tc>
        <w:tc>
          <w:tcPr>
            <w:tcW w:w="10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year ended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year ended</w:t>
            </w:r>
          </w:p>
        </w:tc>
      </w:tr>
      <w:tr>
        <w:trPr>
          <w:trHeight w:val="149"/>
        </w:trPr>
        <w:tc>
          <w:tcPr>
            <w:tcW w:w="428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w w:val="96"/>
              </w:rPr>
              <w:t>2015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96"/>
              </w:rPr>
              <w:t>2013</w:t>
            </w:r>
          </w:p>
        </w:tc>
        <w:tc>
          <w:tcPr>
            <w:tcW w:w="220" w:type="dxa"/>
            <w:vAlign w:val="bottom"/>
            <w:tcBorders>
              <w:bottom w:val="single" w:sz="8" w:color="auto"/>
            </w:tcBorders>
          </w:tcPr>
          <w:p>
            <w:pPr>
              <w:spacing w:after="0"/>
              <w:rPr>
                <w:sz w:val="14"/>
                <w:szCs w:val="14"/>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Total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68,312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63,976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49,528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35,433</w:t>
            </w: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 net of fee waivers</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39,272</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15,949</w:t>
            </w:r>
          </w:p>
        </w:tc>
      </w:tr>
      <w:tr>
        <w:trPr>
          <w:trHeight w:val="20"/>
        </w:trPr>
        <w:tc>
          <w:tcPr>
            <w:tcW w:w="4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29,040</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25,327</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19,966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19,484</w:t>
            </w: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 (loss) from investments</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(22,766)</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2,187</w:t>
            </w:r>
          </w:p>
        </w:tc>
      </w:tr>
      <w:tr>
        <w:trPr>
          <w:trHeight w:val="202"/>
        </w:trPr>
        <w:tc>
          <w:tcPr>
            <w:tcW w:w="4280" w:type="dxa"/>
            <w:vAlign w:val="bottom"/>
          </w:tcPr>
          <w:p>
            <w:pPr>
              <w:ind w:left="20"/>
              <w:spacing w:after="0" w:line="201" w:lineRule="exact"/>
              <w:rPr>
                <w:sz w:val="20"/>
                <w:szCs w:val="20"/>
                <w:color w:val="auto"/>
              </w:rPr>
            </w:pPr>
            <w:r>
              <w:rPr>
                <w:rFonts w:ascii="Arial" w:cs="Arial" w:eastAsia="Arial" w:hAnsi="Arial"/>
                <w:sz w:val="18"/>
                <w:szCs w:val="18"/>
                <w:color w:val="auto"/>
                <w:w w:val="92"/>
              </w:rPr>
              <w:t>Net unrealized appreciation (depreciation) on investments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200"/>
              <w:spacing w:after="0"/>
              <w:rPr>
                <w:sz w:val="20"/>
                <w:szCs w:val="20"/>
                <w:color w:val="auto"/>
              </w:rPr>
            </w:pPr>
            <w:r>
              <w:rPr>
                <w:rFonts w:ascii="Arial" w:cs="Arial" w:eastAsia="Arial" w:hAnsi="Arial"/>
                <w:sz w:val="18"/>
                <w:szCs w:val="18"/>
                <w:color w:val="auto"/>
              </w:rPr>
              <w:t>and written call option</w:t>
            </w: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2,878</w:t>
            </w:r>
          </w:p>
        </w:tc>
        <w:tc>
          <w:tcPr>
            <w:tcW w:w="12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(16,913)</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(24,238)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7,187</w:t>
            </w:r>
          </w:p>
        </w:tc>
      </w:tr>
      <w:tr>
        <w:trPr>
          <w:trHeight w:val="195"/>
        </w:trPr>
        <w:tc>
          <w:tcPr>
            <w:tcW w:w="42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increase (decrease) in net assets resulting from</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71"/>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28,858</w:t>
            </w:r>
          </w:p>
        </w:tc>
      </w:tr>
      <w:tr>
        <w:trPr>
          <w:trHeight w:val="210"/>
        </w:trPr>
        <w:tc>
          <w:tcPr>
            <w:tcW w:w="42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5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50</w:t>
            </w:r>
          </w:p>
        </w:tc>
      </w:tr>
      <w:tr>
        <w:trPr>
          <w:trHeight w:val="195"/>
        </w:trPr>
        <w:tc>
          <w:tcPr>
            <w:tcW w:w="428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rPr>
              <w:t>Net increase (decrease) in net assets resulting from</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r>
      <w:tr>
        <w:trPr>
          <w:trHeight w:val="230"/>
        </w:trPr>
        <w:tc>
          <w:tcPr>
            <w:tcW w:w="428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22</w:t>
            </w:r>
          </w:p>
        </w:tc>
      </w:tr>
      <w:tr>
        <w:trPr>
          <w:trHeight w:val="21"/>
        </w:trPr>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declared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47</w:t>
            </w:r>
          </w:p>
        </w:tc>
      </w:tr>
      <w:tr>
        <w:trPr>
          <w:trHeight w:val="20"/>
        </w:trPr>
        <w:tc>
          <w:tcPr>
            <w:tcW w:w="4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8"/>
                <w:szCs w:val="18"/>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18.56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20.71</w:t>
            </w:r>
          </w:p>
        </w:tc>
      </w:tr>
      <w:tr>
        <w:trPr>
          <w:trHeight w:val="21"/>
        </w:trPr>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Consolidated statements of assets and liabilities data: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584,415</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632,818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539,864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476,428</w:t>
            </w:r>
          </w:p>
        </w:tc>
      </w:tr>
      <w:tr>
        <w:trPr>
          <w:trHeight w:val="21"/>
        </w:trPr>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250,582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268,802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240,837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268,670</w:t>
            </w:r>
          </w:p>
        </w:tc>
      </w:tr>
      <w:tr>
        <w:trPr>
          <w:trHeight w:val="210"/>
        </w:trPr>
        <w:tc>
          <w:tcPr>
            <w:tcW w:w="42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Other data:</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57"/>
        </w:trPr>
        <w:tc>
          <w:tcPr>
            <w:tcW w:w="42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Total Return</w:t>
            </w:r>
            <w:r>
              <w:rPr>
                <w:rFonts w:ascii="Arial" w:cs="Arial" w:eastAsia="Arial" w:hAnsi="Arial"/>
                <w:sz w:val="29"/>
                <w:szCs w:val="29"/>
                <w:color w:val="auto"/>
                <w:vertAlign w:val="superscript"/>
              </w:rPr>
              <w:t>(2)(3)</w:t>
            </w: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24.07%</w:t>
            </w:r>
          </w:p>
        </w:tc>
        <w:tc>
          <w:tcPr>
            <w:tcW w:w="1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w w:val="99"/>
              </w:rPr>
              <w:t>Number of portfolio company investments at year end</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portfolio investments for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120,844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260,640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216,276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110,929</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Investment repayments for the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163,564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142,713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80,197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52,755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-3035935</wp:posOffset>
            </wp:positionV>
            <wp:extent cx="521398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-2195195</wp:posOffset>
            </wp:positionV>
            <wp:extent cx="521398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-1886585</wp:posOffset>
            </wp:positionV>
            <wp:extent cx="5213985" cy="342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3985" cy="3429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-1406525</wp:posOffset>
            </wp:positionV>
            <wp:extent cx="5213985"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3985"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-754380</wp:posOffset>
            </wp:positionV>
            <wp:extent cx="521398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both"/>
        <w:ind w:left="300" w:right="699" w:hanging="272"/>
        <w:spacing w:after="0" w:line="264" w:lineRule="auto"/>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historical periods prior to December 31, 2013, the Company had no operations and therefore earnings per share, dividends declared per common share and weighted average shares outstanding information for the periods that include financial results prior to December 31, 2013 are not provided.</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280" w:right="739" w:hanging="272"/>
        <w:spacing w:after="0" w:line="302" w:lineRule="auto"/>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Total investment return for the years ended December 31, 2016, 2015 and 2014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w:t>
      </w:r>
    </w:p>
    <w:p>
      <w:pPr>
        <w:spacing w:after="0" w:line="46" w:lineRule="exact"/>
        <w:rPr>
          <w:rFonts w:ascii="Arial" w:cs="Arial" w:eastAsia="Arial" w:hAnsi="Arial"/>
          <w:sz w:val="16"/>
          <w:szCs w:val="16"/>
          <w:color w:val="auto"/>
        </w:rPr>
      </w:pPr>
    </w:p>
    <w:p>
      <w:pPr>
        <w:ind w:left="280" w:right="699" w:hanging="272"/>
        <w:spacing w:after="0" w:line="276" w:lineRule="auto"/>
        <w:tabs>
          <w:tab w:leader="none" w:pos="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Total investment return for the year ended December 31, 2013 is calculated assuming a purchase of common shares at the IPO offering price per share at September 25, 2013 of $20.00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123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58"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Annual Report on Form 10-K.</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This Annual Report on Form 10-K,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70"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Some of the statements in this Annual Report on Form 10-K constitute forward-looking statements, which relate to future events or our performance or financial condition. The forward-looking statements contained in this Annual Report on Form 10-K involve risks and uncertainties, including statements as to:</w:t>
      </w:r>
    </w:p>
    <w:p>
      <w:pPr>
        <w:spacing w:after="0" w:line="73" w:lineRule="exact"/>
        <w:rPr>
          <w:sz w:val="20"/>
          <w:szCs w:val="20"/>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87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999" w:hanging="322"/>
        <w:spacing w:after="0" w:line="277"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62" w:lineRule="exact"/>
        <w:rPr>
          <w:rFonts w:ascii="Arial" w:cs="Arial" w:eastAsia="Arial" w:hAnsi="Arial"/>
          <w:sz w:val="18"/>
          <w:szCs w:val="18"/>
          <w:color w:val="auto"/>
        </w:rPr>
      </w:pPr>
    </w:p>
    <w:p>
      <w:pPr>
        <w:ind w:left="600" w:right="799" w:hanging="322"/>
        <w:spacing w:after="0" w:line="277"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lending and investment activities;</w:t>
      </w:r>
    </w:p>
    <w:p>
      <w:pPr>
        <w:spacing w:after="0" w:line="62" w:lineRule="exact"/>
        <w:rPr>
          <w:rFonts w:ascii="Arial" w:cs="Arial" w:eastAsia="Arial" w:hAnsi="Arial"/>
          <w:sz w:val="18"/>
          <w:szCs w:val="18"/>
          <w:color w:val="auto"/>
        </w:rPr>
      </w:pPr>
    </w:p>
    <w:p>
      <w:pPr>
        <w:ind w:left="600" w:right="739" w:hanging="322"/>
        <w:spacing w:after="0" w:line="277"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use leverage as part of our investment strategy;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“Risk Factors” and elsewhere in this Annual Report on Form 10-K.</w:t>
      </w:r>
    </w:p>
    <w:p>
      <w:pPr>
        <w:spacing w:after="0" w:line="140"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55" w:lineRule="auto"/>
        <w:rPr>
          <w:sz w:val="20"/>
          <w:szCs w:val="20"/>
          <w:color w:val="auto"/>
        </w:rPr>
      </w:pPr>
      <w:r>
        <w:rPr>
          <w:rFonts w:ascii="Arial" w:cs="Arial" w:eastAsia="Arial" w:hAnsi="Arial"/>
          <w:sz w:val="18"/>
          <w:szCs w:val="18"/>
          <w:color w:val="auto"/>
        </w:rPr>
        <w:t>statement in this Annual Report on Form 10-K should not be regarded as a representation by us that our plans and objectives will be achieved. These risks and uncertainties include those described or identified in “Risk Factors” and elsewhere in this Annual Report on Form 10-K. You should not place undue reliance on these forward-looking statements, which apply only as of the date of this Annual Report on Form 10-K. We undertake no obligation to revise or update any forward-looking statements, whether as a result of new information, future events or otherwise, unless required by law or Securities and Exchange Commission (“SEC”) rule or regulation.</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We are a Maryland corporation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70"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We provide capital to lower and traditional middle-market companies in the United States, with a non-exclusive emphasis on the Southeast, Southwest and Mid-Atlantic regions. We invest primarily in companies with a history of earnings growth and positive cash flow, proven management teams, product or service with competitive advantages and industry-appropriate margins. We primarily invest in companies with between $4.5 million and $30 million in trailing twelve month earnings before interest, tax, depreciation, and amortization (“EBITDA”).</w:t>
      </w:r>
    </w:p>
    <w:p>
      <w:pPr>
        <w:spacing w:after="0" w:line="80" w:lineRule="exact"/>
        <w:rPr>
          <w:sz w:val="20"/>
          <w:szCs w:val="20"/>
          <w:color w:val="auto"/>
        </w:rPr>
      </w:pPr>
    </w:p>
    <w:p>
      <w:pPr>
        <w:ind w:left="40" w:right="979" w:firstLine="270"/>
        <w:spacing w:after="0" w:line="264" w:lineRule="auto"/>
        <w:rPr>
          <w:sz w:val="20"/>
          <w:szCs w:val="20"/>
          <w:color w:val="auto"/>
        </w:rPr>
      </w:pPr>
      <w:r>
        <w:rPr>
          <w:rFonts w:ascii="Arial" w:cs="Arial" w:eastAsia="Arial" w:hAnsi="Arial"/>
          <w:sz w:val="18"/>
          <w:szCs w:val="18"/>
          <w:color w:val="auto"/>
        </w:rPr>
        <w:t>We invest in first lien, second lien and subordinated loans. Most of our debt investments are coupled with equity interests, whether in the form of detachable “penny” warrants or equity co-investments made pari-passu with our borrowers’ financial sponsors.</w:t>
      </w:r>
    </w:p>
    <w:p>
      <w:pPr>
        <w:spacing w:after="0" w:line="73"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after such borrowing, with certain limited exceptions.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middle-market companies.</w:t>
      </w:r>
    </w:p>
    <w:p>
      <w:pPr>
        <w:spacing w:after="0" w:line="59" w:lineRule="exact"/>
        <w:rPr>
          <w:sz w:val="20"/>
          <w:szCs w:val="20"/>
          <w:color w:val="auto"/>
        </w:rPr>
      </w:pPr>
    </w:p>
    <w:p>
      <w:pPr>
        <w:ind w:left="40" w:right="699" w:firstLine="270"/>
        <w:spacing w:after="0" w:line="297"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SBIC licenses, and continued to hold their existing investments at the time of IPO and have continued to make new investments after the IPO. The IPO consisted</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959"/>
        <w:spacing w:after="0" w:line="286" w:lineRule="auto"/>
        <w:rPr>
          <w:sz w:val="20"/>
          <w:szCs w:val="20"/>
          <w:color w:val="auto"/>
        </w:rPr>
      </w:pPr>
      <w:r>
        <w:rPr>
          <w:rFonts w:ascii="Arial" w:cs="Arial" w:eastAsia="Arial" w:hAnsi="Arial"/>
          <w:sz w:val="17"/>
          <w:szCs w:val="17"/>
          <w:color w:val="auto"/>
        </w:rPr>
        <w:t>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w:t>
      </w:r>
    </w:p>
    <w:p>
      <w:pPr>
        <w:spacing w:after="0" w:line="57"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debt payable. We have two SBIC-licensed subsidiaries that have elected to be regulated as BDCs under the 1940 Act.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is considered an investment company as defined in Accounting Standards Codification (“ASC”) Topic</w:t>
      </w:r>
    </w:p>
    <w:p>
      <w:pPr>
        <w:spacing w:after="0" w:line="23" w:lineRule="exact"/>
        <w:rPr>
          <w:sz w:val="20"/>
          <w:szCs w:val="20"/>
          <w:color w:val="auto"/>
        </w:rPr>
      </w:pPr>
    </w:p>
    <w:p>
      <w:pPr>
        <w:ind w:left="40" w:right="579"/>
        <w:spacing w:after="0" w:line="252" w:lineRule="auto"/>
        <w:rPr>
          <w:sz w:val="20"/>
          <w:szCs w:val="20"/>
          <w:color w:val="auto"/>
        </w:rPr>
      </w:pPr>
      <w:r>
        <w:rPr>
          <w:rFonts w:ascii="Arial" w:cs="Arial" w:eastAsia="Arial" w:hAnsi="Arial"/>
          <w:sz w:val="18"/>
          <w:szCs w:val="18"/>
          <w:color w:val="auto"/>
        </w:rPr>
        <w:t xml:space="preserve">946 —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 </w:t>
      </w:r>
      <w:r>
        <w:rPr>
          <w:rFonts w:ascii="Arial" w:cs="Arial" w:eastAsia="Arial" w:hAnsi="Arial"/>
          <w:sz w:val="18"/>
          <w:szCs w:val="18"/>
          <w:i w:val="1"/>
          <w:iCs w:val="1"/>
          <w:color w:val="auto"/>
        </w:rPr>
        <w:t>Investment Companies</w:t>
      </w:r>
      <w:r>
        <w:rPr>
          <w:rFonts w:ascii="Arial" w:cs="Arial" w:eastAsia="Arial" w:hAnsi="Arial"/>
          <w:sz w:val="18"/>
          <w:szCs w:val="18"/>
          <w:color w:val="auto"/>
        </w:rPr>
        <w:t xml:space="preserve"> (“ASC 946”). The accompanying consolidated financial statements have been prepared on the accrual basis of accounting in conformity with U.S. generally accepted accounting principles (“U.S. GAAP”) and pursuant to the requirements for reporting on Form 10-K and Article 6 and Article 10 of Regulation S-X. The consolidated financial statements of the Company include the accounts of the Company and its wholly owned subsidiaries as described in the Formation Transactions above. The transactions related to Fund II, Fund III, and Florida Sidecar constituted an exchange of shares between entities under common control and have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w:t>
      </w:r>
    </w:p>
    <w:p>
      <w:pPr>
        <w:spacing w:after="0" w:line="85"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The Company’s financial position as of December 31, 2016 and 2015 is presented on a consolidated basis. The effects of all intercompany transactions between the Company and its subsidiaries (Fund II, Fund III, and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Consolidation</w:t>
      </w:r>
    </w:p>
    <w:p>
      <w:pPr>
        <w:spacing w:after="0" w:line="121" w:lineRule="exact"/>
        <w:rPr>
          <w:sz w:val="20"/>
          <w:szCs w:val="20"/>
          <w:color w:val="auto"/>
        </w:rPr>
      </w:pPr>
    </w:p>
    <w:p>
      <w:pPr>
        <w:ind w:left="40" w:right="659" w:firstLine="270"/>
        <w:spacing w:after="0" w:line="254" w:lineRule="auto"/>
        <w:rPr>
          <w:sz w:val="20"/>
          <w:szCs w:val="20"/>
          <w:color w:val="auto"/>
        </w:rPr>
      </w:pPr>
      <w:r>
        <w:rPr>
          <w:rFonts w:ascii="Arial" w:cs="Arial" w:eastAsia="Arial" w:hAnsi="Arial"/>
          <w:sz w:val="18"/>
          <w:szCs w:val="18"/>
          <w:color w:val="auto"/>
        </w:rPr>
        <w:t>As provided under Regulation S-X and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subsidiaries in its consolidated financial statements. The Company did not consolidate its interest in Capitala Senior Liquid Loan Fund I, LLC (“CSLLF”) during the periods it was in existence because the investment was not considered a substantially wholly owned investment company subsidiary. Further, CSLLF was a joint venture for which shared power existed relating to the decisions that most significantly impacted the economic performance of the entity. See Note 4 to the consolidated financial statements for description of the Company’s investment in CSLLF.</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amendment, structuring or diligence fees, monitoring fees, fees for providing managerial assistance and possibly consulting fees and performance-based fees. These fees will be recognized as they are earned.</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0" w:right="719" w:firstLine="270"/>
        <w:spacing w:after="0" w:line="255" w:lineRule="auto"/>
        <w:rPr>
          <w:sz w:val="20"/>
          <w:szCs w:val="20"/>
          <w:color w:val="auto"/>
        </w:rPr>
      </w:pPr>
      <w:r>
        <w:rPr>
          <w:rFonts w:ascii="Arial" w:cs="Arial" w:eastAsia="Arial" w:hAnsi="Arial"/>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85" w:lineRule="exact"/>
        <w:rPr>
          <w:sz w:val="20"/>
          <w:szCs w:val="20"/>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117" w:lineRule="exact"/>
        <w:rPr>
          <w:rFonts w:ascii="Arial" w:cs="Arial" w:eastAsia="Arial" w:hAnsi="Arial"/>
          <w:sz w:val="18"/>
          <w:szCs w:val="18"/>
          <w:color w:val="auto"/>
        </w:rPr>
      </w:pPr>
    </w:p>
    <w:p>
      <w:pPr>
        <w:ind w:left="600" w:right="839" w:hanging="322"/>
        <w:spacing w:after="0" w:line="264"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17" w:lineRule="exact"/>
        <w:rPr>
          <w:rFonts w:ascii="Arial" w:cs="Arial" w:eastAsia="Arial" w:hAnsi="Arial"/>
          <w:sz w:val="18"/>
          <w:szCs w:val="18"/>
          <w:color w:val="auto"/>
        </w:rPr>
      </w:pPr>
    </w:p>
    <w:p>
      <w:pPr>
        <w:ind w:left="600" w:right="559" w:hanging="322"/>
        <w:spacing w:after="0" w:line="308" w:lineRule="auto"/>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costs associated with our reporting and compliance obligations under the 1940 Act, the Securities Exchange Act of 1934, as amended, other applicable federal and state securities laws and ongoing stock exchange listing fees;</w:t>
      </w:r>
    </w:p>
    <w:p>
      <w:pPr>
        <w:spacing w:after="0" w:line="38" w:lineRule="exact"/>
        <w:rPr>
          <w:rFonts w:ascii="Arial" w:cs="Arial" w:eastAsia="Arial" w:hAnsi="Arial"/>
          <w:sz w:val="17"/>
          <w:szCs w:val="17"/>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117" w:lineRule="exact"/>
        <w:rPr>
          <w:rFonts w:ascii="Arial" w:cs="Arial" w:eastAsia="Arial" w:hAnsi="Arial"/>
          <w:sz w:val="18"/>
          <w:szCs w:val="18"/>
          <w:color w:val="auto"/>
        </w:rPr>
      </w:pPr>
    </w:p>
    <w:p>
      <w:pPr>
        <w:ind w:left="600" w:right="1099" w:hanging="322"/>
        <w:spacing w:after="0" w:line="277"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117" w:lineRule="exact"/>
        <w:rPr>
          <w:rFonts w:ascii="Arial" w:cs="Arial" w:eastAsia="Arial" w:hAnsi="Arial"/>
          <w:sz w:val="18"/>
          <w:szCs w:val="18"/>
          <w:color w:val="auto"/>
        </w:rPr>
      </w:pPr>
    </w:p>
    <w:p>
      <w:pPr>
        <w:ind w:left="600" w:right="679" w:hanging="322"/>
        <w:spacing w:after="0" w:line="255"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their respective administrative support staff.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financial statements, certain accounting policies and estimates are considered critical due to their impact on the reported amounts of assets and liabilities at the date of the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Because of the nature of the judgments and assumptions we make, actual results could materially differ from those estimates under different assumptions or conditions. A discussion of our critical accounting policies follows.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117"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80"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63"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75" w:lineRule="exact"/>
        <w:rPr>
          <w:sz w:val="20"/>
          <w:szCs w:val="20"/>
          <w:color w:val="auto"/>
        </w:rPr>
      </w:pPr>
    </w:p>
    <w:p>
      <w:pPr>
        <w:ind w:left="320" w:right="559"/>
        <w:spacing w:after="0" w:line="261"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in active markets for identical assets or liabilities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ability to 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72" w:lineRule="exact"/>
        <w:rPr>
          <w:sz w:val="20"/>
          <w:szCs w:val="20"/>
          <w:color w:val="auto"/>
        </w:rPr>
      </w:pPr>
    </w:p>
    <w:p>
      <w:pPr>
        <w:ind w:left="320" w:right="779"/>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121" w:lineRule="exact"/>
        <w:rPr>
          <w:sz w:val="20"/>
          <w:szCs w:val="20"/>
          <w:color w:val="auto"/>
        </w:rPr>
      </w:pPr>
    </w:p>
    <w:p>
      <w:pPr>
        <w:ind w:left="40" w:right="619" w:firstLine="270"/>
        <w:spacing w:after="0" w:line="269"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75"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59" w:firstLine="270"/>
        <w:spacing w:after="0" w:line="302" w:lineRule="auto"/>
        <w:rPr>
          <w:sz w:val="20"/>
          <w:szCs w:val="20"/>
          <w:color w:val="auto"/>
        </w:rPr>
      </w:pPr>
      <w:r>
        <w:rPr>
          <w:rFonts w:ascii="Arial" w:cs="Arial" w:eastAsia="Arial" w:hAnsi="Arial"/>
          <w:sz w:val="16"/>
          <w:szCs w:val="16"/>
          <w:color w:val="auto"/>
        </w:rPr>
        <w:t>As a practical expedient, the Company used net asset value (“NAV”) as the basis for the fair value of its investment in CSLLF. CSLLF recorded its underlying investments at fair value on a daily basis utilizing pricing information from third-party sources. In the event pricing is not available or an investment is considered illiquid, management may perform model-based analytical valuations in instances where an investment is considered illiquid or for which pricing is not available from third-party sources.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Enterprise Value Waterfall Approach</w:t>
      </w:r>
    </w:p>
    <w:p>
      <w:pPr>
        <w:spacing w:after="0" w:line="117"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enterprise value waterfall approach is primarily utilized to value the Company’s equity securities, including warrants.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However, the Company may utilize the enterprise value waterfall approach to value certain debt securities.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Approach</w:t>
      </w:r>
    </w:p>
    <w:p>
      <w:pPr>
        <w:spacing w:after="0" w:line="117"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Asset Approach</w:t>
      </w:r>
    </w:p>
    <w:p>
      <w:pPr>
        <w:spacing w:after="0" w:line="117"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The asset approach values an investment based on value or the underlying collateral securing the investment. This approach is used when the Company has reason to believe that it will not collect all principal and interest in accordance with the contractual terms of the debt agreement.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40" w:right="779" w:firstLine="270"/>
        <w:spacing w:after="0" w:line="276"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are expected to be 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firstLine="270"/>
        <w:spacing w:after="0" w:line="289"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Generally, when interest and/or principal payments on a loan become 90 days or more past due, or if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59"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i w:val="1"/>
          <w:iCs w:val="1"/>
          <w:color w:val="auto"/>
        </w:rPr>
        <w:t xml:space="preserve">Gains and losses on investment sales and paydowns: </w:t>
      </w:r>
      <w:r>
        <w:rPr>
          <w:rFonts w:ascii="Arial" w:cs="Arial" w:eastAsia="Arial" w:hAnsi="Arial"/>
          <w:sz w:val="18"/>
          <w:szCs w:val="18"/>
          <w:color w:val="auto"/>
        </w:rPr>
        <w:t>Realized gains and losses on investments are recognized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w:t>
      </w:r>
    </w:p>
    <w:p>
      <w:pPr>
        <w:spacing w:after="0" w:line="62" w:lineRule="exact"/>
        <w:rPr>
          <w:sz w:val="20"/>
          <w:szCs w:val="20"/>
          <w:color w:val="auto"/>
        </w:rPr>
      </w:pPr>
    </w:p>
    <w:p>
      <w:pPr>
        <w:ind w:left="40" w:right="519" w:firstLine="270"/>
        <w:spacing w:after="0" w:line="290" w:lineRule="auto"/>
        <w:rPr>
          <w:sz w:val="20"/>
          <w:szCs w:val="20"/>
          <w:color w:val="auto"/>
        </w:rPr>
      </w:pPr>
      <w:r>
        <w:rPr>
          <w:rFonts w:ascii="Arial" w:cs="Arial" w:eastAsia="Arial" w:hAnsi="Arial"/>
          <w:sz w:val="16"/>
          <w:szCs w:val="16"/>
          <w:i w:val="1"/>
          <w:iCs w:val="1"/>
          <w:color w:val="auto"/>
        </w:rPr>
        <w:t xml:space="preserve">Dividend income and paid-in-kind dividends: </w:t>
      </w:r>
      <w:r>
        <w:rPr>
          <w:rFonts w:ascii="Arial" w:cs="Arial" w:eastAsia="Arial" w:hAnsi="Arial"/>
          <w:sz w:val="16"/>
          <w:szCs w:val="16"/>
          <w:color w:val="auto"/>
        </w:rPr>
        <w:t>Dividend income is recognized on the date dividends are declared.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income may be 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58" w:lineRule="exact"/>
        <w:rPr>
          <w:sz w:val="20"/>
          <w:szCs w:val="20"/>
          <w:color w:val="auto"/>
        </w:rPr>
      </w:pPr>
    </w:p>
    <w:p>
      <w:pPr>
        <w:ind w:left="40" w:right="919" w:firstLine="270"/>
        <w:spacing w:after="0" w:line="264" w:lineRule="auto"/>
        <w:rPr>
          <w:sz w:val="20"/>
          <w:szCs w:val="20"/>
          <w:color w:val="auto"/>
        </w:rPr>
      </w:pPr>
      <w:r>
        <w:rPr>
          <w:rFonts w:ascii="Arial" w:cs="Arial" w:eastAsia="Arial" w:hAnsi="Arial"/>
          <w:sz w:val="18"/>
          <w:szCs w:val="18"/>
          <w:i w:val="1"/>
          <w:iCs w:val="1"/>
          <w:color w:val="auto"/>
        </w:rPr>
        <w:t xml:space="preserve">Original issue discount/premiums: </w:t>
      </w:r>
      <w:r>
        <w:rPr>
          <w:rFonts w:ascii="Arial" w:cs="Arial" w:eastAsia="Arial" w:hAnsi="Arial"/>
          <w:sz w:val="18"/>
          <w:szCs w:val="18"/>
          <w:color w:val="auto"/>
        </w:rPr>
        <w:t>Discounts/premiums received to par on loans purchased are capitalized and accreted or</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into income over the life of the loan. Any remaining discount/premium is accreted or amortized into income upon prepayment of the loan.</w:t>
      </w:r>
    </w:p>
    <w:p>
      <w:pPr>
        <w:spacing w:after="0" w:line="73"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fees associated with investments in portfolio companies are recognized as income when the investment transaction closes. Prepayment penalties received by the Company for debt instruments repaid prior to the maturity date are recorded as income upon receipt.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40" w:right="659" w:firstLine="270"/>
        <w:spacing w:after="0" w:line="297" w:lineRule="auto"/>
        <w:rPr>
          <w:sz w:val="20"/>
          <w:szCs w:val="20"/>
          <w:color w:val="auto"/>
        </w:rPr>
      </w:pPr>
      <w:r>
        <w:rPr>
          <w:rFonts w:ascii="Arial" w:cs="Arial" w:eastAsia="Arial" w:hAnsi="Arial"/>
          <w:sz w:val="16"/>
          <w:szCs w:val="16"/>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50"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79" w:lineRule="exact"/>
        <w:rPr>
          <w:sz w:val="20"/>
          <w:szCs w:val="20"/>
          <w:color w:val="auto"/>
        </w:rPr>
      </w:pPr>
    </w:p>
    <w:p>
      <w:pPr>
        <w:jc w:val="both"/>
        <w:ind w:left="40" w:right="619" w:firstLine="270"/>
        <w:spacing w:after="0" w:line="302" w:lineRule="auto"/>
        <w:rPr>
          <w:sz w:val="20"/>
          <w:szCs w:val="20"/>
          <w:color w:val="auto"/>
        </w:rPr>
      </w:pPr>
      <w:r>
        <w:rPr>
          <w:rFonts w:ascii="Arial" w:cs="Arial" w:eastAsia="Arial" w:hAnsi="Arial"/>
          <w:sz w:val="16"/>
          <w:szCs w:val="16"/>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46"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excise tax purposes, the Company accrues excise tax, if any, on estimated excess taxable income as taxable income is earned.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Since the Company’s IPO, the Company has not accrued or paid excise tax.</w:t>
      </w:r>
    </w:p>
    <w:p>
      <w:pPr>
        <w:spacing w:after="0" w:line="103"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58"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2016 and December 31, 2015, there were no uncertain tax positions.</w:t>
      </w:r>
    </w:p>
    <w:p>
      <w:pPr>
        <w:spacing w:after="0" w:line="70"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64"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73" w:lineRule="exact"/>
        <w:rPr>
          <w:sz w:val="20"/>
          <w:szCs w:val="20"/>
          <w:color w:val="auto"/>
        </w:rPr>
      </w:pPr>
    </w:p>
    <w:p>
      <w:pPr>
        <w:ind w:left="40" w:right="579" w:firstLine="270"/>
        <w:spacing w:after="0" w:line="312" w:lineRule="auto"/>
        <w:rPr>
          <w:sz w:val="20"/>
          <w:szCs w:val="20"/>
          <w:color w:val="auto"/>
        </w:rPr>
      </w:pPr>
      <w:r>
        <w:rPr>
          <w:rFonts w:ascii="Arial" w:cs="Arial" w:eastAsia="Arial" w:hAnsi="Arial"/>
          <w:sz w:val="16"/>
          <w:szCs w:val="16"/>
          <w:color w:val="auto"/>
        </w:rPr>
        <w:t>The Company has concluded that it was not necessary to record a liability for any such tax positions as of December 31, 2016 and 2015.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39"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The Company’s activities from commencement of operations remain subject to examination by U.S. federal, state, and local tax authorities. No interest expense or penalties have been assessed for the years ended December 31, 2016, 2015 and 2014. If the Company were required to recognize interest and penalties, if any, related to unrecognized tax benefits this would be recognized as income tax expense in the consolidated statements of operations.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As of December 31, 2016, our portfolio consisted of investments in 53 portfolio companies with a fair value of approximately $541.6 million.</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During the year ended December 31, 2016, we made approximately $120.8 million of investments and had approximately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$163.6 million in repayments and sales of investments resulting in net repayments and sales of approximately $42.8 million for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year. During the year ended December 31, 2015, we made approximately $260.6 million of investments and had approximately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$142.7 million in repayments and sales resulting in net investments of approximately $117.9 million for the year. During the year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ended December 31, 2014, we made approximately $216.3 million of investments and had approximately $80.2 million in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repayments and sales resulting in net investments of approximately $136.1 million for the year.</w:t>
      </w:r>
    </w:p>
    <w:p>
      <w:pPr>
        <w:spacing w:after="0" w:line="200" w:lineRule="exact"/>
        <w:rPr>
          <w:sz w:val="20"/>
          <w:szCs w:val="20"/>
          <w:color w:val="auto"/>
        </w:rPr>
      </w:pPr>
    </w:p>
    <w:p>
      <w:pPr>
        <w:spacing w:after="0" w:line="36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8" w:name="page79"/>
    <w:bookmarkEnd w:id="7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559" w:firstLine="270"/>
        <w:spacing w:after="0" w:line="254" w:lineRule="auto"/>
        <w:rPr>
          <w:sz w:val="20"/>
          <w:szCs w:val="20"/>
          <w:color w:val="auto"/>
        </w:rPr>
      </w:pPr>
      <w:r>
        <w:rPr>
          <w:rFonts w:ascii="Arial" w:cs="Arial" w:eastAsia="Arial" w:hAnsi="Arial"/>
          <w:sz w:val="18"/>
          <w:szCs w:val="18"/>
          <w:color w:val="auto"/>
        </w:rPr>
        <w:t>On August 31, 2016, we sold a portion of 14 securities across 10 portfolio companies to CapitalSouth Partners Florida Sidecar Fund II, L.P. (“FSC II”), including granting an option to acquire a portion of our equity investment in Eastport Holdings, LLC (the “Written Call Option”), in exchange for 100% of the partnership interests in FSC II. Concurrent with the sale of these assets to FSC II, we received cash consideration of $47.6 million from an affiliated third-party purchaser in exchange for 100% of the partnership interests of FSC II. These assets were sold to FSC II at their June 30, 2016 fair market values, resulting in net realized gain of $0.1 million. The proceeds from the redemption of partnership interests in FSC II are included in gross repayments and sales of investments received for the year ended December 31, 2016. Our Board pre-approved this transaction pursuant to Section 57(f) of the 1940 Act.</w:t>
      </w:r>
    </w:p>
    <w:p>
      <w:pPr>
        <w:spacing w:after="0" w:line="84" w:lineRule="exact"/>
        <w:rPr>
          <w:sz w:val="20"/>
          <w:szCs w:val="20"/>
          <w:color w:val="auto"/>
        </w:rPr>
      </w:pPr>
    </w:p>
    <w:p>
      <w:pPr>
        <w:ind w:left="180" w:right="599" w:firstLine="270"/>
        <w:spacing w:after="0" w:line="259"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related by the underlying issuers of the securities.</w:t>
      </w:r>
    </w:p>
    <w:p>
      <w:pPr>
        <w:spacing w:after="0" w:line="79" w:lineRule="exact"/>
        <w:rPr>
          <w:sz w:val="20"/>
          <w:szCs w:val="20"/>
          <w:color w:val="auto"/>
        </w:rPr>
      </w:pPr>
    </w:p>
    <w:p>
      <w:pPr>
        <w:ind w:left="180" w:right="539" w:firstLine="270"/>
        <w:spacing w:after="0" w:line="270" w:lineRule="auto"/>
        <w:rPr>
          <w:sz w:val="20"/>
          <w:szCs w:val="20"/>
          <w:color w:val="auto"/>
        </w:rPr>
      </w:pPr>
      <w:r>
        <w:rPr>
          <w:rFonts w:ascii="Arial" w:cs="Arial" w:eastAsia="Arial" w:hAnsi="Arial"/>
          <w:sz w:val="17"/>
          <w:szCs w:val="17"/>
          <w:color w:val="auto"/>
        </w:rPr>
        <w:t>The Written Call Option granted FSC II the right to purchase up to 31.25% of our equity investment in Eastport Holdings, LLC. The Written Call Option has a strike price of $1.5 million and a termination date of August 31, 2018. The fair value of the Written Call Option, which has been treated as a derivative liability and is recorded in the financial statement line item Written Call Option at fair value in our consolidated statements of assets and liabilities, was approximately $2.7 million as of December 31, 2016. For purposes of determining the fair value of the Written Call Option, we calculated the difference in the fair value of the underlying equity investment in Eastport Holdings, LLC and the strike price of the Written Call Option, or intrinsic value. The time value of the Written Call Option as of December 31, 2016 was determined to be insignificant. The Written Call Option is classified as a Level 3 financial instrument. The Written Call Option was the only option contract granted by us during the year ended December 31, 2016, and the Written Call Option remained outstanding as of December 31, 2016.</w:t>
      </w:r>
    </w:p>
    <w:p>
      <w:pPr>
        <w:spacing w:after="0" w:line="74" w:lineRule="exact"/>
        <w:rPr>
          <w:sz w:val="20"/>
          <w:szCs w:val="20"/>
          <w:color w:val="auto"/>
        </w:rPr>
      </w:pPr>
    </w:p>
    <w:p>
      <w:pPr>
        <w:ind w:left="180" w:right="619" w:firstLine="270"/>
        <w:spacing w:after="0" w:line="255" w:lineRule="auto"/>
        <w:rPr>
          <w:sz w:val="20"/>
          <w:szCs w:val="20"/>
          <w:color w:val="auto"/>
        </w:rPr>
      </w:pPr>
      <w:r>
        <w:rPr>
          <w:rFonts w:ascii="Arial" w:cs="Arial" w:eastAsia="Arial" w:hAnsi="Arial"/>
          <w:sz w:val="18"/>
          <w:szCs w:val="18"/>
          <w:color w:val="auto"/>
        </w:rPr>
        <w:t>As of December 31, 2016, our average portfolio company investment and our largest portfolio company investment at amortized cost and fair value was approximately $9.7 million and $10.2 million, and $22.1 million and $29.9 million, respectively. As of December 31, 2016, the Company had approximately $36.3 million of cash and cash equivalents. As of December 31, 2015, our average portfolio company investment and our largest portfolio company investment at amortized cost and fair value was approximately $10.0 million and $10.4 million, and $28.3 million and $28.3 million, respectively. As of December 31, 2015, the Company had approximately $34.1 million of cash and cash equivalents.</w:t>
      </w:r>
    </w:p>
    <w:p>
      <w:pPr>
        <w:spacing w:after="0" w:line="85" w:lineRule="exact"/>
        <w:rPr>
          <w:sz w:val="20"/>
          <w:szCs w:val="20"/>
          <w:color w:val="auto"/>
        </w:rPr>
      </w:pPr>
    </w:p>
    <w:p>
      <w:pPr>
        <w:ind w:left="180" w:right="559" w:firstLine="270"/>
        <w:spacing w:after="0" w:line="255" w:lineRule="auto"/>
        <w:rPr>
          <w:sz w:val="20"/>
          <w:szCs w:val="20"/>
          <w:color w:val="auto"/>
        </w:rPr>
      </w:pPr>
      <w:r>
        <w:rPr>
          <w:rFonts w:ascii="Arial" w:cs="Arial" w:eastAsia="Arial" w:hAnsi="Arial"/>
          <w:sz w:val="18"/>
          <w:szCs w:val="18"/>
          <w:color w:val="auto"/>
        </w:rPr>
        <w:t>As of December 31, 2016, our debt investment portfolio, which represented 82.8% of our total portfolio, had a weighted average annualized yield of approximately 13.2%, exclusive of the impact of our non-accrual debt investments. As of December 31, 2016, 57.1% of our debt investment portfolio was bearing a fixed rate of interest. As of December 31, 2015, our debt investment portfolio, which represented 80.2% of our total portfolio, had a weighted average yield of approximately 12.3%, exclusive of the impact of our non-accrual debt investments. As of December 31, 2015, 65.5% of our debt investment portfolio was bearing a fixed rate of interest.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amortized cost and the fair value of investments and cash and cash equivalents as of</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2016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1885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Investments at</w:t>
            </w:r>
          </w:p>
        </w:tc>
        <w:tc>
          <w:tcPr>
            <w:tcW w:w="1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4"/>
                <w:szCs w:val="14"/>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5"/>
              </w:rPr>
              <w:t>Investments at</w:t>
            </w:r>
          </w:p>
        </w:tc>
        <w:tc>
          <w:tcPr>
            <w:tcW w:w="1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Percentage</w:t>
            </w:r>
          </w:p>
        </w:tc>
        <w:tc>
          <w:tcPr>
            <w:tcW w:w="126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Amortized Cost</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of Total</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of Total</w:t>
            </w:r>
          </w:p>
        </w:tc>
        <w:tc>
          <w:tcPr>
            <w:tcW w:w="126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Lien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244,647</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226,578</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39.2%</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Second Lien Debt</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74,559</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71,483</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12.3</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Subordinated Debt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148,849</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150,232</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Equity and Warrants</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45,721</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93,346</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16.2</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36,281</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36,281</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6.3</w:t>
            </w:r>
          </w:p>
        </w:tc>
        <w:tc>
          <w:tcPr>
            <w:tcW w:w="126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550,057</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577,920</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c>
          <w:tcPr>
            <w:tcW w:w="126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763"/>
        </w:trPr>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608"/>
              <w:spacing w:after="0"/>
              <w:rPr>
                <w:sz w:val="20"/>
                <w:szCs w:val="20"/>
                <w:color w:val="auto"/>
              </w:rPr>
            </w:pPr>
            <w:r>
              <w:rPr>
                <w:rFonts w:ascii="Arial" w:cs="Arial" w:eastAsia="Arial" w:hAnsi="Arial"/>
                <w:sz w:val="18"/>
                <w:szCs w:val="18"/>
                <w:color w:val="auto"/>
                <w:w w:val="99"/>
              </w:rPr>
              <w:t>76</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4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4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-805180</wp:posOffset>
            </wp:positionV>
            <wp:extent cx="5213985" cy="180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79" w:name="page80"/>
    <w:bookmarkEnd w:id="79"/>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amortized cost and the fair value of investments and cash and cash equivalents as of</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1885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Investments at</w:t>
            </w:r>
          </w:p>
        </w:tc>
        <w:tc>
          <w:tcPr>
            <w:tcW w:w="1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4"/>
                <w:szCs w:val="14"/>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5"/>
              </w:rPr>
              <w:t>Investments at</w:t>
            </w:r>
          </w:p>
        </w:tc>
        <w:tc>
          <w:tcPr>
            <w:tcW w:w="1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Percentage</w:t>
            </w:r>
          </w:p>
        </w:tc>
      </w:tr>
      <w:tr>
        <w:trPr>
          <w:trHeight w:val="171"/>
        </w:trPr>
        <w:tc>
          <w:tcPr>
            <w:tcW w:w="346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Amortized Cost</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of Total</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of Total</w:t>
            </w: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Lien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207,957</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199,843</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Second Lien Debt</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82,435</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80,610</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12.9</w:t>
            </w: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Subordinated Debt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205,480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194,485</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31.0</w:t>
            </w: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Equity and Warrants</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54,315</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99,651</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15.9</w:t>
            </w: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Capitala Senior Liquid Loan Fund I, LLC</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17,867</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34,105</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34,105</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5.4</w:t>
            </w:r>
          </w:p>
        </w:tc>
      </w:tr>
      <w:tr>
        <w:trPr>
          <w:trHeight w:val="20"/>
        </w:trPr>
        <w:tc>
          <w:tcPr>
            <w:tcW w:w="3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604,292</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626,561</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52057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right="4"/>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4"/>
                <w:szCs w:val="14"/>
                <w:b w:val="1"/>
                <w:bCs w:val="1"/>
                <w:color w:val="auto"/>
              </w:rPr>
              <w:t>December 31, 2015</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ind w:right="12"/>
              <w:spacing w:after="0" w:line="119" w:lineRule="exact"/>
              <w:rPr>
                <w:sz w:val="20"/>
                <w:szCs w:val="20"/>
                <w:color w:val="auto"/>
              </w:rPr>
            </w:pPr>
            <w:r>
              <w:rPr>
                <w:rFonts w:ascii="Arial" w:cs="Arial" w:eastAsia="Arial" w:hAnsi="Arial"/>
                <w:sz w:val="13"/>
                <w:szCs w:val="13"/>
                <w:b w:val="1"/>
                <w:bCs w:val="1"/>
                <w:color w:val="auto"/>
                <w:w w:val="96"/>
              </w:rPr>
              <w:t>Investments at</w:t>
            </w:r>
          </w:p>
        </w:tc>
        <w:tc>
          <w:tcPr>
            <w:tcW w:w="16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60" w:type="dxa"/>
            <w:vAlign w:val="bottom"/>
          </w:tcPr>
          <w:p>
            <w:pPr>
              <w:spacing w:after="0"/>
              <w:rPr>
                <w:sz w:val="10"/>
                <w:szCs w:val="10"/>
                <w:color w:val="auto"/>
              </w:rPr>
            </w:pPr>
          </w:p>
        </w:tc>
        <w:tc>
          <w:tcPr>
            <w:tcW w:w="9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Investments at</w:t>
            </w:r>
          </w:p>
        </w:tc>
        <w:tc>
          <w:tcPr>
            <w:tcW w:w="160" w:type="dxa"/>
            <w:vAlign w:val="bottom"/>
          </w:tcPr>
          <w:p>
            <w:pPr>
              <w:spacing w:after="0"/>
              <w:rPr>
                <w:sz w:val="10"/>
                <w:szCs w:val="10"/>
                <w:color w:val="auto"/>
              </w:rPr>
            </w:pPr>
          </w:p>
        </w:tc>
        <w:tc>
          <w:tcPr>
            <w:tcW w:w="1100" w:type="dxa"/>
            <w:vAlign w:val="bottom"/>
          </w:tcPr>
          <w:p>
            <w:pPr>
              <w:jc w:val="right"/>
              <w:ind w:right="37"/>
              <w:spacing w:after="0" w:line="119" w:lineRule="exact"/>
              <w:rPr>
                <w:sz w:val="20"/>
                <w:szCs w:val="20"/>
                <w:color w:val="auto"/>
              </w:rPr>
            </w:pPr>
            <w:r>
              <w:rPr>
                <w:rFonts w:ascii="Arial" w:cs="Arial" w:eastAsia="Arial" w:hAnsi="Arial"/>
                <w:sz w:val="13"/>
                <w:szCs w:val="13"/>
                <w:b w:val="1"/>
                <w:bCs w:val="1"/>
                <w:color w:val="auto"/>
              </w:rPr>
              <w:t>Percentage of</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Business Services</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Total Portfolio</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51,731</w:t>
            </w:r>
          </w:p>
        </w:tc>
        <w:tc>
          <w:tcPr>
            <w:tcW w:w="16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24,280</w:t>
            </w:r>
          </w:p>
        </w:tc>
        <w:tc>
          <w:tcPr>
            <w:tcW w:w="160" w:type="dxa"/>
            <w:vAlign w:val="bottom"/>
          </w:tcPr>
          <w:p>
            <w:pPr>
              <w:spacing w:after="0"/>
              <w:rPr>
                <w:sz w:val="18"/>
                <w:szCs w:val="18"/>
                <w:color w:val="auto"/>
              </w:rPr>
            </w:pPr>
          </w:p>
        </w:tc>
        <w:tc>
          <w:tcPr>
            <w:tcW w:w="1100" w:type="dxa"/>
            <w:vAlign w:val="bottom"/>
          </w:tcPr>
          <w:p>
            <w:pPr>
              <w:jc w:val="right"/>
              <w:ind w:right="257"/>
              <w:spacing w:after="0"/>
              <w:rPr>
                <w:sz w:val="20"/>
                <w:szCs w:val="20"/>
                <w:color w:val="auto"/>
              </w:rPr>
            </w:pPr>
            <w:r>
              <w:rPr>
                <w:rFonts w:ascii="Arial" w:cs="Arial" w:eastAsia="Arial" w:hAnsi="Arial"/>
                <w:sz w:val="18"/>
                <w:szCs w:val="18"/>
                <w:color w:val="auto"/>
              </w:rPr>
              <w:t>4.1%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30,209</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Medical Device Distributor</w:t>
            </w:r>
          </w:p>
        </w:tc>
        <w:tc>
          <w:tcPr>
            <w:tcW w:w="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25,768</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27,681</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4.7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25,553</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4.4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Information Technology</w:t>
            </w:r>
          </w:p>
        </w:tc>
        <w:tc>
          <w:tcPr>
            <w:tcW w:w="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24,232</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8,000</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1.3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Retail</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22,067</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Consumer Electronics</w:t>
            </w:r>
          </w:p>
        </w:tc>
        <w:tc>
          <w:tcPr>
            <w:tcW w:w="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20,818</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28,300</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4.8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Footwear Retail</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19,236</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3.2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Building Products</w:t>
            </w:r>
          </w:p>
        </w:tc>
        <w:tc>
          <w:tcPr>
            <w:tcW w:w="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18,152</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18,299</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16,856</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27,244</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4.6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Food Product Manufacturer</w:t>
            </w:r>
          </w:p>
        </w:tc>
        <w:tc>
          <w:tcPr>
            <w:tcW w:w="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16,599</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17,436</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2.9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&amp; Marketing Services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16,376</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17,858</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Oil &amp; Gas Services</w:t>
            </w:r>
          </w:p>
        </w:tc>
        <w:tc>
          <w:tcPr>
            <w:tcW w:w="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15,083</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31,472</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5.3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15,000</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Home Décor Manufacturer</w:t>
            </w:r>
          </w:p>
        </w:tc>
        <w:tc>
          <w:tcPr>
            <w:tcW w:w="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14,670</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14,614</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2.5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Textile Equipment Manufacturer</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13,134</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12,854</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2.2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Printing Services</w:t>
            </w:r>
          </w:p>
        </w:tc>
        <w:tc>
          <w:tcPr>
            <w:tcW w:w="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12,761</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17,088</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2.9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Bowling Products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12,503</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2.0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Computer Supply Retail</w:t>
            </w:r>
          </w:p>
        </w:tc>
        <w:tc>
          <w:tcPr>
            <w:tcW w:w="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12,183</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11,038</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1.9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Farming</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11,779</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15,408</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2.6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Healthcare Management</w:t>
            </w:r>
          </w:p>
        </w:tc>
        <w:tc>
          <w:tcPr>
            <w:tcW w:w="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10,851</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11,525</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1.9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Bakery Supplies Distributor</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10,776</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2.8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Industrial Equipment Rental</w:t>
            </w:r>
          </w:p>
        </w:tc>
        <w:tc>
          <w:tcPr>
            <w:tcW w:w="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10,755</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13,181</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2.2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Transportation Services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10,303</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0.8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Automobile Part Manufacturer</w:t>
            </w:r>
          </w:p>
        </w:tc>
        <w:tc>
          <w:tcPr>
            <w:tcW w:w="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10,076</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11,908</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2.0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Services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9,500</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2.1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Professional and Personal Digital Imaging</w:t>
            </w:r>
          </w:p>
        </w:tc>
        <w:tc>
          <w:tcPr>
            <w:tcW w:w="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9,000</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2.5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8,582</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1.7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QSR Franchisor</w:t>
            </w:r>
          </w:p>
        </w:tc>
        <w:tc>
          <w:tcPr>
            <w:tcW w:w="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8,497</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3,342</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0.6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Conglomerate</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8,374</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1.2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Produce Distribution</w:t>
            </w:r>
          </w:p>
        </w:tc>
        <w:tc>
          <w:tcPr>
            <w:tcW w:w="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6,182</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5,182</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0.9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Clothing</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5,011</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0.8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gridSpan w:val="2"/>
          </w:tcPr>
          <w:p>
            <w:pPr>
              <w:jc w:val="right"/>
              <w:ind w:right="984"/>
              <w:spacing w:after="0"/>
              <w:rPr>
                <w:sz w:val="20"/>
                <w:szCs w:val="20"/>
                <w:color w:val="auto"/>
              </w:rPr>
            </w:pPr>
            <w:r>
              <w:rPr>
                <w:rFonts w:ascii="Arial" w:cs="Arial" w:eastAsia="Arial" w:hAnsi="Arial"/>
                <w:sz w:val="18"/>
                <w:szCs w:val="18"/>
                <w:color w:val="auto"/>
                <w:w w:val="79"/>
              </w:rPr>
              <w:t>77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5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5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3520" w:type="dxa"/>
            <w:vAlign w:val="bottom"/>
            <w:gridSpan w:val="3"/>
          </w:tcPr>
          <w:p>
            <w:pPr>
              <w:ind w:left="2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160" w:type="dxa"/>
            <w:vAlign w:val="bottom"/>
          </w:tcPr>
          <w:p>
            <w:pPr>
              <w:spacing w:after="0"/>
              <w:rPr>
                <w:sz w:val="10"/>
                <w:szCs w:val="10"/>
                <w:color w:val="auto"/>
              </w:rPr>
            </w:pPr>
          </w:p>
        </w:tc>
        <w:tc>
          <w:tcPr>
            <w:tcW w:w="108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Percentage of</w:t>
            </w:r>
          </w:p>
        </w:tc>
        <w:tc>
          <w:tcPr>
            <w:tcW w:w="160" w:type="dxa"/>
            <w:vAlign w:val="bottom"/>
          </w:tcPr>
          <w:p>
            <w:pPr>
              <w:spacing w:after="0"/>
              <w:rPr>
                <w:sz w:val="10"/>
                <w:szCs w:val="10"/>
                <w:color w:val="auto"/>
              </w:rPr>
            </w:pPr>
          </w:p>
        </w:tc>
        <w:tc>
          <w:tcPr>
            <w:tcW w:w="98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Investments at</w:t>
            </w:r>
          </w:p>
        </w:tc>
        <w:tc>
          <w:tcPr>
            <w:tcW w:w="160" w:type="dxa"/>
            <w:vAlign w:val="bottom"/>
          </w:tcPr>
          <w:p>
            <w:pPr>
              <w:spacing w:after="0"/>
              <w:rPr>
                <w:sz w:val="10"/>
                <w:szCs w:val="10"/>
                <w:color w:val="auto"/>
              </w:rPr>
            </w:pPr>
          </w:p>
        </w:tc>
        <w:tc>
          <w:tcPr>
            <w:tcW w:w="108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Percentage of</w:t>
            </w:r>
          </w:p>
        </w:tc>
        <w:tc>
          <w:tcPr>
            <w:tcW w:w="0" w:type="dxa"/>
            <w:vAlign w:val="bottom"/>
          </w:tcPr>
          <w:p>
            <w:pPr>
              <w:spacing w:after="0"/>
              <w:rPr>
                <w:sz w:val="1"/>
                <w:szCs w:val="1"/>
                <w:color w:val="auto"/>
              </w:rPr>
            </w:pPr>
          </w:p>
        </w:tc>
      </w:tr>
      <w:tr>
        <w:trPr>
          <w:trHeight w:val="171"/>
        </w:trPr>
        <w:tc>
          <w:tcPr>
            <w:tcW w:w="3520" w:type="dxa"/>
            <w:vAlign w:val="bottom"/>
            <w:gridSpan w:val="3"/>
            <w:vMerge w:val="restart"/>
          </w:tcPr>
          <w:p>
            <w:pPr>
              <w:ind w:left="20"/>
              <w:spacing w:after="0"/>
              <w:rPr>
                <w:sz w:val="20"/>
                <w:szCs w:val="20"/>
                <w:color w:val="auto"/>
              </w:rPr>
            </w:pPr>
            <w:r>
              <w:rPr>
                <w:rFonts w:ascii="Arial" w:cs="Arial" w:eastAsia="Arial" w:hAnsi="Arial"/>
                <w:sz w:val="18"/>
                <w:szCs w:val="18"/>
                <w:color w:val="auto"/>
              </w:rPr>
              <w:t>Satellite Communications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Total Portfolio</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10"/>
        </w:trPr>
        <w:tc>
          <w:tcPr>
            <w:tcW w:w="352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4,932</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Restaurant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Industrial Specialty Services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4,750</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4,881</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2"/>
        </w:trPr>
        <w:tc>
          <w:tcPr>
            <w:tcW w:w="35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Oil &amp; Gas Engineering and Consulting</w:t>
            </w: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10,075</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Online Merchandise Retailer</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4,169</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4,382</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Advertising &amp; Marketing Services</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3,926</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Replacement Window Manufacturer</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2,571</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3,196</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Automotive Chemicals &amp; Lubricants</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3,981</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Specialty Defense Contractor</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1,532</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1,800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Home Repair Parts Manufacturer</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5,401</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Data Processing &amp; Digital Marketing</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10,206</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Household Product Manufacturer</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758</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Entertainment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986</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Retail Display &amp; Security Services</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21,917</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In-Home Healthcare Services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721</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Dental Practice Management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8,452</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IT Government Contracting</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Investment Fund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17,867</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Energy Services</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10,500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Crane Rental and Sales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5,032</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Industrial Manufacturing</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3,582</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Scrap Metal Recycler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3,106</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Disaster Recovery Homebuilding</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Western Wear Retail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1,171</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541,639</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592,456</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-4021455</wp:posOffset>
            </wp:positionV>
            <wp:extent cx="52139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276" w:lineRule="auto"/>
        <w:rPr>
          <w:sz w:val="20"/>
          <w:szCs w:val="20"/>
          <w:color w:val="auto"/>
        </w:rPr>
      </w:pPr>
      <w:r>
        <w:rPr>
          <w:rFonts w:ascii="Arial" w:cs="Arial" w:eastAsia="Arial" w:hAnsi="Arial"/>
          <w:sz w:val="17"/>
          <w:szCs w:val="17"/>
          <w:color w:val="auto"/>
        </w:rPr>
        <w:t>With the exception of the international investment holdings noted below, all investments made by the Company as of December 31, 2016 and December 31, 2015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December 31, 2016 and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1885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At December 31, 2016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At December 31, 2015</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w w:val="96"/>
              </w:rPr>
              <w:t>Investments at</w:t>
            </w:r>
          </w:p>
        </w:tc>
        <w:tc>
          <w:tcPr>
            <w:tcW w:w="160" w:type="dxa"/>
            <w:vAlign w:val="bottom"/>
          </w:tcPr>
          <w:p>
            <w:pPr>
              <w:spacing w:after="0"/>
              <w:rPr>
                <w:sz w:val="10"/>
                <w:szCs w:val="10"/>
                <w:color w:val="auto"/>
              </w:rPr>
            </w:pPr>
          </w:p>
        </w:tc>
        <w:tc>
          <w:tcPr>
            <w:tcW w:w="110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Percentage of</w:t>
            </w:r>
          </w:p>
        </w:tc>
        <w:tc>
          <w:tcPr>
            <w:tcW w:w="160" w:type="dxa"/>
            <w:vAlign w:val="bottom"/>
          </w:tcPr>
          <w:p>
            <w:pPr>
              <w:spacing w:after="0"/>
              <w:rPr>
                <w:sz w:val="10"/>
                <w:szCs w:val="10"/>
                <w:color w:val="auto"/>
              </w:rPr>
            </w:pPr>
          </w:p>
        </w:tc>
        <w:tc>
          <w:tcPr>
            <w:tcW w:w="100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Investments at</w:t>
            </w:r>
          </w:p>
        </w:tc>
        <w:tc>
          <w:tcPr>
            <w:tcW w:w="160" w:type="dxa"/>
            <w:vAlign w:val="bottom"/>
          </w:tcPr>
          <w:p>
            <w:pPr>
              <w:spacing w:after="0"/>
              <w:rPr>
                <w:sz w:val="10"/>
                <w:szCs w:val="10"/>
                <w:color w:val="auto"/>
              </w:rPr>
            </w:pPr>
          </w:p>
        </w:tc>
        <w:tc>
          <w:tcPr>
            <w:tcW w:w="112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Percentage of</w:t>
            </w:r>
          </w:p>
        </w:tc>
        <w:tc>
          <w:tcPr>
            <w:tcW w:w="0" w:type="dxa"/>
            <w:vAlign w:val="bottom"/>
          </w:tcPr>
          <w:p>
            <w:pPr>
              <w:spacing w:after="0"/>
              <w:rPr>
                <w:sz w:val="1"/>
                <w:szCs w:val="1"/>
                <w:color w:val="auto"/>
              </w:rPr>
            </w:pPr>
          </w:p>
        </w:tc>
      </w:tr>
      <w:tr>
        <w:trPr>
          <w:trHeight w:val="171"/>
        </w:trPr>
        <w:tc>
          <w:tcPr>
            <w:tcW w:w="3440" w:type="dxa"/>
            <w:vAlign w:val="bottom"/>
            <w:vMerge w:val="restart"/>
          </w:tcPr>
          <w:p>
            <w:pPr>
              <w:ind w:left="20"/>
              <w:spacing w:after="0"/>
              <w:rPr>
                <w:sz w:val="20"/>
                <w:szCs w:val="20"/>
                <w:color w:val="auto"/>
              </w:rPr>
            </w:pPr>
            <w:r>
              <w:rPr>
                <w:rFonts w:ascii="Arial" w:cs="Arial" w:eastAsia="Arial" w:hAnsi="Arial"/>
                <w:sz w:val="18"/>
                <w:szCs w:val="18"/>
                <w:color w:val="auto"/>
              </w:rPr>
              <w:t>South</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Total Portfolio</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257,162</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307,056</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Midwest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118,682</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87,911</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West</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85,642</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85,414</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Northeast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68,613</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102,020</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11,540</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10,055</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541,639</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592,456</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In addition to various risk management tools, our Investment Advisor also uses an investment rating system to characterize and monitor our expected level of return on each investment in our portfolio.</w:t>
      </w:r>
    </w:p>
    <w:p>
      <w:pPr>
        <w:spacing w:after="0" w:line="62"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81" w:name="page82"/>
    <w:bookmarkEnd w:id="8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659"/>
        <w:spacing w:after="0" w:line="308" w:lineRule="auto"/>
        <w:rPr>
          <w:sz w:val="20"/>
          <w:szCs w:val="20"/>
          <w:color w:val="auto"/>
        </w:rPr>
      </w:pPr>
      <w:r>
        <w:rPr>
          <w:rFonts w:ascii="Arial" w:cs="Arial" w:eastAsia="Arial" w:hAnsi="Arial"/>
          <w:sz w:val="17"/>
          <w:szCs w:val="17"/>
          <w:color w:val="auto"/>
        </w:rPr>
        <w:t>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167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260" w:type="dxa"/>
            <w:vAlign w:val="bottom"/>
          </w:tcPr>
          <w:p>
            <w:pPr>
              <w:jc w:val="center"/>
              <w:ind w:right="1508"/>
              <w:spacing w:after="0"/>
              <w:rPr>
                <w:sz w:val="20"/>
                <w:szCs w:val="20"/>
                <w:color w:val="auto"/>
              </w:rPr>
            </w:pPr>
            <w:r>
              <w:rPr>
                <w:rFonts w:ascii="Arial" w:cs="Arial" w:eastAsia="Arial" w:hAnsi="Arial"/>
                <w:sz w:val="14"/>
                <w:szCs w:val="14"/>
                <w:b w:val="1"/>
                <w:bCs w:val="1"/>
                <w:color w:val="auto"/>
                <w:w w:val="91"/>
              </w:rPr>
              <w:t>Investment</w:t>
            </w:r>
          </w:p>
        </w:tc>
        <w:tc>
          <w:tcPr>
            <w:tcW w:w="222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92"/>
              </w:rPr>
              <w:t>Definition</w:t>
            </w:r>
          </w:p>
        </w:tc>
        <w:tc>
          <w:tcPr>
            <w:tcW w:w="0" w:type="dxa"/>
            <w:vAlign w:val="bottom"/>
          </w:tcPr>
          <w:p>
            <w:pPr>
              <w:spacing w:after="0"/>
              <w:rPr>
                <w:sz w:val="1"/>
                <w:szCs w:val="1"/>
                <w:color w:val="auto"/>
              </w:rPr>
            </w:pPr>
          </w:p>
        </w:tc>
      </w:tr>
      <w:tr>
        <w:trPr>
          <w:trHeight w:val="186"/>
        </w:trPr>
        <w:tc>
          <w:tcPr>
            <w:tcW w:w="2260" w:type="dxa"/>
            <w:vAlign w:val="bottom"/>
          </w:tcPr>
          <w:p>
            <w:pPr>
              <w:jc w:val="center"/>
              <w:ind w:right="1508"/>
              <w:spacing w:after="0"/>
              <w:rPr>
                <w:sz w:val="20"/>
                <w:szCs w:val="20"/>
                <w:color w:val="auto"/>
              </w:rPr>
            </w:pPr>
            <w:r>
              <w:rPr>
                <w:rFonts w:ascii="Arial" w:cs="Arial" w:eastAsia="Arial" w:hAnsi="Arial"/>
                <w:sz w:val="14"/>
                <w:szCs w:val="14"/>
                <w:b w:val="1"/>
                <w:bCs w:val="1"/>
                <w:color w:val="auto"/>
                <w:w w:val="91"/>
              </w:rPr>
              <w:t>Rating</w:t>
            </w: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47510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ind w:left="1140" w:right="2979" w:hanging="685"/>
        <w:spacing w:after="0" w:line="264" w:lineRule="auto"/>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general, the investment may be performing above our internal expectations. Full return of principal and interest is expected. Capital gain is expected.</w:t>
      </w:r>
    </w:p>
    <w:p>
      <w:pPr>
        <w:spacing w:after="0" w:line="1" w:lineRule="exact"/>
        <w:rPr>
          <w:sz w:val="20"/>
          <w:szCs w:val="20"/>
          <w:color w:val="auto"/>
        </w:rPr>
      </w:pPr>
    </w:p>
    <w:p>
      <w:pPr>
        <w:ind w:left="1140" w:hanging="685"/>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w:t>
      </w:r>
    </w:p>
    <w:p>
      <w:pPr>
        <w:spacing w:after="0" w:line="9" w:lineRule="exact"/>
        <w:rPr>
          <w:sz w:val="20"/>
          <w:szCs w:val="20"/>
          <w:color w:val="auto"/>
        </w:rPr>
      </w:pPr>
    </w:p>
    <w:p>
      <w:pPr>
        <w:ind w:left="1140" w:right="2919"/>
        <w:spacing w:after="0" w:line="250" w:lineRule="auto"/>
        <w:rPr>
          <w:sz w:val="20"/>
          <w:szCs w:val="20"/>
          <w:color w:val="auto"/>
        </w:rPr>
      </w:pPr>
      <w:r>
        <w:rPr>
          <w:rFonts w:ascii="Arial" w:cs="Arial" w:eastAsia="Arial" w:hAnsi="Arial"/>
          <w:sz w:val="18"/>
          <w:szCs w:val="18"/>
          <w:color w:val="auto"/>
        </w:rPr>
        <w:t>potential risks to the applicable investment are considered to be neutral or favorable compared to any potential risks at the time of the original investment. All new investments are initially given this rating.</w:t>
      </w:r>
    </w:p>
    <w:p>
      <w:pPr>
        <w:spacing w:after="0" w:line="1" w:lineRule="exact"/>
        <w:rPr>
          <w:sz w:val="20"/>
          <w:szCs w:val="20"/>
          <w:color w:val="auto"/>
        </w:rPr>
      </w:pPr>
    </w:p>
    <w:p>
      <w:pPr>
        <w:ind w:left="1140" w:right="2619" w:hanging="685"/>
        <w:spacing w:after="0" w:line="281" w:lineRule="auto"/>
        <w:tabs>
          <w:tab w:leader="none" w:pos="11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general, the investment may be performing below our internal expectations and therefore, investments in this category may require closer internal monitoring; however, the valuation team believes that no loss of investment return (interest and/or dividends)</w:t>
      </w:r>
    </w:p>
    <w:p>
      <w:pPr>
        <w:spacing w:after="0" w:line="2" w:lineRule="exact"/>
        <w:rPr>
          <w:sz w:val="20"/>
          <w:szCs w:val="20"/>
          <w:color w:val="auto"/>
        </w:rPr>
      </w:pPr>
    </w:p>
    <w:p>
      <w:pPr>
        <w:ind w:left="1140" w:right="2919"/>
        <w:spacing w:after="0" w:line="250" w:lineRule="auto"/>
        <w:rPr>
          <w:sz w:val="20"/>
          <w:szCs w:val="20"/>
          <w:color w:val="auto"/>
        </w:rPr>
      </w:pPr>
      <w:r>
        <w:rPr>
          <w:rFonts w:ascii="Arial" w:cs="Arial" w:eastAsia="Arial" w:hAnsi="Arial"/>
          <w:sz w:val="18"/>
          <w:szCs w:val="18"/>
          <w:color w:val="auto"/>
        </w:rPr>
        <w:t>or principal is expected. The investment also may be out of compliance with certain financial covenants.</w:t>
      </w:r>
    </w:p>
    <w:p>
      <w:pPr>
        <w:spacing w:after="0" w:line="1" w:lineRule="exact"/>
        <w:rPr>
          <w:sz w:val="20"/>
          <w:szCs w:val="20"/>
          <w:color w:val="auto"/>
        </w:rPr>
      </w:pPr>
    </w:p>
    <w:p>
      <w:pPr>
        <w:ind w:left="1140" w:hanging="685"/>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w:t>
      </w:r>
    </w:p>
    <w:p>
      <w:pPr>
        <w:spacing w:after="0" w:line="9" w:lineRule="exact"/>
        <w:rPr>
          <w:sz w:val="20"/>
          <w:szCs w:val="20"/>
          <w:color w:val="auto"/>
        </w:rPr>
      </w:pPr>
    </w:p>
    <w:p>
      <w:pPr>
        <w:ind w:left="1140" w:right="3019"/>
        <w:spacing w:after="0" w:line="250" w:lineRule="auto"/>
        <w:rPr>
          <w:sz w:val="20"/>
          <w:szCs w:val="20"/>
          <w:color w:val="auto"/>
        </w:rPr>
      </w:pPr>
      <w:r>
        <w:rPr>
          <w:rFonts w:ascii="Arial" w:cs="Arial" w:eastAsia="Arial" w:hAnsi="Arial"/>
          <w:sz w:val="18"/>
          <w:szCs w:val="18"/>
          <w:color w:val="auto"/>
        </w:rPr>
        <w:t>quantitative or qualitative risks may have increased substantially since the original investment. Loss of some or all principal is expected.</w:t>
      </w:r>
    </w:p>
    <w:p>
      <w:pPr>
        <w:spacing w:after="0" w:line="1" w:lineRule="exact"/>
        <w:rPr>
          <w:sz w:val="20"/>
          <w:szCs w:val="20"/>
          <w:color w:val="auto"/>
        </w:rPr>
      </w:pPr>
    </w:p>
    <w:p>
      <w:pPr>
        <w:ind w:left="1140" w:right="2879" w:hanging="685"/>
        <w:spacing w:after="0" w:line="302" w:lineRule="auto"/>
        <w:tabs>
          <w:tab w:leader="none" w:pos="11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47" w:lineRule="exact"/>
        <w:rPr>
          <w:sz w:val="20"/>
          <w:szCs w:val="20"/>
          <w:color w:val="auto"/>
        </w:rPr>
      </w:pPr>
    </w:p>
    <w:p>
      <w:pPr>
        <w:ind w:left="60" w:right="659" w:firstLine="270"/>
        <w:spacing w:after="0" w:line="259"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and our Board will affirm such ratings. The investment rating of a particular investment should not, however, be deemed to be a guarantee of the investment’s future performance.</w:t>
      </w:r>
    </w:p>
    <w:p>
      <w:pPr>
        <w:spacing w:after="0" w:line="79"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as of December 31, 2016 and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As of December 31, 2016</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As of December 31, 2015</w:t>
            </w: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Investments at</w:t>
            </w:r>
          </w:p>
        </w:tc>
        <w:tc>
          <w:tcPr>
            <w:tcW w:w="10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9"/>
              </w:rPr>
              <w:t>Investments at</w:t>
            </w:r>
          </w:p>
        </w:tc>
        <w:tc>
          <w:tcPr>
            <w:tcW w:w="100" w:type="dxa"/>
            <w:vAlign w:val="bottom"/>
          </w:tcPr>
          <w:p>
            <w:pPr>
              <w:spacing w:after="0"/>
              <w:rPr>
                <w:sz w:val="10"/>
                <w:szCs w:val="10"/>
                <w:color w:val="auto"/>
              </w:rPr>
            </w:pPr>
          </w:p>
        </w:tc>
        <w:tc>
          <w:tcPr>
            <w:tcW w:w="10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Rating</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183,826</w:t>
            </w:r>
          </w:p>
        </w:tc>
        <w:tc>
          <w:tcPr>
            <w:tcW w:w="10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191,894</w:t>
            </w:r>
          </w:p>
        </w:tc>
        <w:tc>
          <w:tcPr>
            <w:tcW w:w="100" w:type="dxa"/>
            <w:vAlign w:val="bottom"/>
          </w:tcPr>
          <w:p>
            <w:pPr>
              <w:spacing w:after="0"/>
              <w:rPr>
                <w:sz w:val="18"/>
                <w:szCs w:val="18"/>
                <w:color w:val="auto"/>
              </w:rPr>
            </w:pPr>
          </w:p>
        </w:tc>
        <w:tc>
          <w:tcPr>
            <w:tcW w:w="10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215,058</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335,388</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125,381</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37,164</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17,374</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28,010</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541,639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592,456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302" w:lineRule="auto"/>
        <w:rPr>
          <w:sz w:val="20"/>
          <w:szCs w:val="20"/>
          <w:color w:val="auto"/>
        </w:rPr>
      </w:pPr>
      <w:r>
        <w:rPr>
          <w:rFonts w:ascii="Arial" w:cs="Arial" w:eastAsia="Arial" w:hAnsi="Arial"/>
          <w:sz w:val="16"/>
          <w:szCs w:val="16"/>
          <w:color w:val="auto"/>
        </w:rPr>
        <w:t>As of December 31, 2016, we had debt investments in three portfolio companies on non-accrual status with an amortized cost of $29.5 million and a fair value of $17.4 million, which represented 5.7% and 3.2% of the investment portfolio, respectively. As of December 31, 2015, we had debt investments in five portfolio companies on non-accrual status with an amortized cost of $47.1 million and a fair value of $28.0 million, which represented 8.3% and 4.7% of the investment portfolio, respectively.</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Capitala Senior Liquid Loan Fund I, LLC</w:t>
      </w:r>
    </w:p>
    <w:p>
      <w:pPr>
        <w:spacing w:after="0" w:line="117" w:lineRule="exact"/>
        <w:rPr>
          <w:sz w:val="20"/>
          <w:szCs w:val="20"/>
          <w:color w:val="auto"/>
        </w:rPr>
      </w:pPr>
    </w:p>
    <w:p>
      <w:pPr>
        <w:ind w:left="60" w:right="619" w:firstLine="270"/>
        <w:spacing w:after="0" w:line="259" w:lineRule="auto"/>
        <w:rPr>
          <w:sz w:val="20"/>
          <w:szCs w:val="20"/>
          <w:color w:val="auto"/>
        </w:rPr>
      </w:pPr>
      <w:r>
        <w:rPr>
          <w:rFonts w:ascii="Arial" w:cs="Arial" w:eastAsia="Arial" w:hAnsi="Arial"/>
          <w:sz w:val="18"/>
          <w:szCs w:val="18"/>
          <w:color w:val="auto"/>
        </w:rPr>
        <w:t>On March 24, 2015, the Company and Trinity Universal Insurance Company (“Trinity”), a subsidiary of Kemper Corporation (“Kemper”), entered into a limited liability company agreement to co-manage CSLLF. The purpose and design of the joint venture was to invest primarily in broadly syndicated senior secured loans to middle-market companies, which were purchased on the secondary market. Capitala and Trinity committed</w:t>
      </w:r>
    </w:p>
    <w:p>
      <w:pPr>
        <w:spacing w:after="0" w:line="200" w:lineRule="exact"/>
        <w:rPr>
          <w:sz w:val="20"/>
          <w:szCs w:val="20"/>
          <w:color w:val="auto"/>
        </w:rPr>
      </w:pPr>
    </w:p>
    <w:p>
      <w:pPr>
        <w:spacing w:after="0" w:line="33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97" w:lineRule="auto"/>
        <w:rPr>
          <w:sz w:val="20"/>
          <w:szCs w:val="20"/>
          <w:color w:val="auto"/>
        </w:rPr>
      </w:pPr>
      <w:r>
        <w:rPr>
          <w:rFonts w:ascii="Arial" w:cs="Arial" w:eastAsia="Arial" w:hAnsi="Arial"/>
          <w:sz w:val="16"/>
          <w:szCs w:val="16"/>
          <w:color w:val="auto"/>
        </w:rPr>
        <w:t>to provide $25.0 million of equity to CSLLF, with Capitala providing $20.0 million and Trinity providing $5.0 million, resulting in an 80%/20% economic ownership between the two parties. The board of directors and investment committee of CSLLF were split 50/50 between Trinity and Capitala, resulting in equal voting power between the two entities. In September 2016, the Company and Trinity elected to wind-down operations of CSLLF. During the fourth quarter of 2016, CSLLF sold all referenced assets underlying the total return swap (“TRS”) and declared final distributions, inclusive of dividends and return of capital, in December 2016.</w:t>
      </w:r>
    </w:p>
    <w:p>
      <w:pPr>
        <w:spacing w:after="0" w:line="50"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For the years ended December 31, 2016 and December 31, 2015, we received $1.8 million and $0.9 million, respectively, in dividend income from our equity interest in CSLLF. For the year ended December 31, 2016, CSLLF declared a return of capital distribution to the Company in the amount of $20.0 million, which included $19.9 million in cash received in December 2016 and $0.1 million to be paid in the first quarter of 2017.</w:t>
      </w:r>
    </w:p>
    <w:p>
      <w:pPr>
        <w:spacing w:after="0" w:line="79" w:lineRule="exact"/>
        <w:rPr>
          <w:sz w:val="20"/>
          <w:szCs w:val="20"/>
          <w:color w:val="auto"/>
        </w:rPr>
      </w:pPr>
    </w:p>
    <w:p>
      <w:pPr>
        <w:ind w:left="40" w:right="579" w:firstLine="270"/>
        <w:spacing w:after="0" w:line="302" w:lineRule="auto"/>
        <w:rPr>
          <w:sz w:val="20"/>
          <w:szCs w:val="20"/>
          <w:color w:val="auto"/>
        </w:rPr>
      </w:pPr>
      <w:r>
        <w:rPr>
          <w:rFonts w:ascii="Arial" w:cs="Arial" w:eastAsia="Arial" w:hAnsi="Arial"/>
          <w:sz w:val="16"/>
          <w:szCs w:val="16"/>
          <w:color w:val="auto"/>
        </w:rPr>
        <w:t>On March 27, 2015, CSLLF entered into a TRS with Bank of America, N.A. (“Bank of America”) that was indexed to a basket of senior secured loans purchased by CSLLF. CSLLF obtained the economic benefit of the loans underlying the TRS, including the net interest spread between the interest income generated by the underlying loans and the interest expense type payment under the TRS, the realized gain (loss) on liquidated loans, and the unrealized appreciation (depreciation) on the underlying loans.</w:t>
      </w:r>
    </w:p>
    <w:p>
      <w:pPr>
        <w:spacing w:after="0" w:line="46"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The terms of the TRS were governed by an ISDA 2002 Master Agreement, the Schedule thereto, and Credit Support Annex to such Schedule, and the confirmation exchanged thereunder, between CSLLF and Bank of America, which collectively established the TRS, and are collectively referred to herein as the “TRS Agreement.” Pursuant to the terms of the TRS Agreement, CSLLF selected a portfolio of loans with a maximum market value (determined at the time each such loan becomes subject to the TRS) of $100.0 million, which was also referred to as the maximum notional amount of the TRS. Each individual loan, and the portfolio of loans taken as a whole, had to meet criteria described in the TRS Agreement. CSLLF received from Bank of America, a periodic payment on set dates that was based upon any coupons, both earned and accrued, generated by the loans underlying the TRS, subject to limitations described in the TRS Agreement as well as any fees associated with the loans included in the portfolio. CSLLF paid to Bank of America interest at a rate equal to the London Interbank Offered Rate (“LIBOR”) plus 1.25% per annum; the LIBOR option paid by CSLLF was determined on an asset by asset basis such that the tenor of the LIBOR option (1 month, 3 month, etc.) matched the tenor of the underlying reference asset. In addition, upon the termination of any loan subject to the TRS or any repayment of the underlying reference asset, CSLLF either received from Bank of America the appreciation in the value of such loan, or paid to Bank of America any depreciation in the value of such loan.</w:t>
      </w:r>
    </w:p>
    <w:p>
      <w:pPr>
        <w:spacing w:after="0" w:line="67" w:lineRule="exact"/>
        <w:rPr>
          <w:sz w:val="20"/>
          <w:szCs w:val="20"/>
          <w:color w:val="auto"/>
        </w:rPr>
      </w:pPr>
    </w:p>
    <w:p>
      <w:pPr>
        <w:ind w:left="40" w:right="799" w:firstLine="270"/>
        <w:spacing w:after="0" w:line="259" w:lineRule="auto"/>
        <w:rPr>
          <w:sz w:val="20"/>
          <w:szCs w:val="20"/>
          <w:color w:val="auto"/>
        </w:rPr>
      </w:pPr>
      <w:r>
        <w:rPr>
          <w:rFonts w:ascii="Arial" w:cs="Arial" w:eastAsia="Arial" w:hAnsi="Arial"/>
          <w:sz w:val="18"/>
          <w:szCs w:val="18"/>
          <w:color w:val="auto"/>
        </w:rPr>
        <w:t>CSLLF was required to pay an unused facility fee of 1.25% on any amount of unused facility under the minimum facility amount of $70.0 million as outlined in the TRS Agreement. Such unused facility fees were not applied during the first 4 months and last 60 days of the term of the TRS. CSLLF also agreed to pay Bank of America customary fees and expenses in connection with the establishment and maintenance of the TRS.</w:t>
      </w:r>
    </w:p>
    <w:p>
      <w:pPr>
        <w:spacing w:after="0" w:line="79"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CSLLF was required to initially cash collateralize a specified percentage of each loan (generally 20% to 35% of the market value of senior secured loans) included under the TRS in accordance with margin requirements described in the TRS Agreement. As of December 31, 2016 and December 31, 2015, CSLLF has posted $0.0 million and $19.1 million, respectively, in collateral to Bank of America in relation to the TRS which is recorded on CSLLF’s statements of assets and liabilities as cash held as collateral on total return swap. CSLLF may be required to post additional collateral as a result of a decline in the mark-to-market value of the portfolio of loans subject to the TRS. The cash collateral represents CSLLF’s maximum credit exposure as of December 31, 2016 and December 31, 2015.</w:t>
      </w:r>
    </w:p>
    <w:p>
      <w:pPr>
        <w:spacing w:after="0" w:line="81"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color w:val="auto"/>
        </w:rPr>
        <w:t>In connection with the TRS, CSLLF has made customary representations and warranties and is required to comply with various covenants, reporting requirements and other customary requirements for similar transactions governed by an ISDA 2002 Master Agreement. As of December 31, 2016, CSLLF was in compliance with regards to any covenants or requirements of the TRS.</w:t>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3" w:name="page84"/>
    <w:bookmarkEnd w:id="8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799" w:firstLine="270"/>
        <w:spacing w:after="0" w:line="257" w:lineRule="auto"/>
        <w:rPr>
          <w:sz w:val="20"/>
          <w:szCs w:val="20"/>
          <w:color w:val="auto"/>
        </w:rPr>
      </w:pPr>
      <w:r>
        <w:rPr>
          <w:rFonts w:ascii="Arial" w:cs="Arial" w:eastAsia="Arial" w:hAnsi="Arial"/>
          <w:sz w:val="18"/>
          <w:szCs w:val="18"/>
          <w:color w:val="auto"/>
        </w:rPr>
        <w:t>CSLLF’s receivable due on the TRS represents realized amounts from payments on underlying loans in the total return swap portfolio. At December 31, 2016 and December 31, 2015, the receivable due on TRS was $0.1 million and $0.5 million, respectively, and is recorded on CSLLF’s statements of assets and liabilities below. CSLLF does not offset collateral posted in relation to the TRS with any unrealized appreciation or depreciation outstanding in the statements of assets and liabilities as of December 31, 2016 and December 31, 2015.</w:t>
      </w:r>
    </w:p>
    <w:p>
      <w:pPr>
        <w:spacing w:after="0" w:line="80" w:lineRule="exact"/>
        <w:rPr>
          <w:sz w:val="20"/>
          <w:szCs w:val="20"/>
          <w:color w:val="auto"/>
        </w:rPr>
      </w:pPr>
    </w:p>
    <w:p>
      <w:pPr>
        <w:ind w:left="60" w:right="739" w:firstLine="270"/>
        <w:spacing w:after="0" w:line="259" w:lineRule="auto"/>
        <w:rPr>
          <w:sz w:val="20"/>
          <w:szCs w:val="20"/>
          <w:color w:val="auto"/>
        </w:rPr>
      </w:pPr>
      <w:r>
        <w:rPr>
          <w:rFonts w:ascii="Arial" w:cs="Arial" w:eastAsia="Arial" w:hAnsi="Arial"/>
          <w:sz w:val="18"/>
          <w:szCs w:val="18"/>
          <w:color w:val="auto"/>
        </w:rPr>
        <w:t>Transactions in TRS contracts during the year ended December 31, 2016 resulted in $2.3 million in realized gains and $2.8 million in unrealized appreciation, which is recorded on CSLLF’s statements of operations below. Transactions in TRS contracts during the year ended December 31, 2015 resulted in $1.4 million in realized gains and $(2.8) million in unrealized depreciation, which is recorded on CSLLF’s statements of operations below.</w:t>
      </w:r>
    </w:p>
    <w:p>
      <w:pPr>
        <w:spacing w:after="0" w:line="79" w:lineRule="exact"/>
        <w:rPr>
          <w:sz w:val="20"/>
          <w:szCs w:val="20"/>
          <w:color w:val="auto"/>
        </w:rPr>
      </w:pPr>
    </w:p>
    <w:p>
      <w:pPr>
        <w:ind w:left="60" w:right="679" w:firstLine="270"/>
        <w:spacing w:after="0" w:line="279" w:lineRule="auto"/>
        <w:rPr>
          <w:sz w:val="20"/>
          <w:szCs w:val="20"/>
          <w:color w:val="auto"/>
        </w:rPr>
      </w:pPr>
      <w:r>
        <w:rPr>
          <w:rFonts w:ascii="Arial" w:cs="Arial" w:eastAsia="Arial" w:hAnsi="Arial"/>
          <w:sz w:val="17"/>
          <w:szCs w:val="17"/>
          <w:color w:val="auto"/>
        </w:rPr>
        <w:t>CSLLF only held one derivative position as of December 31, 2015. The derivative held was subject to a netting arrangement. There were no derivative positions held as of December 31, 2016. The following table represents CSLLF’s gross and net amounts after offset under Master Agreements of the derivative assets and liabilities presented by the derivative type, net of the related collateral pledged by the CSLLF as of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47510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5"/>
              <w:spacing w:after="0"/>
              <w:rPr>
                <w:sz w:val="20"/>
                <w:szCs w:val="20"/>
                <w:color w:val="auto"/>
              </w:rPr>
            </w:pPr>
            <w:r>
              <w:rPr>
                <w:rFonts w:ascii="Arial" w:cs="Arial" w:eastAsia="Arial" w:hAnsi="Arial"/>
                <w:sz w:val="14"/>
                <w:szCs w:val="14"/>
                <w:b w:val="1"/>
                <w:bCs w:val="1"/>
                <w:color w:val="auto"/>
                <w:w w:val="95"/>
              </w:rPr>
              <w:t>Net 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4"/>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88"/>
              </w:rPr>
              <w:t>Presented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Gross Derivative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89"/>
              </w:rPr>
              <w:t>in the Selected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87"/>
              </w:rPr>
              <w:t>Cash</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Assets/(Liabilities)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87"/>
              </w:rPr>
              <w:t>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Subject to MA</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Offset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4"/>
              </w:rPr>
              <w:t>and Liabilities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7"/>
              </w:rPr>
              <w:t>Received</w:t>
            </w:r>
          </w:p>
        </w:tc>
        <w:tc>
          <w:tcPr>
            <w:tcW w:w="140" w:type="dxa"/>
            <w:vAlign w:val="bottom"/>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Assets/(Liabilities)</w:t>
            </w:r>
          </w:p>
        </w:tc>
        <w:tc>
          <w:tcPr>
            <w:tcW w:w="0" w:type="dxa"/>
            <w:vAlign w:val="bottom"/>
          </w:tcPr>
          <w:p>
            <w:pPr>
              <w:spacing w:after="0"/>
              <w:rPr>
                <w:sz w:val="1"/>
                <w:szCs w:val="1"/>
                <w:color w:val="auto"/>
              </w:rPr>
            </w:pPr>
          </w:p>
        </w:tc>
      </w:tr>
      <w:tr>
        <w:trPr>
          <w:trHeight w:val="169"/>
        </w:trPr>
        <w:tc>
          <w:tcPr>
            <w:tcW w:w="1640" w:type="dxa"/>
            <w:vAlign w:val="bottom"/>
            <w:gridSpan w:val="3"/>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w w:val="98"/>
              </w:rPr>
              <w:t>December 31, 2015</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640" w:type="dxa"/>
            <w:vAlign w:val="bottom"/>
            <w:gridSpan w:val="3"/>
          </w:tcPr>
          <w:p>
            <w:pPr>
              <w:ind w:left="20"/>
              <w:spacing w:after="0"/>
              <w:rPr>
                <w:sz w:val="20"/>
                <w:szCs w:val="20"/>
                <w:color w:val="auto"/>
              </w:rPr>
            </w:pPr>
            <w:r>
              <w:rPr>
                <w:rFonts w:ascii="Arial" w:cs="Arial" w:eastAsia="Arial" w:hAnsi="Arial"/>
                <w:sz w:val="18"/>
                <w:szCs w:val="18"/>
                <w:color w:val="auto"/>
                <w:w w:val="92"/>
              </w:rPr>
              <w:t>Total Return Swap</w:t>
            </w:r>
            <w:r>
              <w:rPr>
                <w:rFonts w:ascii="Arial" w:cs="Arial" w:eastAsia="Arial" w:hAnsi="Arial"/>
                <w:sz w:val="30"/>
                <w:szCs w:val="30"/>
                <w:color w:val="auto"/>
                <w:w w:val="92"/>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9"/>
              <w:spacing w:after="0"/>
              <w:rPr>
                <w:sz w:val="20"/>
                <w:szCs w:val="20"/>
                <w:color w:val="auto"/>
              </w:rPr>
            </w:pPr>
            <w:r>
              <w:rPr>
                <w:rFonts w:ascii="Arial" w:cs="Arial" w:eastAsia="Arial" w:hAnsi="Arial"/>
                <w:sz w:val="18"/>
                <w:szCs w:val="18"/>
                <w:color w:val="auto"/>
              </w:rPr>
              <w:t>(2,828)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4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65"/>
              <w:spacing w:after="0"/>
              <w:rPr>
                <w:sz w:val="20"/>
                <w:szCs w:val="20"/>
                <w:color w:val="auto"/>
              </w:rPr>
            </w:pPr>
            <w:r>
              <w:rPr>
                <w:rFonts w:ascii="Arial" w:cs="Arial" w:eastAsia="Arial" w:hAnsi="Arial"/>
                <w:sz w:val="18"/>
                <w:szCs w:val="18"/>
                <w:color w:val="auto"/>
              </w:rPr>
              <w:t>(2,828)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ind w:left="4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64"/>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86995</wp:posOffset>
            </wp:positionV>
            <wp:extent cx="6172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86" w:lineRule="exact"/>
        <w:rPr>
          <w:sz w:val="20"/>
          <w:szCs w:val="20"/>
          <w:color w:val="auto"/>
        </w:rPr>
      </w:pPr>
    </w:p>
    <w:p>
      <w:pPr>
        <w:ind w:left="300" w:right="679" w:hanging="272"/>
        <w:spacing w:after="0" w:line="277"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Cash was posted for initial margin requirements for the total return swap as of December 31, 2015 and is reported on CSLLF’s statements of assets and liabilities as cash collateral on total return swap.</w:t>
      </w:r>
    </w:p>
    <w:p>
      <w:pPr>
        <w:spacing w:after="0" w:line="62" w:lineRule="exact"/>
        <w:rPr>
          <w:sz w:val="20"/>
          <w:szCs w:val="20"/>
          <w:color w:val="auto"/>
        </w:rPr>
      </w:pPr>
    </w:p>
    <w:p>
      <w:pPr>
        <w:ind w:left="60" w:right="839" w:firstLine="270"/>
        <w:spacing w:after="0" w:line="277" w:lineRule="auto"/>
        <w:rPr>
          <w:sz w:val="20"/>
          <w:szCs w:val="20"/>
          <w:color w:val="auto"/>
        </w:rPr>
      </w:pPr>
      <w:r>
        <w:rPr>
          <w:rFonts w:ascii="Arial" w:cs="Arial" w:eastAsia="Arial" w:hAnsi="Arial"/>
          <w:sz w:val="18"/>
          <w:szCs w:val="18"/>
          <w:color w:val="auto"/>
        </w:rPr>
        <w:t>The following represents the volume of the CSLLF’s derivative transactions during the years ended December 31, 2016 and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24"/>
              <w:spacing w:after="0"/>
              <w:rPr>
                <w:sz w:val="20"/>
                <w:szCs w:val="20"/>
                <w:color w:val="auto"/>
              </w:rPr>
            </w:pPr>
            <w:r>
              <w:rPr>
                <w:rFonts w:ascii="Arial" w:cs="Arial" w:eastAsia="Arial" w:hAnsi="Arial"/>
                <w:sz w:val="14"/>
                <w:szCs w:val="14"/>
                <w:b w:val="1"/>
                <w:bCs w:val="1"/>
                <w:color w:val="auto"/>
                <w:w w:val="96"/>
              </w:rPr>
              <w:t>For the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26"/>
              <w:spacing w:after="0"/>
              <w:rPr>
                <w:sz w:val="20"/>
                <w:szCs w:val="20"/>
                <w:color w:val="auto"/>
              </w:rPr>
            </w:pPr>
            <w:r>
              <w:rPr>
                <w:rFonts w:ascii="Arial" w:cs="Arial" w:eastAsia="Arial" w:hAnsi="Arial"/>
                <w:sz w:val="14"/>
                <w:szCs w:val="14"/>
                <w:b w:val="1"/>
                <w:bCs w:val="1"/>
                <w:color w:val="auto"/>
                <w:w w:val="96"/>
              </w:rPr>
              <w:t>For the</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9"/>
              </w:rPr>
              <w:t>year 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6"/>
              <w:spacing w:after="0" w:line="176" w:lineRule="exact"/>
              <w:rPr>
                <w:sz w:val="20"/>
                <w:szCs w:val="20"/>
                <w:color w:val="auto"/>
              </w:rPr>
            </w:pPr>
            <w:r>
              <w:rPr>
                <w:rFonts w:ascii="Arial" w:cs="Arial" w:eastAsia="Arial" w:hAnsi="Arial"/>
                <w:sz w:val="13"/>
                <w:szCs w:val="13"/>
                <w:b w:val="1"/>
                <w:bCs w:val="1"/>
                <w:color w:val="auto"/>
                <w:w w:val="92"/>
              </w:rPr>
              <w:t>2015</w:t>
            </w:r>
            <w:r>
              <w:rPr>
                <w:rFonts w:ascii="Arial" w:cs="Arial" w:eastAsia="Arial" w:hAnsi="Arial"/>
                <w:sz w:val="20"/>
                <w:szCs w:val="20"/>
                <w:b w:val="1"/>
                <w:bCs w:val="1"/>
                <w:color w:val="auto"/>
                <w:w w:val="92"/>
                <w:vertAlign w:val="superscript"/>
              </w:rPr>
              <w:t>(1)</w:t>
            </w:r>
          </w:p>
        </w:tc>
      </w:tr>
      <w:tr>
        <w:trPr>
          <w:trHeight w:val="210"/>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Average notional par amount of contract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56,681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61,306</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Average calculated from period of TRS inception, March 27, 2015 to December 31, 2015.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Below is a summary of CSLLF’s portfolio of TRS reference assets as of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47510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630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Senior secured loans</w:t>
            </w:r>
            <w:r>
              <w:rPr>
                <w:rFonts w:ascii="Arial" w:cs="Arial" w:eastAsia="Arial" w:hAnsi="Arial"/>
                <w:sz w:val="28"/>
                <w:szCs w:val="28"/>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81,201</w:t>
            </w:r>
          </w:p>
        </w:tc>
      </w:tr>
      <w:tr>
        <w:trPr>
          <w:trHeight w:val="216"/>
        </w:trPr>
        <w:tc>
          <w:tcPr>
            <w:tcW w:w="6300" w:type="dxa"/>
            <w:vAlign w:val="bottom"/>
            <w:gridSpan w:val="3"/>
          </w:tcPr>
          <w:p>
            <w:pPr>
              <w:ind w:left="20"/>
              <w:spacing w:after="0"/>
              <w:rPr>
                <w:sz w:val="20"/>
                <w:szCs w:val="20"/>
                <w:color w:val="auto"/>
              </w:rPr>
            </w:pPr>
            <w:r>
              <w:rPr>
                <w:rFonts w:ascii="Arial" w:cs="Arial" w:eastAsia="Arial" w:hAnsi="Arial"/>
                <w:sz w:val="18"/>
                <w:szCs w:val="18"/>
                <w:color w:val="auto"/>
              </w:rPr>
              <w:t>Weighted average current interest rate on senior secured loans</w:t>
            </w:r>
          </w:p>
        </w:tc>
        <w:tc>
          <w:tcPr>
            <w:tcW w:w="140" w:type="dxa"/>
            <w:vAlign w:val="bottom"/>
          </w:tcPr>
          <w:p>
            <w:pPr>
              <w:spacing w:after="0"/>
              <w:rPr>
                <w:sz w:val="18"/>
                <w:szCs w:val="18"/>
                <w:color w:val="auto"/>
              </w:rPr>
            </w:pPr>
          </w:p>
        </w:tc>
        <w:tc>
          <w:tcPr>
            <w:tcW w:w="1060" w:type="dxa"/>
            <w:vAlign w:val="bottom"/>
          </w:tcPr>
          <w:p>
            <w:pPr>
              <w:jc w:val="right"/>
              <w:ind w:right="117"/>
              <w:spacing w:after="0"/>
              <w:rPr>
                <w:sz w:val="20"/>
                <w:szCs w:val="20"/>
                <w:color w:val="auto"/>
              </w:rPr>
            </w:pPr>
            <w:r>
              <w:rPr>
                <w:rFonts w:ascii="Arial" w:cs="Arial" w:eastAsia="Arial" w:hAnsi="Arial"/>
                <w:sz w:val="18"/>
                <w:szCs w:val="18"/>
                <w:color w:val="auto"/>
              </w:rPr>
              <w:t>5.2%</w:t>
            </w:r>
          </w:p>
        </w:tc>
      </w:tr>
      <w:tr>
        <w:trPr>
          <w:trHeight w:val="216"/>
        </w:trPr>
        <w:tc>
          <w:tcPr>
            <w:tcW w:w="6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Number of borrowers in CSLLF</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45</w:t>
            </w:r>
          </w:p>
        </w:tc>
      </w:tr>
      <w:tr>
        <w:trPr>
          <w:trHeight w:val="257"/>
        </w:trPr>
        <w:tc>
          <w:tcPr>
            <w:tcW w:w="630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Largest portfolio company investment</w:t>
            </w:r>
            <w:r>
              <w:rPr>
                <w:rFonts w:ascii="Arial" w:cs="Arial" w:eastAsia="Arial" w:hAnsi="Arial"/>
                <w:sz w:val="29"/>
                <w:szCs w:val="29"/>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7"/>
              <w:spacing w:after="0"/>
              <w:rPr>
                <w:sz w:val="20"/>
                <w:szCs w:val="20"/>
                <w:color w:val="auto"/>
              </w:rPr>
            </w:pPr>
            <w:r>
              <w:rPr>
                <w:rFonts w:ascii="Arial" w:cs="Arial" w:eastAsia="Arial" w:hAnsi="Arial"/>
                <w:sz w:val="18"/>
                <w:szCs w:val="18"/>
                <w:color w:val="auto"/>
              </w:rPr>
              <w:t>2,985</w:t>
            </w:r>
          </w:p>
        </w:tc>
      </w:tr>
      <w:tr>
        <w:trPr>
          <w:trHeight w:val="257"/>
        </w:trPr>
        <w:tc>
          <w:tcPr>
            <w:tcW w:w="630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Total of five largest portfolio company investments</w:t>
            </w:r>
            <w:r>
              <w:rPr>
                <w:rFonts w:ascii="Arial" w:cs="Arial" w:eastAsia="Arial" w:hAnsi="Arial"/>
                <w:sz w:val="29"/>
                <w:szCs w:val="29"/>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13,424</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Based on principal amount outstanding at period end.</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is a summary of the TRS reference assets as of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61487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4870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132080</wp:posOffset>
            </wp:positionV>
            <wp:extent cx="61487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ectPr>
          <w:pgSz w:w="11900" w:h="16838" w:orient="portrait"/>
          <w:cols w:equalWidth="0" w:num="1">
            <w:col w:w="10079"/>
          </w:cols>
          <w:pgMar w:left="380" w:top="792" w:right="1440" w:bottom="0" w:gutter="0" w:footer="0" w:header="0"/>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w:t>
      </w:r>
      <w:r>
        <w:rPr>
          <w:rFonts w:ascii="Arial" w:cs="Arial" w:eastAsia="Arial" w:hAnsi="Arial"/>
          <w:sz w:val="20"/>
          <w:szCs w:val="20"/>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13036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21st Century Oncology, Inc.</w:t>
      </w:r>
    </w:p>
    <w:p>
      <w:pPr>
        <w:spacing w:after="0" w:line="269" w:lineRule="exact"/>
        <w:rPr>
          <w:sz w:val="20"/>
          <w:szCs w:val="20"/>
          <w:color w:val="auto"/>
        </w:rPr>
      </w:pPr>
    </w:p>
    <w:p>
      <w:pPr>
        <w:ind w:left="180" w:right="260" w:hanging="179"/>
        <w:spacing w:after="0" w:line="186" w:lineRule="auto"/>
        <w:rPr>
          <w:sz w:val="20"/>
          <w:szCs w:val="20"/>
          <w:color w:val="auto"/>
        </w:rPr>
      </w:pPr>
      <w:r>
        <w:rPr>
          <w:rFonts w:ascii="Arial" w:cs="Arial" w:eastAsia="Arial" w:hAnsi="Arial"/>
          <w:sz w:val="14"/>
          <w:szCs w:val="14"/>
          <w:color w:val="auto"/>
        </w:rPr>
        <w:t xml:space="preserve">ABG Intermediate Holdings 2, </w:t>
      </w:r>
      <w:r>
        <w:rPr>
          <w:rFonts w:ascii="Arial" w:cs="Arial" w:eastAsia="Arial" w:hAnsi="Arial"/>
          <w:sz w:val="28"/>
          <w:szCs w:val="28"/>
          <w:color w:val="auto"/>
          <w:vertAlign w:val="subscript"/>
        </w:rPr>
        <w:t>LLC</w:t>
      </w:r>
      <w:r>
        <w:rPr>
          <w:rFonts w:ascii="Arial" w:cs="Arial" w:eastAsia="Arial" w:hAnsi="Arial"/>
          <w:sz w:val="11"/>
          <w:szCs w:val="11"/>
          <w:color w:val="auto"/>
        </w:rPr>
        <w:t>(5)</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American Rock Salt Company,</w:t>
      </w:r>
    </w:p>
    <w:p>
      <w:pPr>
        <w:ind w:left="180"/>
        <w:spacing w:after="0"/>
        <w:rPr>
          <w:sz w:val="20"/>
          <w:szCs w:val="20"/>
          <w:color w:val="auto"/>
        </w:rPr>
      </w:pPr>
      <w:r>
        <w:rPr>
          <w:rFonts w:ascii="Arial" w:cs="Arial" w:eastAsia="Arial" w:hAnsi="Arial"/>
          <w:sz w:val="14"/>
          <w:szCs w:val="14"/>
          <w:color w:val="auto"/>
        </w:rPr>
        <w:t>LLC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Anchor Glass Container Corp</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Ardent Legacy Acquisitions,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Aspen Dental Management,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Asurion, LLC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Bass Pro Group, LLC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Belk,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Bioplan USA,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Blue Coat Systems,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Brock Holdings III, Inc.</w:t>
      </w:r>
    </w:p>
    <w:p>
      <w:pPr>
        <w:spacing w:after="0" w:line="285" w:lineRule="exact"/>
        <w:rPr>
          <w:sz w:val="20"/>
          <w:szCs w:val="20"/>
          <w:color w:val="auto"/>
        </w:rPr>
      </w:pPr>
    </w:p>
    <w:p>
      <w:pPr>
        <w:ind w:left="180" w:right="100" w:hanging="179"/>
        <w:spacing w:after="0" w:line="253" w:lineRule="auto"/>
        <w:rPr>
          <w:sz w:val="20"/>
          <w:szCs w:val="20"/>
          <w:color w:val="auto"/>
        </w:rPr>
      </w:pPr>
      <w:r>
        <w:rPr>
          <w:rFonts w:ascii="Arial" w:cs="Arial" w:eastAsia="Arial" w:hAnsi="Arial"/>
          <w:sz w:val="14"/>
          <w:szCs w:val="14"/>
          <w:color w:val="auto"/>
        </w:rPr>
        <w:t>CDS U.S. Intermediate Holdings, Inc.</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Chelsea Petroleum Products I LLC</w:t>
      </w:r>
    </w:p>
    <w:p>
      <w:pPr>
        <w:spacing w:after="0" w:line="296" w:lineRule="exact"/>
        <w:rPr>
          <w:sz w:val="20"/>
          <w:szCs w:val="20"/>
          <w:color w:val="auto"/>
        </w:rPr>
      </w:pPr>
    </w:p>
    <w:p>
      <w:pPr>
        <w:ind w:left="180" w:right="20" w:hanging="179"/>
        <w:spacing w:after="0" w:line="253" w:lineRule="auto"/>
        <w:rPr>
          <w:sz w:val="20"/>
          <w:szCs w:val="20"/>
          <w:color w:val="auto"/>
        </w:rPr>
      </w:pPr>
      <w:r>
        <w:rPr>
          <w:rFonts w:ascii="Arial" w:cs="Arial" w:eastAsia="Arial" w:hAnsi="Arial"/>
          <w:sz w:val="14"/>
          <w:szCs w:val="14"/>
          <w:color w:val="auto"/>
        </w:rPr>
        <w:t>Communications Sales &amp; Leasing, Inc.</w:t>
      </w:r>
    </w:p>
    <w:p>
      <w:pPr>
        <w:spacing w:after="0" w:line="106" w:lineRule="exact"/>
        <w:rPr>
          <w:sz w:val="20"/>
          <w:szCs w:val="20"/>
          <w:color w:val="auto"/>
        </w:rPr>
      </w:pPr>
    </w:p>
    <w:p>
      <w:pPr>
        <w:jc w:val="both"/>
        <w:ind w:right="400"/>
        <w:spacing w:after="0" w:line="715" w:lineRule="auto"/>
        <w:rPr>
          <w:sz w:val="20"/>
          <w:szCs w:val="20"/>
          <w:color w:val="auto"/>
        </w:rPr>
      </w:pPr>
      <w:r>
        <w:rPr>
          <w:rFonts w:ascii="Arial" w:cs="Arial" w:eastAsia="Arial" w:hAnsi="Arial"/>
          <w:sz w:val="13"/>
          <w:szCs w:val="13"/>
          <w:color w:val="auto"/>
        </w:rPr>
        <w:t>Concordia Healthcare Corp Convatec Healthcare E S.A.</w:t>
      </w:r>
    </w:p>
    <w:p>
      <w:pPr>
        <w:spacing w:after="0" w:line="1" w:lineRule="exact"/>
        <w:rPr>
          <w:sz w:val="20"/>
          <w:szCs w:val="20"/>
          <w:color w:val="auto"/>
        </w:rPr>
      </w:pPr>
    </w:p>
    <w:p>
      <w:pPr>
        <w:ind w:left="180" w:right="520" w:hanging="179"/>
        <w:spacing w:after="0" w:line="291" w:lineRule="auto"/>
        <w:rPr>
          <w:sz w:val="20"/>
          <w:szCs w:val="20"/>
          <w:color w:val="auto"/>
        </w:rPr>
      </w:pPr>
      <w:r>
        <w:rPr>
          <w:rFonts w:ascii="Arial" w:cs="Arial" w:eastAsia="Arial" w:hAnsi="Arial"/>
          <w:sz w:val="13"/>
          <w:szCs w:val="13"/>
          <w:color w:val="auto"/>
        </w:rPr>
        <w:t>Emerging Markets Communications, LLC</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Eresearch Technology,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Genoa Healthcare Group, LLC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Hostess Brands,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IMG Worldwide,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Infiltrator Systems,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Informatica Corporation</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Integra Telecom,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JILL Holdings, LLC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LPL Holdings,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LS Deco, LLC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LTF Merger Sub,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Mitel Networks Corp</w:t>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Mohegan Tribal Gaming Authority</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vMerge w:val="restart"/>
          </w:tcPr>
          <w:p>
            <w:pPr>
              <w:jc w:val="right"/>
              <w:ind w:right="105"/>
              <w:spacing w:after="0"/>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8"/>
              </w:rPr>
              <w:t>Unrealized</w:t>
            </w:r>
          </w:p>
        </w:tc>
        <w:tc>
          <w:tcPr>
            <w:tcW w:w="0" w:type="dxa"/>
            <w:vAlign w:val="bottom"/>
          </w:tcPr>
          <w:p>
            <w:pPr>
              <w:spacing w:after="0"/>
              <w:rPr>
                <w:sz w:val="1"/>
                <w:szCs w:val="1"/>
                <w:color w:val="auto"/>
              </w:rPr>
            </w:pPr>
          </w:p>
        </w:tc>
      </w:tr>
      <w:tr>
        <w:trPr>
          <w:trHeight w:val="102"/>
        </w:trPr>
        <w:tc>
          <w:tcPr>
            <w:tcW w:w="2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Appreciation/</w:t>
            </w:r>
          </w:p>
        </w:tc>
        <w:tc>
          <w:tcPr>
            <w:tcW w:w="0" w:type="dxa"/>
            <w:vAlign w:val="bottom"/>
          </w:tcPr>
          <w:p>
            <w:pPr>
              <w:spacing w:after="0"/>
              <w:rPr>
                <w:sz w:val="1"/>
                <w:szCs w:val="1"/>
                <w:color w:val="auto"/>
              </w:rPr>
            </w:pPr>
          </w:p>
        </w:tc>
      </w:tr>
      <w:tr>
        <w:trPr>
          <w:trHeight w:val="105"/>
        </w:trPr>
        <w:tc>
          <w:tcPr>
            <w:tcW w:w="224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Business Description</w:t>
            </w:r>
          </w:p>
        </w:tc>
        <w:tc>
          <w:tcPr>
            <w:tcW w:w="40" w:type="dxa"/>
            <w:vAlign w:val="bottom"/>
          </w:tcPr>
          <w:p>
            <w:pPr>
              <w:spacing w:after="0"/>
              <w:rPr>
                <w:sz w:val="9"/>
                <w:szCs w:val="9"/>
                <w:color w:val="auto"/>
              </w:rPr>
            </w:pPr>
          </w:p>
        </w:tc>
        <w:tc>
          <w:tcPr>
            <w:tcW w:w="11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Maturity Date</w:t>
            </w:r>
          </w:p>
        </w:tc>
        <w:tc>
          <w:tcPr>
            <w:tcW w:w="40" w:type="dxa"/>
            <w:vAlign w:val="bottom"/>
          </w:tcPr>
          <w:p>
            <w:pPr>
              <w:spacing w:after="0"/>
              <w:rPr>
                <w:sz w:val="9"/>
                <w:szCs w:val="9"/>
                <w:color w:val="auto"/>
              </w:rPr>
            </w:pPr>
          </w:p>
        </w:tc>
        <w:tc>
          <w:tcPr>
            <w:tcW w:w="126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89"/>
              </w:rPr>
              <w:t>Current Interest Rate</w:t>
            </w:r>
          </w:p>
        </w:tc>
        <w:tc>
          <w:tcPr>
            <w:tcW w:w="320" w:type="dxa"/>
            <w:vAlign w:val="bottom"/>
          </w:tcPr>
          <w:p>
            <w:pPr>
              <w:jc w:val="right"/>
              <w:ind w:right="28"/>
              <w:spacing w:after="0" w:line="106" w:lineRule="exact"/>
              <w:rPr>
                <w:sz w:val="20"/>
                <w:szCs w:val="20"/>
                <w:color w:val="auto"/>
              </w:rPr>
            </w:pPr>
            <w:r>
              <w:rPr>
                <w:rFonts w:ascii="Arial" w:cs="Arial" w:eastAsia="Arial" w:hAnsi="Arial"/>
                <w:sz w:val="10"/>
                <w:szCs w:val="10"/>
                <w:b w:val="1"/>
                <w:bCs w:val="1"/>
                <w:color w:val="auto"/>
                <w:w w:val="89"/>
              </w:rPr>
              <w:t>(2)(6)</w:t>
            </w:r>
          </w:p>
        </w:tc>
        <w:tc>
          <w:tcPr>
            <w:tcW w:w="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4"/>
              </w:rPr>
              <w:t>Principal</w:t>
            </w:r>
          </w:p>
        </w:tc>
        <w:tc>
          <w:tcPr>
            <w:tcW w:w="40" w:type="dxa"/>
            <w:vAlign w:val="bottom"/>
          </w:tcPr>
          <w:p>
            <w:pPr>
              <w:spacing w:after="0"/>
              <w:rPr>
                <w:sz w:val="9"/>
                <w:szCs w:val="9"/>
                <w:color w:val="auto"/>
              </w:rPr>
            </w:pPr>
          </w:p>
        </w:tc>
        <w:tc>
          <w:tcPr>
            <w:tcW w:w="5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Cost</w:t>
            </w:r>
          </w:p>
        </w:tc>
        <w:tc>
          <w:tcPr>
            <w:tcW w:w="620" w:type="dxa"/>
            <w:vAlign w:val="bottom"/>
            <w:gridSpan w:val="2"/>
          </w:tcPr>
          <w:p>
            <w:pPr>
              <w:jc w:val="right"/>
              <w:ind w:right="25"/>
              <w:spacing w:after="0" w:line="106" w:lineRule="exact"/>
              <w:rPr>
                <w:sz w:val="20"/>
                <w:szCs w:val="20"/>
                <w:color w:val="auto"/>
              </w:rPr>
            </w:pPr>
            <w:r>
              <w:rPr>
                <w:rFonts w:ascii="Arial" w:cs="Arial" w:eastAsia="Arial" w:hAnsi="Arial"/>
                <w:sz w:val="10"/>
                <w:szCs w:val="10"/>
                <w:b w:val="1"/>
                <w:bCs w:val="1"/>
                <w:color w:val="auto"/>
              </w:rPr>
              <w:t>(1)</w:t>
            </w: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40" w:type="dxa"/>
            <w:vAlign w:val="bottom"/>
            <w:tcBorders>
              <w:bottom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bottom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bottom w:val="single" w:sz="8" w:color="auto"/>
            </w:tcBorders>
          </w:tcPr>
          <w:p>
            <w:pPr>
              <w:jc w:val="right"/>
              <w:ind w:right="145"/>
              <w:spacing w:after="0" w:line="81" w:lineRule="exact"/>
              <w:rPr>
                <w:sz w:val="20"/>
                <w:szCs w:val="20"/>
                <w:color w:val="auto"/>
              </w:rPr>
            </w:pPr>
            <w:r>
              <w:rPr>
                <w:rFonts w:ascii="Arial" w:cs="Arial" w:eastAsia="Arial" w:hAnsi="Arial"/>
                <w:sz w:val="9"/>
                <w:szCs w:val="9"/>
                <w:b w:val="1"/>
                <w:bCs w:val="1"/>
                <w:color w:val="auto"/>
              </w:rPr>
              <w:t>Value</w:t>
            </w:r>
          </w:p>
        </w:tc>
        <w:tc>
          <w:tcPr>
            <w:tcW w:w="40" w:type="dxa"/>
            <w:vAlign w:val="bottom"/>
          </w:tcPr>
          <w:p>
            <w:pPr>
              <w:spacing w:after="0"/>
              <w:rPr>
                <w:sz w:val="7"/>
                <w:szCs w:val="7"/>
                <w:color w:val="auto"/>
              </w:rPr>
            </w:pPr>
          </w:p>
        </w:tc>
        <w:tc>
          <w:tcPr>
            <w:tcW w:w="780" w:type="dxa"/>
            <w:vAlign w:val="bottom"/>
            <w:tcBorders>
              <w:bottom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(Depreciation)</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6.5% (3 Month LIBOR</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5.5%,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1,990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$ 1,970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  1,662</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    (308)</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Textiles and Leather</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2021</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1,733</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1,698</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4.75%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Mining, Steel, Iron and Non</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Precious Metals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2021</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3.75%,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1,985</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1,892</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Containers, Packaging and Glass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3.5%,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482</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479</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479</w:t>
            </w:r>
          </w:p>
        </w:tc>
        <w:tc>
          <w:tcPr>
            <w:tcW w:w="40" w:type="dxa"/>
            <w:vAlign w:val="bottom"/>
          </w:tcPr>
          <w:p>
            <w:pPr>
              <w:spacing w:after="0"/>
              <w:rPr>
                <w:sz w:val="12"/>
                <w:szCs w:val="12"/>
                <w:color w:val="auto"/>
              </w:rPr>
            </w:pPr>
          </w:p>
        </w:tc>
        <w:tc>
          <w:tcPr>
            <w:tcW w:w="780" w:type="dxa"/>
            <w:vAlign w:val="bottom"/>
          </w:tcPr>
          <w:p>
            <w:pPr>
              <w:jc w:val="right"/>
              <w:ind w:right="117"/>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August, 2021</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5.5%,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1,975</w:t>
            </w:r>
          </w:p>
        </w:tc>
        <w:tc>
          <w:tcPr>
            <w:tcW w:w="40" w:type="dxa"/>
            <w:vAlign w:val="bottom"/>
          </w:tcPr>
          <w:p>
            <w:pPr>
              <w:spacing w:after="0"/>
              <w:rPr>
                <w:sz w:val="12"/>
                <w:szCs w:val="12"/>
                <w:color w:val="auto"/>
              </w:rPr>
            </w:pPr>
          </w:p>
        </w:tc>
        <w:tc>
          <w:tcPr>
            <w:tcW w:w="780" w:type="dxa"/>
            <w:vAlign w:val="bottom"/>
          </w:tcPr>
          <w:p>
            <w:pPr>
              <w:jc w:val="right"/>
              <w:ind w:right="117"/>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1,493</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1,487</w:t>
            </w:r>
          </w:p>
        </w:tc>
        <w:tc>
          <w:tcPr>
            <w:tcW w:w="820" w:type="dxa"/>
            <w:vAlign w:val="bottom"/>
            <w:gridSpan w:val="2"/>
          </w:tcPr>
          <w:p>
            <w:pPr>
              <w:jc w:val="right"/>
              <w:ind w:right="117"/>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5.0%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Insurance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August,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4.0%,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2,239</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2,228</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2,043</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4.0%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Retail Stores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June, 2020</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3.25%, .75%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992</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989</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951</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5.75% (1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Retail Stores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4.75%,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1,780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1,758</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5.75% (1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Diversified/Conglomerate Service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September, 2021</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4.75%,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992</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843</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831</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4.5% (2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Electronics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3.5%,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1,928</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6.0%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Buildings and Real Estate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5"/>
              </w:rPr>
              <w:t>March, 2017</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4.5%, 1.5%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1,488</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1,383</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5.0%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5"/>
              </w:rPr>
              <w:t>Leisure, Amusement, Entertainment</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4.0%,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997</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940</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5.25% (1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Oil &amp; Gas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2"/>
              </w:rPr>
              <w:t>October,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4.25%,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485</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5.0% (1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Finance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2"/>
              </w:rPr>
              <w:t>October,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4.0%,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1,838</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5.25%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2"/>
              </w:rPr>
              <w:t>October, 2021</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4.25%,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958</w:t>
            </w:r>
          </w:p>
        </w:tc>
        <w:tc>
          <w:tcPr>
            <w:tcW w:w="820" w:type="dxa"/>
            <w:vAlign w:val="bottom"/>
            <w:gridSpan w:val="2"/>
          </w:tcPr>
          <w:p>
            <w:pPr>
              <w:jc w:val="right"/>
              <w:ind w:right="117"/>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4.25% (6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June, 2020</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3.25%,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1,988</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1,951</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6.75%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2021</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5.75%,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2,487</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2,332</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6.0%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5.0%,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2,487</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2,434</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3.5%,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1,930</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Beverage, Food and Tobacco</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August,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3.5%,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1,983</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5.25%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5"/>
              </w:rPr>
              <w:t>Leisure, Amusement, Entertainment</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2021</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4.25%,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1,953</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5.25%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Containers, Packaging and Glass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4.25%,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988</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Electronics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August,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3.5%,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2,494</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2,489</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2,394</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5.25%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August, 2020</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4.25%,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2,977</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2,963</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2,873</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6.0%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Retail Stores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5.0%,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1,905</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4.75% (2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Finance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2"/>
              </w:rPr>
              <w:t>November,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4.0%, .75%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1,466</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Buildings and Real Estate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1,375</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1,361</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1,334</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4.25%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5"/>
              </w:rPr>
              <w:t>Leisure, Amusement, Entertainment</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June,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3.25%,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1,493</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1,488</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1,452</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2022</w:t>
            </w:r>
          </w:p>
        </w:tc>
        <w:tc>
          <w:tcPr>
            <w:tcW w:w="40" w:type="dxa"/>
            <w:vAlign w:val="bottom"/>
          </w:tcPr>
          <w:p>
            <w:pPr>
              <w:spacing w:after="0"/>
              <w:rPr>
                <w:sz w:val="12"/>
                <w:szCs w:val="12"/>
                <w:color w:val="auto"/>
              </w:rPr>
            </w:pP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4.5%, 1% floor)</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2,985</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2,951</w:t>
            </w:r>
          </w:p>
        </w:tc>
        <w:tc>
          <w:tcPr>
            <w:tcW w:w="8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40" w:type="dxa"/>
            <w:vAlign w:val="bottom"/>
          </w:tcPr>
          <w:p>
            <w:pPr>
              <w:ind w:left="80"/>
              <w:spacing w:after="0"/>
              <w:rPr>
                <w:sz w:val="20"/>
                <w:szCs w:val="20"/>
                <w:color w:val="auto"/>
              </w:rPr>
            </w:pPr>
            <w:r>
              <w:rPr>
                <w:rFonts w:ascii="Arial" w:cs="Arial" w:eastAsia="Arial" w:hAnsi="Arial"/>
                <w:sz w:val="14"/>
                <w:szCs w:val="14"/>
                <w:color w:val="auto"/>
                <w:w w:val="95"/>
              </w:rPr>
              <w:t>Leisure, Amusement, Entertainment</w:t>
            </w:r>
          </w:p>
        </w:tc>
        <w:tc>
          <w:tcPr>
            <w:tcW w:w="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November, 2019</w:t>
            </w: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4.5%, 1% floor)</w:t>
            </w:r>
          </w:p>
        </w:tc>
        <w:tc>
          <w:tcPr>
            <w:tcW w:w="3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1,929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1,927</w:t>
            </w:r>
          </w:p>
        </w:tc>
        <w:tc>
          <w:tcPr>
            <w:tcW w:w="620" w:type="dxa"/>
            <w:vAlign w:val="bottom"/>
            <w:gridSpan w:val="2"/>
          </w:tcPr>
          <w:p>
            <w:pPr>
              <w:jc w:val="right"/>
              <w:ind w:right="5"/>
              <w:spacing w:after="0"/>
              <w:rPr>
                <w:sz w:val="20"/>
                <w:szCs w:val="20"/>
                <w:color w:val="auto"/>
              </w:rPr>
            </w:pPr>
            <w:r>
              <w:rPr>
                <w:rFonts w:ascii="Arial" w:cs="Arial" w:eastAsia="Arial" w:hAnsi="Arial"/>
                <w:sz w:val="14"/>
                <w:szCs w:val="14"/>
                <w:color w:val="auto"/>
              </w:rPr>
              <w:t>1,881</w:t>
            </w:r>
          </w:p>
        </w:tc>
        <w:tc>
          <w:tcPr>
            <w:tcW w:w="820" w:type="dxa"/>
            <w:vAlign w:val="bottom"/>
            <w:gridSpan w:val="2"/>
          </w:tcPr>
          <w:p>
            <w:pPr>
              <w:jc w:val="right"/>
              <w:ind w:right="117"/>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020" w:space="60"/>
            <w:col w:w="7999"/>
          </w:cols>
          <w:pgMar w:left="380" w:top="792" w:right="1440" w:bottom="0" w:gutter="0" w:footer="0" w:header="0"/>
          <w:type w:val="continuous"/>
        </w:sect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079"/>
          </w:cols>
          <w:pgMar w:left="380" w:top="792" w:right="1440" w:bottom="0" w:gutter="0" w:footer="0" w:header="0"/>
          <w:type w:val="continuous"/>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6114415" cy="469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14415" cy="4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1658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100965</wp:posOffset>
            </wp:positionV>
            <wp:extent cx="61658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vMerge w:val="restart"/>
          </w:tcPr>
          <w:p>
            <w:pPr>
              <w:jc w:val="right"/>
              <w:ind w:right="106"/>
              <w:spacing w:after="0"/>
              <w:rPr>
                <w:sz w:val="20"/>
                <w:szCs w:val="20"/>
                <w:color w:val="auto"/>
              </w:rPr>
            </w:pPr>
            <w:r>
              <w:rPr>
                <w:rFonts w:ascii="Arial" w:cs="Arial" w:eastAsia="Arial" w:hAnsi="Arial"/>
                <w:sz w:val="13"/>
                <w:szCs w:val="13"/>
                <w:b w:val="1"/>
                <w:bCs w:val="1"/>
                <w:color w:val="auto"/>
              </w:rPr>
              <w:t>Fair</w:t>
            </w:r>
          </w:p>
        </w:tc>
        <w:tc>
          <w:tcPr>
            <w:tcW w:w="820" w:type="dxa"/>
            <w:vAlign w:val="bottom"/>
          </w:tcPr>
          <w:p>
            <w:pPr>
              <w:jc w:val="center"/>
              <w:ind w:left="2"/>
              <w:spacing w:after="0"/>
              <w:rPr>
                <w:sz w:val="20"/>
                <w:szCs w:val="20"/>
                <w:color w:val="auto"/>
              </w:rPr>
            </w:pPr>
            <w:r>
              <w:rPr>
                <w:rFonts w:ascii="Arial" w:cs="Arial" w:eastAsia="Arial" w:hAnsi="Arial"/>
                <w:sz w:val="13"/>
                <w:szCs w:val="13"/>
                <w:b w:val="1"/>
                <w:bCs w:val="1"/>
                <w:color w:val="auto"/>
                <w:w w:val="91"/>
              </w:rPr>
              <w:t>Unrealized</w:t>
            </w:r>
          </w:p>
        </w:tc>
        <w:tc>
          <w:tcPr>
            <w:tcW w:w="0" w:type="dxa"/>
            <w:vAlign w:val="bottom"/>
          </w:tcPr>
          <w:p>
            <w:pPr>
              <w:spacing w:after="0"/>
              <w:rPr>
                <w:sz w:val="1"/>
                <w:szCs w:val="1"/>
                <w:color w:val="auto"/>
              </w:rPr>
            </w:pPr>
          </w:p>
        </w:tc>
      </w:tr>
      <w:tr>
        <w:trPr>
          <w:trHeight w:val="102"/>
        </w:trPr>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restart"/>
          </w:tcPr>
          <w:p>
            <w:pPr>
              <w:jc w:val="center"/>
              <w:ind w:left="2"/>
              <w:spacing w:after="0"/>
              <w:rPr>
                <w:sz w:val="20"/>
                <w:szCs w:val="20"/>
                <w:color w:val="auto"/>
              </w:rPr>
            </w:pPr>
            <w:r>
              <w:rPr>
                <w:rFonts w:ascii="Arial" w:cs="Arial" w:eastAsia="Arial" w:hAnsi="Arial"/>
                <w:sz w:val="13"/>
                <w:szCs w:val="13"/>
                <w:b w:val="1"/>
                <w:bCs w:val="1"/>
                <w:color w:val="auto"/>
                <w:w w:val="86"/>
              </w:rPr>
              <w:t>Appreciation/</w:t>
            </w:r>
          </w:p>
        </w:tc>
        <w:tc>
          <w:tcPr>
            <w:tcW w:w="0" w:type="dxa"/>
            <w:vAlign w:val="bottom"/>
          </w:tcPr>
          <w:p>
            <w:pPr>
              <w:spacing w:after="0"/>
              <w:rPr>
                <w:sz w:val="1"/>
                <w:szCs w:val="1"/>
                <w:color w:val="auto"/>
              </w:rPr>
            </w:pPr>
          </w:p>
        </w:tc>
      </w:tr>
      <w:tr>
        <w:trPr>
          <w:trHeight w:val="105"/>
        </w:trPr>
        <w:tc>
          <w:tcPr>
            <w:tcW w:w="1020" w:type="dxa"/>
            <w:vAlign w:val="bottom"/>
            <w:vMerge w:val="restart"/>
          </w:tcPr>
          <w:p>
            <w:pPr>
              <w:spacing w:after="0"/>
              <w:rPr>
                <w:sz w:val="20"/>
                <w:szCs w:val="20"/>
                <w:color w:val="auto"/>
              </w:rPr>
            </w:pPr>
            <w:r>
              <w:rPr>
                <w:rFonts w:ascii="Arial" w:cs="Arial" w:eastAsia="Arial" w:hAnsi="Arial"/>
                <w:sz w:val="13"/>
                <w:szCs w:val="13"/>
                <w:b w:val="1"/>
                <w:bCs w:val="1"/>
                <w:color w:val="auto"/>
                <w:w w:val="85"/>
              </w:rPr>
              <w:t>Portfolio Company</w:t>
            </w:r>
          </w:p>
        </w:tc>
        <w:tc>
          <w:tcPr>
            <w:tcW w:w="880" w:type="dxa"/>
            <w:vAlign w:val="bottom"/>
          </w:tcPr>
          <w:p>
            <w:pPr>
              <w:jc w:val="right"/>
              <w:ind w:right="708"/>
              <w:spacing w:after="0" w:line="106" w:lineRule="exact"/>
              <w:rPr>
                <w:sz w:val="20"/>
                <w:szCs w:val="20"/>
                <w:color w:val="auto"/>
              </w:rPr>
            </w:pPr>
            <w:r>
              <w:rPr>
                <w:rFonts w:ascii="Arial" w:cs="Arial" w:eastAsia="Arial" w:hAnsi="Arial"/>
                <w:sz w:val="10"/>
                <w:szCs w:val="10"/>
                <w:b w:val="1"/>
                <w:bCs w:val="1"/>
                <w:color w:val="auto"/>
                <w:w w:val="81"/>
              </w:rPr>
              <w:t>(4)</w:t>
            </w:r>
          </w:p>
        </w:tc>
        <w:tc>
          <w:tcPr>
            <w:tcW w:w="2260" w:type="dxa"/>
            <w:vAlign w:val="bottom"/>
            <w:vMerge w:val="restart"/>
          </w:tcPr>
          <w:p>
            <w:pPr>
              <w:ind w:left="740"/>
              <w:spacing w:after="0"/>
              <w:rPr>
                <w:sz w:val="20"/>
                <w:szCs w:val="20"/>
                <w:color w:val="auto"/>
              </w:rPr>
            </w:pPr>
            <w:r>
              <w:rPr>
                <w:rFonts w:ascii="Arial" w:cs="Arial" w:eastAsia="Arial" w:hAnsi="Arial"/>
                <w:sz w:val="13"/>
                <w:szCs w:val="13"/>
                <w:b w:val="1"/>
                <w:bCs w:val="1"/>
                <w:color w:val="auto"/>
              </w:rPr>
              <w:t>Business Description</w:t>
            </w:r>
          </w:p>
        </w:tc>
        <w:tc>
          <w:tcPr>
            <w:tcW w:w="132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Maturity Date</w:t>
            </w:r>
          </w:p>
        </w:tc>
        <w:tc>
          <w:tcPr>
            <w:tcW w:w="1320" w:type="dxa"/>
            <w:vAlign w:val="bottom"/>
            <w:vMerge w:val="restart"/>
          </w:tcPr>
          <w:p>
            <w:pPr>
              <w:ind w:left="140"/>
              <w:spacing w:after="0"/>
              <w:rPr>
                <w:sz w:val="20"/>
                <w:szCs w:val="20"/>
                <w:color w:val="auto"/>
              </w:rPr>
            </w:pPr>
            <w:r>
              <w:rPr>
                <w:rFonts w:ascii="Arial" w:cs="Arial" w:eastAsia="Arial" w:hAnsi="Arial"/>
                <w:sz w:val="13"/>
                <w:szCs w:val="13"/>
                <w:b w:val="1"/>
                <w:bCs w:val="1"/>
                <w:color w:val="auto"/>
                <w:w w:val="89"/>
              </w:rPr>
              <w:t>Current Interest Rate</w:t>
            </w:r>
          </w:p>
        </w:tc>
        <w:tc>
          <w:tcPr>
            <w:tcW w:w="320" w:type="dxa"/>
            <w:vAlign w:val="bottom"/>
          </w:tcPr>
          <w:p>
            <w:pPr>
              <w:jc w:val="right"/>
              <w:ind w:right="28"/>
              <w:spacing w:after="0" w:line="106" w:lineRule="exact"/>
              <w:rPr>
                <w:sz w:val="20"/>
                <w:szCs w:val="20"/>
                <w:color w:val="auto"/>
              </w:rPr>
            </w:pPr>
            <w:r>
              <w:rPr>
                <w:rFonts w:ascii="Arial" w:cs="Arial" w:eastAsia="Arial" w:hAnsi="Arial"/>
                <w:sz w:val="10"/>
                <w:szCs w:val="10"/>
                <w:b w:val="1"/>
                <w:bCs w:val="1"/>
                <w:color w:val="auto"/>
                <w:w w:val="89"/>
              </w:rPr>
              <w:t>(2)(6)</w:t>
            </w:r>
          </w:p>
        </w:tc>
        <w:tc>
          <w:tcPr>
            <w:tcW w:w="6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Principal</w:t>
            </w:r>
          </w:p>
        </w:tc>
        <w:tc>
          <w:tcPr>
            <w:tcW w:w="48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Cost</w:t>
            </w:r>
          </w:p>
        </w:tc>
        <w:tc>
          <w:tcPr>
            <w:tcW w:w="620" w:type="dxa"/>
            <w:vAlign w:val="bottom"/>
          </w:tcPr>
          <w:p>
            <w:pPr>
              <w:jc w:val="right"/>
              <w:ind w:right="6"/>
              <w:spacing w:after="0" w:line="106" w:lineRule="exact"/>
              <w:rPr>
                <w:sz w:val="20"/>
                <w:szCs w:val="20"/>
                <w:color w:val="auto"/>
              </w:rPr>
            </w:pPr>
            <w:r>
              <w:rPr>
                <w:rFonts w:ascii="Arial" w:cs="Arial" w:eastAsia="Arial" w:hAnsi="Arial"/>
                <w:sz w:val="10"/>
                <w:szCs w:val="10"/>
                <w:b w:val="1"/>
                <w:bCs w:val="1"/>
                <w:color w:val="auto"/>
              </w:rPr>
              <w:t>(1)</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tcPr>
          <w:p>
            <w:pPr>
              <w:jc w:val="right"/>
              <w:ind w:right="126"/>
              <w:spacing w:after="0" w:line="81" w:lineRule="exact"/>
              <w:rPr>
                <w:sz w:val="20"/>
                <w:szCs w:val="20"/>
                <w:color w:val="auto"/>
              </w:rPr>
            </w:pPr>
            <w:r>
              <w:rPr>
                <w:rFonts w:ascii="Arial" w:cs="Arial" w:eastAsia="Arial" w:hAnsi="Arial"/>
                <w:sz w:val="9"/>
                <w:szCs w:val="9"/>
                <w:b w:val="1"/>
                <w:bCs w:val="1"/>
                <w:color w:val="auto"/>
              </w:rPr>
              <w:t>Value</w:t>
            </w:r>
          </w:p>
        </w:tc>
        <w:tc>
          <w:tcPr>
            <w:tcW w:w="820" w:type="dxa"/>
            <w:vAlign w:val="bottom"/>
          </w:tcPr>
          <w:p>
            <w:pPr>
              <w:jc w:val="center"/>
              <w:ind w:left="2"/>
              <w:spacing w:after="0" w:line="81" w:lineRule="exact"/>
              <w:rPr>
                <w:sz w:val="20"/>
                <w:szCs w:val="20"/>
                <w:color w:val="auto"/>
              </w:rPr>
            </w:pPr>
            <w:r>
              <w:rPr>
                <w:rFonts w:ascii="Arial" w:cs="Arial" w:eastAsia="Arial" w:hAnsi="Arial"/>
                <w:sz w:val="9"/>
                <w:szCs w:val="9"/>
                <w:b w:val="1"/>
                <w:bCs w:val="1"/>
                <w:color w:val="auto"/>
              </w:rPr>
              <w:t>(Depreciation)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3036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ind w:left="180" w:right="160" w:hanging="179"/>
        <w:spacing w:after="0" w:line="282" w:lineRule="auto"/>
        <w:rPr>
          <w:sz w:val="20"/>
          <w:szCs w:val="20"/>
          <w:color w:val="auto"/>
        </w:rPr>
      </w:pPr>
      <w:r>
        <w:rPr>
          <w:rFonts w:ascii="Arial" w:cs="Arial" w:eastAsia="Arial" w:hAnsi="Arial"/>
          <w:sz w:val="13"/>
          <w:szCs w:val="13"/>
          <w:color w:val="auto"/>
        </w:rPr>
        <w:t>Navios Maritime Midstream Partners, LP</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Novelis, Inc.</w:t>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Penn Products Terminals, LLC</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Pharmaceutical Product</w:t>
      </w:r>
    </w:p>
    <w:p>
      <w:pPr>
        <w:ind w:left="180"/>
        <w:spacing w:after="0"/>
        <w:rPr>
          <w:sz w:val="20"/>
          <w:szCs w:val="20"/>
          <w:color w:val="auto"/>
        </w:rPr>
      </w:pPr>
      <w:r>
        <w:rPr>
          <w:rFonts w:ascii="Arial" w:cs="Arial" w:eastAsia="Arial" w:hAnsi="Arial"/>
          <w:sz w:val="14"/>
          <w:szCs w:val="14"/>
          <w:color w:val="auto"/>
        </w:rPr>
        <w:t>Development Inc.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Securus Technologies,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Skillsoft Corporation</w:t>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Sterigenics-Nordion Holdings,</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LLC</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STG-Fairway Acquisitions, Inc</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Tekni-Plex Incorporated</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Touchtunes Music Corp</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TWCC Holding Corp</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US Renal Care, Inc.</w:t>
      </w:r>
      <w:r>
        <w:rPr>
          <w:rFonts w:ascii="Arial" w:cs="Arial" w:eastAsia="Arial" w:hAnsi="Arial"/>
          <w:sz w:val="23"/>
          <w:szCs w:val="23"/>
          <w:color w:val="auto"/>
          <w:vertAlign w:val="superscript"/>
        </w:rPr>
        <w:t>(3)</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USAGM Holdco LLC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Zep,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732790</wp:posOffset>
            </wp:positionV>
            <wp:extent cx="6172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2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5.5% (3 Month LIBOR</w:t>
            </w: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Cargo Transport</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June, 2020</w:t>
            </w: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4.5%, 1% floor)</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1,990</w:t>
            </w:r>
          </w:p>
        </w:tc>
        <w:tc>
          <w:tcPr>
            <w:tcW w:w="20" w:type="dxa"/>
            <w:vAlign w:val="bottom"/>
          </w:tcPr>
          <w:p>
            <w:pPr>
              <w:spacing w:after="0"/>
              <w:rPr>
                <w:sz w:val="12"/>
                <w:szCs w:val="12"/>
                <w:color w:val="auto"/>
              </w:rPr>
            </w:pPr>
          </w:p>
        </w:tc>
        <w:tc>
          <w:tcPr>
            <w:tcW w:w="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1,970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1,964</w:t>
            </w:r>
          </w:p>
        </w:tc>
        <w:tc>
          <w:tcPr>
            <w:tcW w:w="2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4.0%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Mining, Steel, Iron and Non</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Precious Metals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June, 2022</w:t>
            </w: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3.25%, .75%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2,488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2,475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2,369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4.75%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Cargo Transport</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2022</w:t>
            </w: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3.75%,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4.25%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August, 2022</w:t>
            </w: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3.25%,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1,990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1,930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5.25%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2020</w:t>
            </w: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4.25%,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1,425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5.75% (6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Electronics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2021</w:t>
            </w: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4.75%,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1,990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1,970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1,672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4.25%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2022</w:t>
            </w: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3.25%,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1,995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1,990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1,935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6.25%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Diversified/Conglomerate Service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June, 2022</w:t>
            </w: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5.25%,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2,486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2,449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2,430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4.5%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Containers, Packaging and Glass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June, 2022</w:t>
            </w: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3.5%,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2,487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2,475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2,475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5.75%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Electronics</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2022</w:t>
            </w: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4.75%,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1,493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1,485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1,448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5.75% (1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Broadcasting &amp; Entertainment</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2"/>
              </w:rPr>
              <w:t>February, 2020</w:t>
            </w: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5.0%, .75%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1,985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1,965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1,983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5.25%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2"/>
              </w:rPr>
              <w:t>November, 2022</w:t>
            </w: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4.25%,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4.75% (2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Diversified/Conglomerate Service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2022</w:t>
            </w: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3.75%,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ind w:left="80"/>
              <w:spacing w:after="0" w:line="149" w:lineRule="exact"/>
              <w:rPr>
                <w:sz w:val="20"/>
                <w:szCs w:val="20"/>
                <w:color w:val="auto"/>
              </w:rPr>
            </w:pPr>
            <w:r>
              <w:rPr>
                <w:rFonts w:ascii="Arial" w:cs="Arial" w:eastAsia="Arial" w:hAnsi="Arial"/>
                <w:sz w:val="14"/>
                <w:szCs w:val="14"/>
                <w:color w:val="auto"/>
              </w:rPr>
              <w:t>5.5%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Non Durable Consumer Products</w:t>
            </w:r>
          </w:p>
        </w:tc>
        <w:tc>
          <w:tcPr>
            <w:tcW w:w="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June, 2022</w:t>
            </w:r>
          </w:p>
        </w:tc>
        <w:tc>
          <w:tcPr>
            <w:tcW w:w="40" w:type="dxa"/>
            <w:vAlign w:val="bottom"/>
          </w:tcPr>
          <w:p>
            <w:pPr>
              <w:spacing w:after="0"/>
              <w:rPr>
                <w:sz w:val="14"/>
                <w:szCs w:val="14"/>
                <w:color w:val="auto"/>
              </w:rPr>
            </w:pPr>
          </w:p>
        </w:tc>
        <w:tc>
          <w:tcPr>
            <w:tcW w:w="1580" w:type="dxa"/>
            <w:vAlign w:val="bottom"/>
          </w:tcPr>
          <w:p>
            <w:pPr>
              <w:ind w:left="80"/>
              <w:spacing w:after="0"/>
              <w:rPr>
                <w:sz w:val="20"/>
                <w:szCs w:val="20"/>
                <w:color w:val="auto"/>
              </w:rPr>
            </w:pPr>
            <w:r>
              <w:rPr>
                <w:rFonts w:ascii="Arial" w:cs="Arial" w:eastAsia="Arial" w:hAnsi="Arial"/>
                <w:sz w:val="14"/>
                <w:szCs w:val="14"/>
                <w:color w:val="auto"/>
              </w:rPr>
              <w:t>4.5%, 1% floor)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995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990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989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w w:val="93"/>
              </w:rPr>
              <w:t>81,201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80,268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77,334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(2,934</w:t>
            </w:r>
          </w:p>
        </w:tc>
        <w:tc>
          <w:tcPr>
            <w:tcW w:w="1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80" w:type="dxa"/>
            <w:vAlign w:val="bottom"/>
            <w:gridSpan w:val="16"/>
          </w:tcPr>
          <w:p>
            <w:pPr>
              <w:jc w:val="right"/>
              <w:ind w:right="28"/>
              <w:spacing w:after="0" w:line="142" w:lineRule="exact"/>
              <w:rPr>
                <w:sz w:val="20"/>
                <w:szCs w:val="20"/>
                <w:color w:val="auto"/>
              </w:rPr>
            </w:pPr>
            <w:r>
              <w:rPr>
                <w:rFonts w:ascii="Arial" w:cs="Arial" w:eastAsia="Arial" w:hAnsi="Arial"/>
                <w:sz w:val="14"/>
                <w:szCs w:val="14"/>
                <w:color w:val="auto"/>
              </w:rPr>
              <w:t>Total accrued interest, net of expenses $</w:t>
            </w: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106</w:t>
            </w: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0" w:type="dxa"/>
            <w:vAlign w:val="bottom"/>
            <w:gridSpan w:val="15"/>
          </w:tcPr>
          <w:p>
            <w:pPr>
              <w:jc w:val="center"/>
              <w:ind w:left="1108"/>
              <w:spacing w:after="0" w:line="142" w:lineRule="exact"/>
              <w:rPr>
                <w:sz w:val="20"/>
                <w:szCs w:val="20"/>
                <w:color w:val="auto"/>
              </w:rPr>
            </w:pPr>
            <w:r>
              <w:rPr>
                <w:rFonts w:ascii="Arial" w:cs="Arial" w:eastAsia="Arial" w:hAnsi="Arial"/>
                <w:sz w:val="14"/>
                <w:szCs w:val="14"/>
                <w:color w:val="auto"/>
                <w:w w:val="92"/>
              </w:rPr>
              <w:t>Total unrealized depreciation on TRS</w:t>
            </w:r>
          </w:p>
        </w:tc>
        <w:tc>
          <w:tcPr>
            <w:tcW w:w="1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(2,828</w:t>
            </w:r>
          </w:p>
        </w:tc>
        <w:tc>
          <w:tcPr>
            <w:tcW w:w="120" w:type="dxa"/>
            <w:vAlign w:val="bottom"/>
            <w:gridSpan w:val="2"/>
          </w:tcPr>
          <w:p>
            <w:pPr>
              <w:jc w:val="right"/>
              <w:ind w:right="8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800" w:space="280"/>
            <w:col w:w="7999"/>
          </w:cols>
          <w:pgMar w:left="380" w:top="792" w:right="1440" w:bottom="1440" w:gutter="0" w:footer="0" w:header="0"/>
          <w:type w:val="continuous"/>
        </w:sectPr>
      </w:pPr>
    </w:p>
    <w:p>
      <w:pPr>
        <w:spacing w:after="0" w:line="339" w:lineRule="exact"/>
        <w:rPr>
          <w:sz w:val="20"/>
          <w:szCs w:val="20"/>
          <w:color w:val="auto"/>
        </w:rPr>
      </w:pPr>
    </w:p>
    <w:p>
      <w:pPr>
        <w:ind w:left="280" w:right="619" w:hanging="272"/>
        <w:spacing w:after="0" w:line="277" w:lineRule="auto"/>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fair value determined in accordance with ASC Topic 820. The determination of fair value is outside the scope of the Board’s valuation process described herein.</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interest is payable in cash.</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referenced asset is unsettled as of December 31, 2015.</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referenced assets are senior secured loans.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referenced asset has an unfunded commitment of $0.3 million.</w:t>
      </w:r>
    </w:p>
    <w:p>
      <w:pPr>
        <w:spacing w:after="0" w:line="117" w:lineRule="exact"/>
        <w:rPr>
          <w:rFonts w:ascii="Arial" w:cs="Arial" w:eastAsia="Arial" w:hAnsi="Arial"/>
          <w:sz w:val="18"/>
          <w:szCs w:val="18"/>
          <w:color w:val="auto"/>
        </w:rPr>
      </w:pPr>
    </w:p>
    <w:p>
      <w:pPr>
        <w:ind w:left="280" w:right="719" w:hanging="272"/>
        <w:spacing w:after="0" w:line="308" w:lineRule="auto"/>
        <w:tabs>
          <w:tab w:leader="none" w:pos="2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interest rate disclosed reflects the interest rate as of the last day of the period. The borrower has the election to change the tenor of LIBOR utilized at each maturity; as such, the tenor reflected herein may change in future periods.</w:t>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87" w:name="page88"/>
    <w:bookmarkEnd w:id="87"/>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819" w:firstLine="270"/>
        <w:spacing w:after="0" w:line="277" w:lineRule="auto"/>
        <w:rPr>
          <w:sz w:val="20"/>
          <w:szCs w:val="20"/>
          <w:color w:val="auto"/>
        </w:rPr>
      </w:pPr>
      <w:r>
        <w:rPr>
          <w:rFonts w:ascii="Arial" w:cs="Arial" w:eastAsia="Arial" w:hAnsi="Arial"/>
          <w:sz w:val="18"/>
          <w:szCs w:val="18"/>
          <w:color w:val="auto"/>
        </w:rPr>
        <w:t>Below is certain summarized financial information for CSLLF as of December 31, 2016 and December 31, 2015 and for the years ended December 31, 2016 and December 31, 2015 (dollars in thousands):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Selected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47510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left="93"/>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Cash held as collateral on Total Return Swap</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19,145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Non-collateral cash and cash equivalents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5,586</w:t>
            </w: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Receivable due on Total Return Swap</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w w:val="79"/>
              </w:rPr>
              <w:t>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82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25,183</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depreciation on Total Return Swap</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w w:val="79"/>
              </w:rPr>
              <w:t>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Paid in capital</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Undistributed realized income from operations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Unrealized depreciation on Total Return Swap</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w w:val="88"/>
              </w:rPr>
              <w:t>—</w:t>
            </w:r>
          </w:p>
        </w:tc>
        <w:tc>
          <w:tcPr>
            <w:tcW w:w="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net assets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200" w:type="dxa"/>
            <w:vAlign w:val="bottom"/>
            <w:gridSpan w:val="2"/>
            <w:shd w:val="clear" w:color="auto" w:fill="CCEEFF"/>
          </w:tcPr>
          <w:p>
            <w:pPr>
              <w:spacing w:after="0"/>
              <w:rPr>
                <w:sz w:val="20"/>
                <w:szCs w:val="20"/>
                <w:color w:val="auto"/>
              </w:rPr>
            </w:pPr>
          </w:p>
        </w:tc>
        <w:tc>
          <w:tcPr>
            <w:tcW w:w="160" w:type="dxa"/>
            <w:vAlign w:val="bottom"/>
            <w:gridSpan w:val="2"/>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22,334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8"/>
                <w:szCs w:val="18"/>
                <w:color w:val="auto"/>
              </w:rPr>
              <w:t>Total liabilities and net assets</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w w:val="79"/>
              </w:rPr>
              <w:t>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25,183</w:t>
            </w:r>
          </w:p>
        </w:tc>
        <w:tc>
          <w:tcPr>
            <w:tcW w:w="0" w:type="dxa"/>
            <w:vAlign w:val="bottom"/>
          </w:tcPr>
          <w:p>
            <w:pPr>
              <w:spacing w:after="0"/>
              <w:rPr>
                <w:sz w:val="1"/>
                <w:szCs w:val="1"/>
                <w:color w:val="auto"/>
              </w:rPr>
            </w:pPr>
          </w:p>
        </w:tc>
      </w:tr>
      <w:tr>
        <w:trPr>
          <w:trHeight w:val="21"/>
        </w:trPr>
        <w:tc>
          <w:tcPr>
            <w:tcW w:w="53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Selected Statements of Operations Information:</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6"/>
              </w:rPr>
              <w:t>For the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March 27,</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020" w:type="dxa"/>
            <w:vAlign w:val="bottom"/>
            <w:gridSpan w:val="6"/>
          </w:tcPr>
          <w:p>
            <w:pPr>
              <w:ind w:left="100"/>
              <w:spacing w:after="0" w:line="149"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2015 to</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02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legal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tcPr>
          <w:p>
            <w:pPr>
              <w:ind w:left="200"/>
              <w:spacing w:after="0"/>
              <w:rPr>
                <w:sz w:val="20"/>
                <w:szCs w:val="20"/>
                <w:color w:val="auto"/>
              </w:rPr>
            </w:pPr>
            <w:r>
              <w:rPr>
                <w:rFonts w:ascii="Arial" w:cs="Arial" w:eastAsia="Arial" w:hAnsi="Arial"/>
                <w:sz w:val="18"/>
                <w:szCs w:val="18"/>
                <w:color w:val="auto"/>
              </w:rPr>
              <w:t>Net operating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3"/>
          </w:tcPr>
          <w:p>
            <w:pPr>
              <w:jc w:val="right"/>
              <w:ind w:right="1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 on Total Return Swap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40" w:type="dxa"/>
            <w:vAlign w:val="bottom"/>
          </w:tcPr>
          <w:p>
            <w:pPr>
              <w:ind w:left="20"/>
              <w:spacing w:after="0" w:line="201" w:lineRule="exact"/>
              <w:rPr>
                <w:sz w:val="20"/>
                <w:szCs w:val="20"/>
                <w:color w:val="auto"/>
              </w:rPr>
            </w:pPr>
            <w:r>
              <w:rPr>
                <w:rFonts w:ascii="Arial" w:cs="Arial" w:eastAsia="Arial" w:hAnsi="Arial"/>
                <w:sz w:val="18"/>
                <w:szCs w:val="18"/>
                <w:color w:val="auto"/>
                <w:w w:val="97"/>
              </w:rPr>
              <w:t>Net change in unrealized appreciation (depreciation) on Total Return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0"/>
              <w:spacing w:after="0"/>
              <w:rPr>
                <w:sz w:val="20"/>
                <w:szCs w:val="20"/>
                <w:color w:val="auto"/>
              </w:rPr>
            </w:pPr>
            <w:r>
              <w:rPr>
                <w:rFonts w:ascii="Arial" w:cs="Arial" w:eastAsia="Arial" w:hAnsi="Arial"/>
                <w:sz w:val="18"/>
                <w:szCs w:val="18"/>
                <w:color w:val="auto"/>
              </w:rPr>
              <w:t>Swap</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2,828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195"/>
        </w:trPr>
        <w:tc>
          <w:tcPr>
            <w:tcW w:w="53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INCREASE (DECREASE) IN NET ASSETS RESULTING</w:t>
            </w: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-3618230</wp:posOffset>
            </wp:positionV>
            <wp:extent cx="475107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-3035300</wp:posOffset>
            </wp:positionV>
            <wp:extent cx="4751070" cy="1803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-2160270</wp:posOffset>
            </wp:positionV>
            <wp:extent cx="4751070"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-908685</wp:posOffset>
            </wp:positionV>
            <wp:extent cx="4751070" cy="180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-33655</wp:posOffset>
            </wp:positionV>
            <wp:extent cx="475107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-1697355</wp:posOffset>
            </wp:positionV>
            <wp:extent cx="47510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years ended December 31, 2016, 2015 and 2014 are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250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4"/>
                <w:szCs w:val="14"/>
                <w:b w:val="1"/>
                <w:bCs w:val="1"/>
                <w:color w:val="auto"/>
                <w:w w:val="93"/>
              </w:rPr>
              <w:t>For the Year Ended December 31,</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520" w:type="dxa"/>
            <w:vAlign w:val="bottom"/>
            <w:vMerge w:val="restart"/>
          </w:tcPr>
          <w:p>
            <w:pPr>
              <w:ind w:left="20"/>
              <w:spacing w:after="0"/>
              <w:rPr>
                <w:sz w:val="20"/>
                <w:szCs w:val="20"/>
                <w:color w:val="auto"/>
              </w:rPr>
            </w:pPr>
            <w:r>
              <w:rPr>
                <w:rFonts w:ascii="Arial" w:cs="Arial" w:eastAsia="Arial" w:hAnsi="Arial"/>
                <w:sz w:val="18"/>
                <w:szCs w:val="18"/>
                <w:color w:val="auto"/>
              </w:rPr>
              <w:t>Total investment income</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5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68,312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63,976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49,528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 net of fee waivers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39,272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38,649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29,562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29,040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25,327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19,966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realized gain (loss) from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(22,766)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w w:val="97"/>
              </w:rPr>
              <w:t>Net unrealized appreciation (depreciation) on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(16,913)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(24,238)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depreciation on written call option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w w:val="89"/>
              </w:rPr>
              <w:t>Net increase (decrease) in net assets resulting from operations</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9,152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13,850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(3,440)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5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5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-1362710</wp:posOffset>
            </wp:positionV>
            <wp:extent cx="475107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-805180</wp:posOffset>
            </wp:positionV>
            <wp:extent cx="4751070" cy="180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88" w:name="page89"/>
    <w:bookmarkEnd w:id="8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60" w:right="739" w:firstLine="270"/>
        <w:spacing w:after="0" w:line="277" w:lineRule="auto"/>
        <w:rPr>
          <w:sz w:val="20"/>
          <w:szCs w:val="20"/>
          <w:color w:val="auto"/>
        </w:rPr>
      </w:pPr>
      <w:r>
        <w:rPr>
          <w:rFonts w:ascii="Arial" w:cs="Arial" w:eastAsia="Arial" w:hAnsi="Arial"/>
          <w:sz w:val="18"/>
          <w:szCs w:val="18"/>
          <w:color w:val="auto"/>
        </w:rPr>
        <w:t>The composition of our investment income for the years ended December 31, 2016, 2015 and 2014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339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4880" w:type="dxa"/>
            <w:vAlign w:val="bottom"/>
            <w:vMerge w:val="restart"/>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54,990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50,586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36,067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 income</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Payment-in-kind interest and dividend income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income</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Interest from cash and cash equivalents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8"/>
                <w:szCs w:val="18"/>
                <w:color w:val="auto"/>
              </w:rPr>
              <w:t>Total investment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68,312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63,976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49,528</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The income reported as interest income and PIK interest and dividend income is generally based on the stated rates as disclosed in our consolidated schedule of investments. Accretion/(Amortization) of discounts and premiums paid for purchased loans are included in interest income as an adjustment to yield. As a general rule, our interest income and PIK interest and dividend income is recurring in nature.</w:t>
      </w:r>
    </w:p>
    <w:p>
      <w:pPr>
        <w:spacing w:after="0" w:line="79" w:lineRule="exact"/>
        <w:rPr>
          <w:sz w:val="20"/>
          <w:szCs w:val="20"/>
          <w:color w:val="auto"/>
        </w:rPr>
      </w:pPr>
    </w:p>
    <w:p>
      <w:pPr>
        <w:ind w:left="60" w:right="639" w:firstLine="270"/>
        <w:spacing w:after="0" w:line="259" w:lineRule="auto"/>
        <w:rPr>
          <w:sz w:val="20"/>
          <w:szCs w:val="20"/>
          <w:color w:val="auto"/>
        </w:rPr>
      </w:pPr>
      <w:r>
        <w:rPr>
          <w:rFonts w:ascii="Arial" w:cs="Arial" w:eastAsia="Arial" w:hAnsi="Arial"/>
          <w:sz w:val="18"/>
          <w:szCs w:val="18"/>
          <w:color w:val="auto"/>
        </w:rPr>
        <w:t>We also generate fee income primarily through origination fees charged for new investments, and secondarily via amendment fees, consent fees, prepayment penalties, and other fees. While the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79" w:lineRule="exact"/>
        <w:rPr>
          <w:sz w:val="20"/>
          <w:szCs w:val="20"/>
          <w:color w:val="auto"/>
        </w:rPr>
      </w:pPr>
    </w:p>
    <w:p>
      <w:pPr>
        <w:ind w:left="60" w:right="599" w:firstLine="270"/>
        <w:spacing w:after="0" w:line="259" w:lineRule="auto"/>
        <w:rPr>
          <w:sz w:val="20"/>
          <w:szCs w:val="20"/>
          <w:color w:val="auto"/>
        </w:rPr>
      </w:pPr>
      <w:r>
        <w:rPr>
          <w:rFonts w:ascii="Arial" w:cs="Arial" w:eastAsia="Arial" w:hAnsi="Arial"/>
          <w:sz w:val="18"/>
          <w:szCs w:val="18"/>
          <w:color w:val="auto"/>
        </w:rPr>
        <w:t>We earn dividends on certain equity investments within our investment portfolio. As noted in our consolidated schedule of investments, some investments are scheduled to pay a periodic dividend, though these recurring dividends do not make up a significant portion of our total investment income. We may and have received more substantial one-time dividends from our equity investments as part of dividend recapitalizations.</w:t>
      </w:r>
    </w:p>
    <w:p>
      <w:pPr>
        <w:spacing w:after="0" w:line="79" w:lineRule="exact"/>
        <w:rPr>
          <w:sz w:val="20"/>
          <w:szCs w:val="20"/>
          <w:color w:val="auto"/>
        </w:rPr>
      </w:pPr>
    </w:p>
    <w:p>
      <w:pPr>
        <w:ind w:left="60" w:right="579" w:firstLine="270"/>
        <w:spacing w:after="0" w:line="291" w:lineRule="auto"/>
        <w:rPr>
          <w:sz w:val="20"/>
          <w:szCs w:val="20"/>
          <w:color w:val="auto"/>
        </w:rPr>
      </w:pPr>
      <w:r>
        <w:rPr>
          <w:rFonts w:ascii="Arial" w:cs="Arial" w:eastAsia="Arial" w:hAnsi="Arial"/>
          <w:sz w:val="16"/>
          <w:szCs w:val="16"/>
          <w:color w:val="auto"/>
        </w:rPr>
        <w:t>For the year ended December 31, 2016, total investment income increased $4.3 million, or 6.8% compared to the year ended December 31, 2015. The increase from the prior period relates primarily to higher interest and PIK income from a larger average investment portfolio. For the year ended December 31, 2016, we generated $2.1 million in origination fees from new deployments and $2.0 million in other fees. Comparatively, for the year ended December 31, 2015, we generated $3.5 million in origination fees from new deployments and $2.4 million in other fees. The year over year decline in origination fee income was due to a decline in investment originations. Dividend income increased from $2.1 million for the year ended December 31, 2015 to $2.8 million for the year ended December 31, 2016, mostly driven by a $0.9 million increase in dividends paid by CSLLF.</w:t>
      </w:r>
    </w:p>
    <w:p>
      <w:pPr>
        <w:spacing w:after="0" w:line="59" w:lineRule="exact"/>
        <w:rPr>
          <w:sz w:val="20"/>
          <w:szCs w:val="20"/>
          <w:color w:val="auto"/>
        </w:rPr>
      </w:pPr>
    </w:p>
    <w:p>
      <w:pPr>
        <w:ind w:left="60" w:right="579" w:firstLine="270"/>
        <w:spacing w:after="0" w:line="288" w:lineRule="auto"/>
        <w:rPr>
          <w:sz w:val="20"/>
          <w:szCs w:val="20"/>
          <w:color w:val="auto"/>
        </w:rPr>
      </w:pPr>
      <w:r>
        <w:rPr>
          <w:rFonts w:ascii="Arial" w:cs="Arial" w:eastAsia="Arial" w:hAnsi="Arial"/>
          <w:sz w:val="16"/>
          <w:szCs w:val="16"/>
          <w:color w:val="auto"/>
        </w:rPr>
        <w:t>For the year ended December 31, 2015, total investment income increased $14.4 million, or 29.2% compared to the fiscal year ended December 31, 2014. The increase from the prior period relates primarily to higher interest and PIK income from a growing investment portfolio. For the year ended December 31, 2015, we generated $3.5 million in origination fees from new deployments and $2.4 million in other fees. Comparatively, for the year ended December 31, 2014, we generated $1.9 million in origination fees from new deployments and $1.2 million in other fees. The year over year increase in origination fee income was aided by an increase in directly originated investments. The year over year increase in other fees was due primarily to $0.8 million in prepayment penalties for the year ended December 31, 2015, compared to $0.0 million for the year ended December 31, 2014. These increases in interest, fees, and PIK were offset by a $5.5 million decline in dividend income, from $7.6 million for the year ended December 31, 2014 to $2.1 million for the year ended December 31, 2015. The decline was driven by several significant dividends paid in 2014 as part of dividend recapitalizations and the overall shrinking of our equity portfolio since the IPO.</w:t>
      </w:r>
    </w:p>
    <w:p>
      <w:pPr>
        <w:spacing w:after="0" w:line="200" w:lineRule="exact"/>
        <w:rPr>
          <w:sz w:val="20"/>
          <w:szCs w:val="20"/>
          <w:color w:val="auto"/>
        </w:rPr>
      </w:pPr>
    </w:p>
    <w:p>
      <w:pPr>
        <w:spacing w:after="0" w:line="32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9" w:name="page90"/>
    <w:bookmarkEnd w:id="8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composition of our expenses for the years ended December 31, 2016, 2015 and 2014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47339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4880" w:type="dxa"/>
            <w:vAlign w:val="bottom"/>
            <w:vMerge w:val="restart"/>
          </w:tcPr>
          <w:p>
            <w:pPr>
              <w:ind w:left="20"/>
              <w:spacing w:after="0"/>
              <w:rPr>
                <w:sz w:val="20"/>
                <w:szCs w:val="20"/>
                <w:color w:val="auto"/>
              </w:rPr>
            </w:pPr>
            <w:r>
              <w:rPr>
                <w:rFonts w:ascii="Arial" w:cs="Arial" w:eastAsia="Arial" w:hAnsi="Arial"/>
                <w:sz w:val="18"/>
                <w:szCs w:val="18"/>
                <w:color w:val="auto"/>
              </w:rPr>
              <w:t>Interest and financing expenses</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19,711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19,022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13,375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Base management fees, net of management fee waiver</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10,588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10,590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9,051</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Incentive fees, net of incentive fee waiver</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8"/>
                <w:szCs w:val="18"/>
                <w:color w:val="auto"/>
              </w:rPr>
              <w:t>Total expenses, net of fee waivers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39,272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38,649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29,562</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579" w:firstLine="270"/>
        <w:spacing w:after="0" w:line="279" w:lineRule="auto"/>
        <w:rPr>
          <w:sz w:val="20"/>
          <w:szCs w:val="20"/>
          <w:color w:val="auto"/>
        </w:rPr>
      </w:pPr>
      <w:r>
        <w:rPr>
          <w:rFonts w:ascii="Arial" w:cs="Arial" w:eastAsia="Arial" w:hAnsi="Arial"/>
          <w:sz w:val="17"/>
          <w:szCs w:val="17"/>
          <w:color w:val="auto"/>
        </w:rPr>
        <w:t>For the year ended December 31, 2016, operating expenses increased $0.6 million, or 1.6%, compared to the year ended December 31, 2015. The increase from the prior period was primarily due to an increase in interest and financing expenses due to a larger average outstanding balance on the Credit Facility for the year ended December 31, 2016 compared to the year ended December 31, 2015. Other expenses remained relatively unchanged year over year.</w:t>
      </w:r>
    </w:p>
    <w:p>
      <w:pPr>
        <w:spacing w:after="0" w:line="63" w:lineRule="exact"/>
        <w:rPr>
          <w:sz w:val="20"/>
          <w:szCs w:val="20"/>
          <w:color w:val="auto"/>
        </w:rPr>
      </w:pPr>
    </w:p>
    <w:p>
      <w:pPr>
        <w:ind w:left="60" w:right="699" w:firstLine="270"/>
        <w:spacing w:after="0" w:line="291" w:lineRule="auto"/>
        <w:rPr>
          <w:sz w:val="20"/>
          <w:szCs w:val="20"/>
          <w:color w:val="auto"/>
        </w:rPr>
      </w:pPr>
      <w:r>
        <w:rPr>
          <w:rFonts w:ascii="Arial" w:cs="Arial" w:eastAsia="Arial" w:hAnsi="Arial"/>
          <w:sz w:val="16"/>
          <w:szCs w:val="16"/>
          <w:color w:val="auto"/>
        </w:rPr>
        <w:t>For the year ended December 31, 2015, operating expenses increased $9.1 million, or 30.7%, compared to the year ended December 31, 2014. The increase from the prior period was primarily due to an increase in interest and financing expenses due to</w:t>
      </w:r>
    </w:p>
    <w:p>
      <w:pPr>
        <w:ind w:left="60" w:right="619" w:firstLine="8"/>
        <w:spacing w:after="0" w:line="255" w:lineRule="auto"/>
        <w:tabs>
          <w:tab w:leader="none" w:pos="2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issuance of Notes in June of 2014 and (ii) the Credit Facility in October 2014. Management fees increased over prior period due to growth in assets under management. Incentive fees increased from prior period due to increase in pre-incentive fee net investment income.</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realized gains (losses) on sales of investments</w:t>
      </w:r>
    </w:p>
    <w:p>
      <w:pPr>
        <w:spacing w:after="0" w:line="117"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During the years ended December 31, 2016, 2015 and 2014, we recognized $(22.8) million, $5.4 million and $0.8 million of net realized gains (losses) on our portfolio investments, respectively.</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unrealized appreciation (depreciation) on investments and Written Call Option</w:t>
      </w:r>
    </w:p>
    <w:p>
      <w:pPr>
        <w:spacing w:after="0" w:line="117" w:lineRule="exact"/>
        <w:rPr>
          <w:sz w:val="20"/>
          <w:szCs w:val="20"/>
          <w:color w:val="auto"/>
        </w:rPr>
      </w:pPr>
    </w:p>
    <w:p>
      <w:pPr>
        <w:ind w:left="60" w:right="699" w:firstLine="270"/>
        <w:spacing w:after="0" w:line="264" w:lineRule="auto"/>
        <w:rPr>
          <w:sz w:val="20"/>
          <w:szCs w:val="20"/>
          <w:color w:val="auto"/>
        </w:rPr>
      </w:pPr>
      <w:r>
        <w:rPr>
          <w:rFonts w:ascii="Arial" w:cs="Arial" w:eastAsia="Arial" w:hAnsi="Arial"/>
          <w:sz w:val="18"/>
          <w:szCs w:val="18"/>
          <w:color w:val="auto"/>
        </w:rPr>
        <w:t>Net change in unrealized appreciation (depreciation) on investments reflects the net change in the fair value of our investment portfolio. For the years ended December 31, 2016, 2015 and 2014, we had $5.6 million, $(16.9) million and $(24.2) million of unrealized appreciation (depreciation), respectively, on portfolio investments.</w:t>
      </w:r>
    </w:p>
    <w:p>
      <w:pPr>
        <w:spacing w:after="0" w:line="73" w:lineRule="exact"/>
        <w:rPr>
          <w:sz w:val="20"/>
          <w:szCs w:val="20"/>
          <w:color w:val="auto"/>
        </w:rPr>
      </w:pPr>
    </w:p>
    <w:p>
      <w:pPr>
        <w:ind w:left="60" w:right="519" w:firstLine="270"/>
        <w:spacing w:after="0" w:line="312" w:lineRule="auto"/>
        <w:rPr>
          <w:sz w:val="20"/>
          <w:szCs w:val="20"/>
          <w:color w:val="auto"/>
        </w:rPr>
      </w:pPr>
      <w:r>
        <w:rPr>
          <w:rFonts w:ascii="Arial" w:cs="Arial" w:eastAsia="Arial" w:hAnsi="Arial"/>
          <w:sz w:val="16"/>
          <w:szCs w:val="16"/>
          <w:color w:val="auto"/>
        </w:rPr>
        <w:t>Appreciation on investments for the year ended December 31, 2016 was partially offset by depreciation of $(2.7) million related to the Written Call Option. As previously noted, unrealized appreciation (depreciation) on the Written Call Option is based on the change in fair value of the underlying equity investment in Eastport Holdings, LLC less the strike price of the Written Call Option.</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117" w:lineRule="exact"/>
        <w:rPr>
          <w:sz w:val="20"/>
          <w:szCs w:val="20"/>
          <w:color w:val="auto"/>
        </w:rPr>
      </w:pPr>
    </w:p>
    <w:p>
      <w:pPr>
        <w:ind w:left="60" w:right="639" w:firstLine="270"/>
        <w:spacing w:after="0" w:line="259" w:lineRule="auto"/>
        <w:rPr>
          <w:sz w:val="20"/>
          <w:szCs w:val="20"/>
          <w:color w:val="auto"/>
        </w:rPr>
      </w:pPr>
      <w:r>
        <w:rPr>
          <w:rFonts w:ascii="Arial" w:cs="Arial" w:eastAsia="Arial" w:hAnsi="Arial"/>
          <w:sz w:val="18"/>
          <w:szCs w:val="18"/>
          <w:color w:val="auto"/>
        </w:rPr>
        <w:t>For the years ended December 31, 2016, 2015 and 2014 we recorded a net increase (decrease) in net assets resulting from operations of $9.2 million, $13.9 million, and $(3.4) million, respectively. Based on the weighted average shares of common stock outstanding for the years ended December 31, 2016, 2015 and 2014, our per share net increase (decrease) in net assets resulting from operations was $0.58, $0.91 and $(0.27), respectively.</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Summarized Financial Information of Our Unconsolidated Subsidiaries</w:t>
      </w:r>
    </w:p>
    <w:p>
      <w:pPr>
        <w:spacing w:after="0" w:line="121"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The Company holds a control interest, as defined by the 1940 Act, in five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December 31, 2016 and December 31, 2015 and for the three years in the period then ended.</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0" w:name="page91"/>
    <w:bookmarkEnd w:id="90"/>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Print Direction, Inc.</w:t>
      </w:r>
    </w:p>
    <w:p>
      <w:pPr>
        <w:spacing w:after="0" w:line="117" w:lineRule="exact"/>
        <w:rPr>
          <w:sz w:val="20"/>
          <w:szCs w:val="20"/>
          <w:color w:val="auto"/>
        </w:rPr>
      </w:pPr>
    </w:p>
    <w:p>
      <w:pPr>
        <w:ind w:left="180" w:right="639" w:firstLine="270"/>
        <w:spacing w:after="0" w:line="297" w:lineRule="auto"/>
        <w:rPr>
          <w:sz w:val="20"/>
          <w:szCs w:val="20"/>
          <w:color w:val="auto"/>
        </w:rPr>
      </w:pPr>
      <w:r>
        <w:rPr>
          <w:rFonts w:ascii="Arial" w:cs="Arial" w:eastAsia="Arial" w:hAnsi="Arial"/>
          <w:sz w:val="16"/>
          <w:szCs w:val="16"/>
          <w:color w:val="auto"/>
        </w:rPr>
        <w:t>Print Direction, Inc., incorporated in Georgia on May 11, 2006, is a professional printing services firm serving customers, particularly fast food, retail, and other similar chains, throughout the U.S. Print Direction, Inc. also provides warehousing and distribution services for these customers. The income (loss) the Company generated from Print Direction, Inc., which includes all interest, dividends, PIK interest and dividends, fees, and unrealized appreciation (depreciation), was $(3.8) million, $(1.1) million, and $2.6 million for the years ended December 31, 2016, December 31, 2015 and December 31, 2014, respectively.</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117" w:lineRule="exact"/>
        <w:rPr>
          <w:sz w:val="20"/>
          <w:szCs w:val="20"/>
          <w:color w:val="auto"/>
        </w:rPr>
      </w:pPr>
    </w:p>
    <w:p>
      <w:pPr>
        <w:ind w:left="180" w:right="699" w:firstLine="270"/>
        <w:spacing w:after="0" w:line="302" w:lineRule="auto"/>
        <w:rPr>
          <w:sz w:val="20"/>
          <w:szCs w:val="20"/>
          <w:color w:val="auto"/>
        </w:rPr>
      </w:pPr>
      <w:r>
        <w:rPr>
          <w:rFonts w:ascii="Arial" w:cs="Arial" w:eastAsia="Arial" w:hAnsi="Arial"/>
          <w:sz w:val="16"/>
          <w:szCs w:val="16"/>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 (depreciation), was $1.9 million, $4.2 million and $4.2 million for the years ended December 31, 2016, December 31, 2015 and December 31, 2014, respectively.</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On-Site Fuel Service, Inc.</w:t>
      </w:r>
    </w:p>
    <w:p>
      <w:pPr>
        <w:spacing w:after="0" w:line="117" w:lineRule="exact"/>
        <w:rPr>
          <w:sz w:val="20"/>
          <w:szCs w:val="20"/>
          <w:color w:val="auto"/>
        </w:rPr>
      </w:pPr>
    </w:p>
    <w:p>
      <w:pPr>
        <w:ind w:left="180" w:right="599" w:firstLine="270"/>
        <w:spacing w:after="0" w:line="297" w:lineRule="auto"/>
        <w:rPr>
          <w:sz w:val="20"/>
          <w:szCs w:val="20"/>
          <w:color w:val="auto"/>
        </w:rPr>
      </w:pPr>
      <w:r>
        <w:rPr>
          <w:rFonts w:ascii="Arial" w:cs="Arial" w:eastAsia="Arial" w:hAnsi="Arial"/>
          <w:sz w:val="16"/>
          <w:szCs w:val="16"/>
          <w:color w:val="auto"/>
        </w:rPr>
        <w:t>On-Site Fuel Service, Inc. is a 100% owned subsidiary of On-Site Fuel Holdings, Inc., which was incorporated in Delaware on December 19, 2011. On-Site Fuel Service, Inc. provides fueling services for commercial and government vehicle fleets throughout the southeast U.S.. The income (loss) the Company generated from On-Site Fuel Service, Inc., which includes all interest, dividends, PIK interest and dividends, fees, and unrealized appreciation (depreciation), was $4.5 million, $(3.2) million, and $(4.8) million for the years ended December 31, 2016, December 31, 2015, and December 31, 2014, respectively.</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CableOrganizer Holdings, LLC</w:t>
      </w:r>
    </w:p>
    <w:p>
      <w:pPr>
        <w:spacing w:after="0" w:line="117" w:lineRule="exact"/>
        <w:rPr>
          <w:sz w:val="20"/>
          <w:szCs w:val="20"/>
          <w:color w:val="auto"/>
        </w:rPr>
      </w:pPr>
    </w:p>
    <w:p>
      <w:pPr>
        <w:ind w:left="180" w:right="559" w:firstLine="270"/>
        <w:spacing w:after="0" w:line="257" w:lineRule="auto"/>
        <w:rPr>
          <w:sz w:val="20"/>
          <w:szCs w:val="20"/>
          <w:color w:val="auto"/>
        </w:rPr>
      </w:pPr>
      <w:r>
        <w:rPr>
          <w:rFonts w:ascii="Arial" w:cs="Arial" w:eastAsia="Arial" w:hAnsi="Arial"/>
          <w:sz w:val="18"/>
          <w:szCs w:val="18"/>
          <w:color w:val="auto"/>
        </w:rPr>
        <w:t>CableOrganizer Holdings, LLC, a Delaware limited liability company that began operations on April 23, 2013, is a leading online provider of cable and wire management products. The income the Company generated from CableOrganizer Holdings, LLC, which includes all interest, dividends, PIK interest and dividends, fees, and unrealized appreciation (depreciation), was $1.9 million, $0.4 million, and $2.9 million for the years ended December 31, 2016, December 31, 2015 and December 31, 2014, respectively.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Eastport Holdings, LLC</w:t>
      </w:r>
    </w:p>
    <w:p>
      <w:pPr>
        <w:spacing w:after="0" w:line="117" w:lineRule="exact"/>
        <w:rPr>
          <w:sz w:val="20"/>
          <w:szCs w:val="20"/>
          <w:color w:val="auto"/>
        </w:rPr>
      </w:pPr>
    </w:p>
    <w:p>
      <w:pPr>
        <w:ind w:left="180" w:right="539" w:firstLine="270"/>
        <w:spacing w:after="0" w:line="257" w:lineRule="auto"/>
        <w:rPr>
          <w:sz w:val="20"/>
          <w:szCs w:val="20"/>
          <w:color w:val="auto"/>
        </w:rPr>
      </w:pPr>
      <w:r>
        <w:rPr>
          <w:rFonts w:ascii="Arial" w:cs="Arial" w:eastAsia="Arial" w:hAnsi="Arial"/>
          <w:sz w:val="18"/>
          <w:szCs w:val="18"/>
          <w:color w:val="auto"/>
        </w:rPr>
        <w:t>Eastport Holdings, LLC, an Ohio limited liability company organized on November 1, 2011, is a holding company consisting of marketing and advertising companies located across the U.S. The income the Company generated from Eastport Holdings, LLC, which includes all interest, dividends, PIK interest and dividends, fees, and unrealized appreciation (depreciation), was $14.3 million for the year ended December 31, 2016. The Company invested in the portfolio company in January 2016. As such, comparative financial information for the prior periods is not presented.</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summarized financial information of our unconsolidated subsidiaries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510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As of</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 Print Direction, Inc.</w:t>
            </w:r>
          </w:p>
        </w:tc>
        <w:tc>
          <w:tcPr>
            <w:tcW w:w="1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420" w:type="dxa"/>
            <w:vAlign w:val="bottom"/>
            <w:tcBorders>
              <w:bottom w:val="single" w:sz="8" w:color="auto"/>
            </w:tcBorders>
            <w:vMerge w:val="continue"/>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8"/>
              <w:spacing w:after="0"/>
              <w:rPr>
                <w:sz w:val="20"/>
                <w:szCs w:val="20"/>
                <w:color w:val="auto"/>
              </w:rPr>
            </w:pPr>
            <w:r>
              <w:rPr>
                <w:rFonts w:ascii="Arial" w:cs="Arial" w:eastAsia="Arial" w:hAnsi="Arial"/>
                <w:sz w:val="18"/>
                <w:szCs w:val="18"/>
                <w:color w:val="auto"/>
              </w:rPr>
              <w:t>3,596</w:t>
            </w:r>
          </w:p>
        </w:tc>
        <w:tc>
          <w:tcPr>
            <w:tcW w:w="16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4,934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5,023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40" w:type="dxa"/>
            <w:vAlign w:val="bottom"/>
            <w:gridSpan w:val="3"/>
          </w:tcPr>
          <w:p>
            <w:pPr>
              <w:ind w:left="20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8"/>
              <w:spacing w:after="0"/>
              <w:rPr>
                <w:sz w:val="20"/>
                <w:szCs w:val="20"/>
                <w:color w:val="auto"/>
              </w:rPr>
            </w:pPr>
            <w:r>
              <w:rPr>
                <w:rFonts w:ascii="Arial" w:cs="Arial" w:eastAsia="Arial" w:hAnsi="Arial"/>
                <w:sz w:val="18"/>
                <w:szCs w:val="18"/>
                <w:color w:val="auto"/>
              </w:rPr>
              <w:t>8,619</w:t>
            </w:r>
          </w:p>
        </w:tc>
        <w:tc>
          <w:tcPr>
            <w:tcW w:w="3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9,739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4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3,467</w:t>
            </w:r>
          </w:p>
        </w:tc>
        <w:tc>
          <w:tcPr>
            <w:tcW w:w="3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8"/>
                <w:szCs w:val="18"/>
                <w:color w:val="auto"/>
                <w:w w:val="98"/>
              </w:rPr>
              <w:t>14,856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14,602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4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8"/>
              </w:rPr>
              <w:t>18,323</w:t>
            </w:r>
          </w:p>
        </w:tc>
        <w:tc>
          <w:tcPr>
            <w:tcW w:w="3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17,599</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Total deficit</w:t>
            </w:r>
          </w:p>
        </w:tc>
        <w:tc>
          <w:tcPr>
            <w:tcW w:w="2240" w:type="dxa"/>
            <w:vAlign w:val="bottom"/>
            <w:gridSpan w:val="3"/>
          </w:tcPr>
          <w:p>
            <w:pPr>
              <w:ind w:left="20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(9,704)</w:t>
            </w:r>
          </w:p>
        </w:tc>
        <w:tc>
          <w:tcPr>
            <w:tcW w:w="3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(7,860)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20" w:type="dxa"/>
            <w:vAlign w:val="bottom"/>
            <w:vMerge w:val="restart"/>
          </w:tcPr>
          <w:p>
            <w:pPr>
              <w:jc w:val="right"/>
              <w:ind w:right="49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420" w:type="dxa"/>
            <w:vAlign w:val="bottom"/>
            <w:tcBorders>
              <w:bottom w:val="single" w:sz="8" w:color="9A9A9A"/>
            </w:tcBorders>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420" w:type="dxa"/>
            <w:vAlign w:val="bottom"/>
            <w:tcBorders>
              <w:bottom w:val="single" w:sz="8" w:color="EEEEEE"/>
            </w:tcBorders>
          </w:tcPr>
          <w:p>
            <w:pPr>
              <w:spacing w:after="0" w:line="20" w:lineRule="exact"/>
              <w:rPr>
                <w:sz w:val="1"/>
                <w:szCs w:val="1"/>
                <w:color w:val="auto"/>
              </w:rPr>
            </w:pPr>
          </w:p>
        </w:tc>
        <w:tc>
          <w:tcPr>
            <w:tcW w:w="1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-1431290</wp:posOffset>
            </wp:positionV>
            <wp:extent cx="475107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-831215</wp:posOffset>
            </wp:positionV>
            <wp:extent cx="4751070"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4160" w:type="dxa"/>
            <w:vAlign w:val="bottom"/>
            <w:gridSpan w:val="3"/>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4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For the year ended</w:t>
            </w: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Statements of Operations – Print Direction, Inc.</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4"/>
          </w:tcPr>
          <w:p>
            <w:pPr>
              <w:jc w:val="center"/>
              <w:ind w:right="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4160" w:type="dxa"/>
            <w:vAlign w:val="bottom"/>
            <w:tcBorders>
              <w:bottom w:val="single" w:sz="8" w:color="auto"/>
            </w:tcBorders>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16,357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17,637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3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22,553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7,221</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8,994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60" w:type="dxa"/>
            <w:vAlign w:val="bottom"/>
            <w:gridSpan w:val="2"/>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9,136</w:t>
            </w:r>
          </w:p>
        </w:tc>
        <w:tc>
          <w:tcPr>
            <w:tcW w:w="80" w:type="dxa"/>
            <w:vAlign w:val="bottom"/>
          </w:tcPr>
          <w:p>
            <w:pPr>
              <w:spacing w:after="0"/>
              <w:rPr>
                <w:sz w:val="18"/>
                <w:szCs w:val="18"/>
                <w:color w:val="auto"/>
              </w:rPr>
            </w:pPr>
          </w:p>
        </w:tc>
        <w:tc>
          <w:tcPr>
            <w:tcW w:w="320" w:type="dxa"/>
            <w:vAlign w:val="bottom"/>
            <w:gridSpan w:val="5"/>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10,209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3"/>
          </w:tcPr>
          <w:p>
            <w:pPr>
              <w:jc w:val="right"/>
              <w:ind w:right="34"/>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13,559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6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12,315</w:t>
            </w:r>
          </w:p>
        </w:tc>
        <w:tc>
          <w:tcPr>
            <w:tcW w:w="8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11,544</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13,455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(1,335)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60" w:type="dxa"/>
            <w:vAlign w:val="bottom"/>
            <w:gridSpan w:val="2"/>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(1,844)</w:t>
            </w:r>
          </w:p>
        </w:tc>
        <w:tc>
          <w:tcPr>
            <w:tcW w:w="80" w:type="dxa"/>
            <w:vAlign w:val="bottom"/>
          </w:tcPr>
          <w:p>
            <w:pPr>
              <w:spacing w:after="0"/>
              <w:rPr>
                <w:sz w:val="18"/>
                <w:szCs w:val="18"/>
                <w:color w:val="auto"/>
              </w:rPr>
            </w:pPr>
          </w:p>
        </w:tc>
        <w:tc>
          <w:tcPr>
            <w:tcW w:w="320" w:type="dxa"/>
            <w:vAlign w:val="bottom"/>
            <w:gridSpan w:val="5"/>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(563)</w:t>
            </w:r>
          </w:p>
        </w:tc>
        <w:tc>
          <w:tcPr>
            <w:tcW w:w="40" w:type="dxa"/>
            <w:vAlign w:val="bottom"/>
          </w:tcPr>
          <w:p>
            <w:pPr>
              <w:spacing w:after="0"/>
              <w:rPr>
                <w:sz w:val="18"/>
                <w:szCs w:val="18"/>
                <w:color w:val="auto"/>
              </w:rPr>
            </w:pPr>
          </w:p>
        </w:tc>
        <w:tc>
          <w:tcPr>
            <w:tcW w:w="360" w:type="dxa"/>
            <w:vAlign w:val="bottom"/>
            <w:gridSpan w:val="3"/>
          </w:tcPr>
          <w:p>
            <w:pPr>
              <w:jc w:val="right"/>
              <w:ind w:right="34"/>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9"/>
              </w:rPr>
              <w:t>As of</w:t>
            </w: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Sheet – Navis Holdings, Inc.</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416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3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5"/>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8,454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3"/>
          </w:tcPr>
          <w:p>
            <w:pPr>
              <w:jc w:val="right"/>
              <w:ind w:right="34"/>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8,963</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7,017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6,926</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40" w:type="dxa"/>
            <w:vAlign w:val="bottom"/>
            <w:tcBorders>
              <w:right w:val="single" w:sz="8" w:color="CCEEFF"/>
            </w:tcBorders>
          </w:tcPr>
          <w:p>
            <w:pPr>
              <w:spacing w:after="0"/>
              <w:rPr>
                <w:sz w:val="20"/>
                <w:szCs w:val="20"/>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120" w:type="dxa"/>
            <w:vAlign w:val="bottom"/>
            <w:tcBorders>
              <w:lef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180" w:type="dxa"/>
            <w:vAlign w:val="bottom"/>
            <w:tcBorders>
              <w:left w:val="single" w:sz="8" w:color="CCEEFF"/>
            </w:tcBorders>
            <w:shd w:val="clear" w:color="auto" w:fill="CCEEFF"/>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Total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5"/>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(1,021)</w:t>
            </w:r>
          </w:p>
        </w:tc>
        <w:tc>
          <w:tcPr>
            <w:tcW w:w="40" w:type="dxa"/>
            <w:vAlign w:val="bottom"/>
          </w:tcPr>
          <w:p>
            <w:pPr>
              <w:spacing w:after="0"/>
              <w:rPr>
                <w:sz w:val="18"/>
                <w:szCs w:val="18"/>
                <w:color w:val="auto"/>
              </w:rPr>
            </w:pPr>
          </w:p>
        </w:tc>
        <w:tc>
          <w:tcPr>
            <w:tcW w:w="360" w:type="dxa"/>
            <w:vAlign w:val="bottom"/>
            <w:gridSpan w:val="3"/>
          </w:tcPr>
          <w:p>
            <w:pPr>
              <w:jc w:val="right"/>
              <w:ind w:right="34"/>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(1,039)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For the year ended</w:t>
            </w: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Statements of Operations – Navis Holdings, Inc.</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416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17,803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17,076</w:t>
            </w: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80" w:type="dxa"/>
            <w:vAlign w:val="bottom"/>
          </w:tcPr>
          <w:p>
            <w:pPr>
              <w:jc w:val="right"/>
              <w:ind w:right="3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16,114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10,933</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11,087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10,444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300" w:type="dxa"/>
            <w:vAlign w:val="bottom"/>
            <w:gridSpan w:val="4"/>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6,870</w:t>
            </w:r>
          </w:p>
        </w:tc>
        <w:tc>
          <w:tcPr>
            <w:tcW w:w="80" w:type="dxa"/>
            <w:vAlign w:val="bottom"/>
          </w:tcPr>
          <w:p>
            <w:pPr>
              <w:spacing w:after="0"/>
              <w:rPr>
                <w:sz w:val="18"/>
                <w:szCs w:val="18"/>
                <w:color w:val="auto"/>
              </w:rPr>
            </w:pPr>
          </w:p>
        </w:tc>
        <w:tc>
          <w:tcPr>
            <w:tcW w:w="320" w:type="dxa"/>
            <w:vAlign w:val="bottom"/>
            <w:gridSpan w:val="5"/>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5,989</w:t>
            </w:r>
          </w:p>
        </w:tc>
        <w:tc>
          <w:tcPr>
            <w:tcW w:w="40" w:type="dxa"/>
            <w:vAlign w:val="bottom"/>
          </w:tcPr>
          <w:p>
            <w:pPr>
              <w:spacing w:after="0"/>
              <w:rPr>
                <w:sz w:val="18"/>
                <w:szCs w:val="18"/>
                <w:color w:val="auto"/>
              </w:rPr>
            </w:pPr>
          </w:p>
        </w:tc>
        <w:tc>
          <w:tcPr>
            <w:tcW w:w="360" w:type="dxa"/>
            <w:vAlign w:val="bottom"/>
            <w:gridSpan w:val="3"/>
          </w:tcPr>
          <w:p>
            <w:pPr>
              <w:jc w:val="right"/>
              <w:ind w:right="34"/>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5,670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8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5,414</w:t>
            </w: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1,882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697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4"/>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c>
          <w:tcPr>
            <w:tcW w:w="320" w:type="dxa"/>
            <w:vAlign w:val="bottom"/>
            <w:gridSpan w:val="5"/>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c>
          <w:tcPr>
            <w:tcW w:w="360" w:type="dxa"/>
            <w:vAlign w:val="bottom"/>
            <w:gridSpan w:val="3"/>
          </w:tcPr>
          <w:p>
            <w:pPr>
              <w:jc w:val="right"/>
              <w:ind w:right="34"/>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9"/>
              </w:rPr>
              <w:t>As of</w:t>
            </w: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Sheet – On-Site Fuel Service, Inc.</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416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140"/>
              <w:spacing w:after="0"/>
              <w:rPr>
                <w:sz w:val="20"/>
                <w:szCs w:val="20"/>
                <w:color w:val="auto"/>
              </w:rPr>
            </w:pPr>
            <w:r>
              <w:rPr>
                <w:rFonts w:ascii="Arial" w:cs="Arial" w:eastAsia="Arial" w:hAnsi="Arial"/>
                <w:sz w:val="18"/>
                <w:szCs w:val="18"/>
                <w:color w:val="auto"/>
                <w:w w:val="76"/>
              </w:rPr>
              <w:t>12,151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3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8,112</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6"/>
              </w:rPr>
              <w:t>17,644</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16,036</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5"/>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140"/>
              <w:spacing w:after="0"/>
              <w:rPr>
                <w:sz w:val="20"/>
                <w:szCs w:val="20"/>
                <w:color w:val="auto"/>
              </w:rPr>
            </w:pPr>
            <w:r>
              <w:rPr>
                <w:rFonts w:ascii="Arial" w:cs="Arial" w:eastAsia="Arial" w:hAnsi="Arial"/>
                <w:sz w:val="18"/>
                <w:szCs w:val="18"/>
                <w:color w:val="auto"/>
                <w:w w:val="76"/>
              </w:rPr>
              <w:t>29,795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3"/>
          </w:tcPr>
          <w:p>
            <w:pPr>
              <w:jc w:val="right"/>
              <w:ind w:right="34"/>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24,148</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6"/>
              </w:rPr>
              <w:t>17,911</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Arial" w:cs="Arial" w:eastAsia="Arial" w:hAnsi="Arial"/>
                <w:sz w:val="18"/>
                <w:szCs w:val="18"/>
                <w:color w:val="auto"/>
                <w:w w:val="76"/>
              </w:rPr>
              <w:t>17,929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16,906</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40" w:type="dxa"/>
            <w:vAlign w:val="bottom"/>
            <w:tcBorders>
              <w:right w:val="single" w:sz="8" w:color="CCEEFF"/>
            </w:tcBorders>
          </w:tcPr>
          <w:p>
            <w:pPr>
              <w:spacing w:after="0"/>
              <w:rPr>
                <w:sz w:val="20"/>
                <w:szCs w:val="20"/>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6"/>
              </w:rPr>
              <w:t>35,840</w:t>
            </w:r>
          </w:p>
        </w:tc>
        <w:tc>
          <w:tcPr>
            <w:tcW w:w="120" w:type="dxa"/>
            <w:vAlign w:val="bottom"/>
            <w:tcBorders>
              <w:lef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26,158</w:t>
            </w:r>
          </w:p>
        </w:tc>
        <w:tc>
          <w:tcPr>
            <w:tcW w:w="180" w:type="dxa"/>
            <w:vAlign w:val="bottom"/>
            <w:tcBorders>
              <w:left w:val="single" w:sz="8" w:color="CCEEFF"/>
            </w:tcBorders>
            <w:shd w:val="clear" w:color="auto" w:fill="CCEEFF"/>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Total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5"/>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w w:val="94"/>
              </w:rPr>
              <w:t>(6,045)</w:t>
            </w:r>
          </w:p>
        </w:tc>
        <w:tc>
          <w:tcPr>
            <w:tcW w:w="40" w:type="dxa"/>
            <w:vAlign w:val="bottom"/>
          </w:tcPr>
          <w:p>
            <w:pPr>
              <w:spacing w:after="0"/>
              <w:rPr>
                <w:sz w:val="18"/>
                <w:szCs w:val="18"/>
                <w:color w:val="auto"/>
              </w:rPr>
            </w:pPr>
          </w:p>
        </w:tc>
        <w:tc>
          <w:tcPr>
            <w:tcW w:w="360" w:type="dxa"/>
            <w:vAlign w:val="bottom"/>
            <w:gridSpan w:val="3"/>
          </w:tcPr>
          <w:p>
            <w:pPr>
              <w:jc w:val="right"/>
              <w:ind w:right="34"/>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(2,010)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For the year ended</w:t>
            </w: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Statements of Operations – On-Site Fuel Service, Inc.</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41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sales</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107,776</w:t>
            </w: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14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114,137</w:t>
            </w:r>
          </w:p>
        </w:tc>
        <w:tc>
          <w:tcPr>
            <w:tcW w:w="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189,778</w:t>
            </w:r>
          </w:p>
        </w:tc>
        <w:tc>
          <w:tcPr>
            <w:tcW w:w="18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102,679</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106,668</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180,528</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60" w:type="dxa"/>
            <w:vAlign w:val="bottom"/>
            <w:gridSpan w:val="2"/>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5"/>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3"/>
          </w:tcPr>
          <w:p>
            <w:pPr>
              <w:jc w:val="right"/>
              <w:ind w:right="74"/>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9,250</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6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5"/>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14,589</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Arial" w:cs="Arial" w:eastAsia="Arial" w:hAnsi="Arial"/>
                <w:sz w:val="18"/>
                <w:szCs w:val="18"/>
                <w:color w:val="auto"/>
                <w:w w:val="73"/>
              </w:rPr>
              <w:t>(6,123)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(5,339)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(4,035)</w:t>
            </w:r>
          </w:p>
        </w:tc>
        <w:tc>
          <w:tcPr>
            <w:tcW w:w="80" w:type="dxa"/>
            <w:vAlign w:val="bottom"/>
          </w:tcPr>
          <w:p>
            <w:pPr>
              <w:spacing w:after="0"/>
              <w:rPr>
                <w:sz w:val="18"/>
                <w:szCs w:val="18"/>
                <w:color w:val="auto"/>
              </w:rPr>
            </w:pPr>
          </w:p>
        </w:tc>
        <w:tc>
          <w:tcPr>
            <w:tcW w:w="320" w:type="dxa"/>
            <w:vAlign w:val="bottom"/>
            <w:gridSpan w:val="5"/>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tcPr>
          <w:p>
            <w:pPr>
              <w:ind w:left="140"/>
              <w:spacing w:after="0"/>
              <w:rPr>
                <w:sz w:val="20"/>
                <w:szCs w:val="20"/>
                <w:color w:val="auto"/>
              </w:rPr>
            </w:pPr>
            <w:r>
              <w:rPr>
                <w:rFonts w:ascii="Arial" w:cs="Arial" w:eastAsia="Arial" w:hAnsi="Arial"/>
                <w:sz w:val="18"/>
                <w:szCs w:val="18"/>
                <w:color w:val="auto"/>
                <w:w w:val="73"/>
              </w:rPr>
              <w:t>(8,090)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3"/>
          </w:tcPr>
          <w:p>
            <w:pPr>
              <w:jc w:val="right"/>
              <w:ind w:right="74"/>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(3,513)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232"/>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26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26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-7322820</wp:posOffset>
            </wp:positionV>
            <wp:extent cx="475107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-6757035</wp:posOffset>
            </wp:positionV>
            <wp:extent cx="4751070" cy="180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-5865495</wp:posOffset>
            </wp:positionV>
            <wp:extent cx="4751070" cy="1803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-5264785</wp:posOffset>
            </wp:positionV>
            <wp:extent cx="4751070" cy="205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-4347210</wp:posOffset>
            </wp:positionV>
            <wp:extent cx="475107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-3781425</wp:posOffset>
            </wp:positionV>
            <wp:extent cx="4751070" cy="1803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-2889250</wp:posOffset>
            </wp:positionV>
            <wp:extent cx="4751070" cy="180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-2289175</wp:posOffset>
            </wp:positionV>
            <wp:extent cx="4751070"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-1371600</wp:posOffset>
            </wp:positionV>
            <wp:extent cx="475107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-805180</wp:posOffset>
            </wp:positionV>
            <wp:extent cx="4751070" cy="1803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-8009255</wp:posOffset>
            </wp:positionV>
            <wp:extent cx="47421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4218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-6551295</wp:posOffset>
            </wp:positionV>
            <wp:extent cx="47510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-5033645</wp:posOffset>
            </wp:positionV>
            <wp:extent cx="47421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4218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-3575685</wp:posOffset>
            </wp:positionV>
            <wp:extent cx="47510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-2057400</wp:posOffset>
            </wp:positionV>
            <wp:extent cx="47250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ectPr>
          <w:pgSz w:w="11900" w:h="16838" w:orient="portrait"/>
          <w:cols w:equalWidth="0" w:num="1">
            <w:col w:w="10219"/>
          </w:cols>
          <w:pgMar w:left="240" w:top="789"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4200" w:type="dxa"/>
            <w:vAlign w:val="bottom"/>
            <w:gridSpan w:val="4"/>
          </w:tcPr>
          <w:p>
            <w:pPr>
              <w:ind w:left="2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As of</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Balance Sheet – CableOrganizer Holdings, LLC</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6"/>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0" w:type="dxa"/>
            <w:vAlign w:val="bottom"/>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71"/>
        </w:trPr>
        <w:tc>
          <w:tcPr>
            <w:tcW w:w="420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gridSpan w:val="4"/>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5,837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11,402</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4"/>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17,239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4"/>
          </w:tcPr>
          <w:p>
            <w:pPr>
              <w:ind w:left="2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tcBorders>
              <w:right w:val="single" w:sz="8" w:color="CCEEFF"/>
            </w:tcBorders>
            <w:gridSpan w:val="2"/>
            <w:shd w:val="clear" w:color="auto" w:fill="CCEEFF"/>
          </w:tcPr>
          <w:p>
            <w:pPr>
              <w:spacing w:after="0"/>
              <w:rPr>
                <w:sz w:val="20"/>
                <w:szCs w:val="20"/>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8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14,119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4"/>
          </w:tcPr>
          <w:p>
            <w:pPr>
              <w:ind w:left="20"/>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5"/>
              </w:rPr>
              <w:t>For the year ended</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Statements of Operations – CableOrganizer Holdings, LLC</w:t>
            </w:r>
          </w:p>
        </w:tc>
        <w:tc>
          <w:tcPr>
            <w:tcW w:w="9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6"/>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1"/>
        </w:trPr>
        <w:tc>
          <w:tcPr>
            <w:tcW w:w="420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23,277</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25,315</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20,887</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15,716</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16,874</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13,486</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4"/>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7,561</w:t>
            </w:r>
          </w:p>
        </w:tc>
        <w:tc>
          <w:tcPr>
            <w:tcW w:w="4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9,021</w:t>
            </w:r>
          </w:p>
        </w:tc>
        <w:tc>
          <w:tcPr>
            <w:tcW w:w="40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4"/>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3"/>
          </w:tcPr>
          <w:p>
            <w:pPr>
              <w:jc w:val="right"/>
              <w:ind w:right="8"/>
              <w:spacing w:after="0"/>
              <w:rPr>
                <w:sz w:val="20"/>
                <w:szCs w:val="20"/>
                <w:color w:val="auto"/>
              </w:rPr>
            </w:pPr>
            <w:r>
              <w:rPr>
                <w:rFonts w:ascii="Arial" w:cs="Arial" w:eastAsia="Arial" w:hAnsi="Arial"/>
                <w:sz w:val="18"/>
                <w:szCs w:val="18"/>
                <w:color w:val="auto"/>
              </w:rPr>
              <w:t>(1,571)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4"/>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(1,460)</w:t>
            </w:r>
          </w:p>
        </w:tc>
        <w:tc>
          <w:tcPr>
            <w:tcW w:w="4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8"/>
              <w:spacing w:after="0"/>
              <w:rPr>
                <w:sz w:val="20"/>
                <w:szCs w:val="20"/>
                <w:color w:val="auto"/>
              </w:rPr>
            </w:pPr>
            <w:r>
              <w:rPr>
                <w:rFonts w:ascii="Arial" w:cs="Arial" w:eastAsia="Arial" w:hAnsi="Arial"/>
                <w:sz w:val="18"/>
                <w:szCs w:val="18"/>
                <w:color w:val="auto"/>
              </w:rPr>
              <w:t>(1,571)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4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Balance Sheet – Eastport Holdings, LLC</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20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106,388</w:t>
            </w:r>
          </w:p>
        </w:tc>
        <w:tc>
          <w:tcPr>
            <w:tcW w:w="0" w:type="dxa"/>
            <w:vAlign w:val="bottom"/>
          </w:tcPr>
          <w:p>
            <w:pPr>
              <w:spacing w:after="0"/>
              <w:rPr>
                <w:sz w:val="1"/>
                <w:szCs w:val="1"/>
                <w:color w:val="auto"/>
              </w:rPr>
            </w:pPr>
          </w:p>
        </w:tc>
      </w:tr>
      <w:tr>
        <w:trPr>
          <w:trHeight w:val="216"/>
        </w:trPr>
        <w:tc>
          <w:tcPr>
            <w:tcW w:w="4200" w:type="dxa"/>
            <w:vAlign w:val="bottom"/>
            <w:gridSpan w:val="4"/>
          </w:tcPr>
          <w:p>
            <w:pPr>
              <w:ind w:left="20"/>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148,704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255,092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4"/>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157,393</w:t>
            </w:r>
          </w:p>
        </w:tc>
        <w:tc>
          <w:tcPr>
            <w:tcW w:w="0" w:type="dxa"/>
            <w:vAlign w:val="bottom"/>
          </w:tcPr>
          <w:p>
            <w:pPr>
              <w:spacing w:after="0"/>
              <w:rPr>
                <w:sz w:val="1"/>
                <w:szCs w:val="1"/>
                <w:color w:val="auto"/>
              </w:rPr>
            </w:pPr>
          </w:p>
        </w:tc>
      </w:tr>
      <w:tr>
        <w:trPr>
          <w:trHeight w:val="216"/>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52,044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4"/>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209,437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45,655</w:t>
            </w:r>
          </w:p>
        </w:tc>
        <w:tc>
          <w:tcPr>
            <w:tcW w:w="0" w:type="dxa"/>
            <w:vAlign w:val="bottom"/>
          </w:tcPr>
          <w:p>
            <w:pPr>
              <w:spacing w:after="0"/>
              <w:rPr>
                <w:sz w:val="1"/>
                <w:szCs w:val="1"/>
                <w:color w:val="auto"/>
              </w:rPr>
            </w:pPr>
          </w:p>
        </w:tc>
      </w:tr>
      <w:tr>
        <w:trPr>
          <w:trHeight w:val="281"/>
        </w:trPr>
        <w:tc>
          <w:tcPr>
            <w:tcW w:w="2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spacing w:after="0"/>
              <w:rPr>
                <w:sz w:val="24"/>
                <w:szCs w:val="24"/>
                <w:color w:val="auto"/>
              </w:rPr>
            </w:pPr>
          </w:p>
        </w:tc>
        <w:tc>
          <w:tcPr>
            <w:tcW w:w="24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For the</w:t>
            </w: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year ended</w:t>
            </w:r>
          </w:p>
        </w:tc>
        <w:tc>
          <w:tcPr>
            <w:tcW w:w="0" w:type="dxa"/>
            <w:vAlign w:val="bottom"/>
          </w:tcPr>
          <w:p>
            <w:pPr>
              <w:spacing w:after="0"/>
              <w:rPr>
                <w:sz w:val="1"/>
                <w:szCs w:val="1"/>
                <w:color w:val="auto"/>
              </w:rPr>
            </w:pPr>
          </w:p>
        </w:tc>
      </w:tr>
      <w:tr>
        <w:trPr>
          <w:trHeight w:val="149"/>
        </w:trPr>
        <w:tc>
          <w:tcPr>
            <w:tcW w:w="4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Statement of Operations – Eastport Holdings, LLC</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20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552,004</w:t>
            </w:r>
          </w:p>
        </w:tc>
        <w:tc>
          <w:tcPr>
            <w:tcW w:w="0" w:type="dxa"/>
            <w:vAlign w:val="bottom"/>
          </w:tcPr>
          <w:p>
            <w:pPr>
              <w:spacing w:after="0"/>
              <w:rPr>
                <w:sz w:val="1"/>
                <w:szCs w:val="1"/>
                <w:color w:val="auto"/>
              </w:rPr>
            </w:pPr>
          </w:p>
        </w:tc>
      </w:tr>
      <w:tr>
        <w:trPr>
          <w:trHeight w:val="216"/>
        </w:trPr>
        <w:tc>
          <w:tcPr>
            <w:tcW w:w="4200" w:type="dxa"/>
            <w:vAlign w:val="bottom"/>
            <w:gridSpan w:val="4"/>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429,089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122,915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4"/>
          </w:tcPr>
          <w:p>
            <w:pPr>
              <w:ind w:left="2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108,822</w:t>
            </w:r>
          </w:p>
        </w:tc>
        <w:tc>
          <w:tcPr>
            <w:tcW w:w="0" w:type="dxa"/>
            <w:vAlign w:val="bottom"/>
          </w:tcPr>
          <w:p>
            <w:pPr>
              <w:spacing w:after="0"/>
              <w:rPr>
                <w:sz w:val="1"/>
                <w:szCs w:val="1"/>
                <w:color w:val="auto"/>
              </w:rPr>
            </w:pPr>
          </w:p>
        </w:tc>
      </w:tr>
      <w:tr>
        <w:trPr>
          <w:trHeight w:val="216"/>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14,093</w:t>
            </w:r>
          </w:p>
        </w:tc>
        <w:tc>
          <w:tcPr>
            <w:tcW w:w="0" w:type="dxa"/>
            <w:vAlign w:val="bottom"/>
          </w:tcPr>
          <w:p>
            <w:pPr>
              <w:spacing w:after="0"/>
              <w:rPr>
                <w:sz w:val="1"/>
                <w:szCs w:val="1"/>
                <w:color w:val="auto"/>
              </w:rPr>
            </w:pPr>
          </w:p>
        </w:tc>
      </w:tr>
      <w:tr>
        <w:trPr>
          <w:trHeight w:val="216"/>
        </w:trPr>
        <w:tc>
          <w:tcPr>
            <w:tcW w:w="4200" w:type="dxa"/>
            <w:vAlign w:val="bottom"/>
            <w:gridSpan w:val="4"/>
          </w:tcPr>
          <w:p>
            <w:pPr>
              <w:ind w:left="2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-5222240</wp:posOffset>
            </wp:positionV>
            <wp:extent cx="4751070" cy="1803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-4621530</wp:posOffset>
            </wp:positionV>
            <wp:extent cx="4751070" cy="2057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-3703955</wp:posOffset>
            </wp:positionV>
            <wp:extent cx="475107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-3138170</wp:posOffset>
            </wp:positionV>
            <wp:extent cx="4751070" cy="1803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-2143125</wp:posOffset>
            </wp:positionV>
            <wp:extent cx="475107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-1834515</wp:posOffset>
            </wp:positionV>
            <wp:extent cx="475107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-1543050</wp:posOffset>
            </wp:positionV>
            <wp:extent cx="475107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-599440</wp:posOffset>
            </wp:positionV>
            <wp:extent cx="4751070" cy="146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-5908040</wp:posOffset>
            </wp:positionV>
            <wp:extent cx="47421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4218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-4390390</wp:posOffset>
            </wp:positionV>
            <wp:extent cx="47510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-2932430</wp:posOffset>
            </wp:positionV>
            <wp:extent cx="47510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-1482725</wp:posOffset>
            </wp:positionV>
            <wp:extent cx="47510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left="60" w:right="1219" w:firstLine="270"/>
        <w:spacing w:after="0" w:line="277"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distributions to our shareholders, and repay indebtedness.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September 30, 2013, we issued 4,000,000 shares at $20.00 per share in our IPO, yielding net proceeds of $74.25 million.</w:t>
      </w:r>
    </w:p>
    <w:p>
      <w:pPr>
        <w:spacing w:after="0" w:line="140" w:lineRule="exact"/>
        <w:rPr>
          <w:sz w:val="20"/>
          <w:szCs w:val="20"/>
          <w:color w:val="auto"/>
        </w:rPr>
      </w:pPr>
    </w:p>
    <w:p>
      <w:pPr>
        <w:ind w:left="60" w:right="559" w:firstLine="270"/>
        <w:spacing w:after="0" w:line="264" w:lineRule="auto"/>
        <w:rPr>
          <w:sz w:val="20"/>
          <w:szCs w:val="20"/>
          <w:color w:val="auto"/>
        </w:rPr>
      </w:pPr>
      <w:r>
        <w:rPr>
          <w:rFonts w:ascii="Arial" w:cs="Arial" w:eastAsia="Arial" w:hAnsi="Arial"/>
          <w:sz w:val="18"/>
          <w:szCs w:val="18"/>
          <w:color w:val="auto"/>
        </w:rPr>
        <w:t>On June 16, 2014, we issued $113.4 million in aggregate principal amount of 7.125% fixed-rate notes (the “Notes”), yielding net proceeds of $109.1 million after underwriting costs. The Notes will mature on June 16, 2021, and may be redeemed in whole or in part at any time or from time to time at our option on or</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93" w:name="page94"/>
    <w:bookmarkEnd w:id="93"/>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679"/>
        <w:spacing w:after="0" w:line="259" w:lineRule="auto"/>
        <w:rPr>
          <w:sz w:val="20"/>
          <w:szCs w:val="20"/>
          <w:color w:val="auto"/>
        </w:rPr>
      </w:pPr>
      <w:r>
        <w:rPr>
          <w:rFonts w:ascii="Arial" w:cs="Arial" w:eastAsia="Arial" w:hAnsi="Arial"/>
          <w:sz w:val="18"/>
          <w:szCs w:val="18"/>
          <w:color w:val="auto"/>
        </w:rPr>
        <w:t>after June 17, 2017 at a redemption price equal to 100% of the outstanding principal, plus accrued and unpaid interest. The notes bear interest at a rate of 7.125% per year payable quarterly on March 16, June 16, September 16, and December 16 of each year, beginning on September 16, 2014. The Notes are listed on the New York Stock Exchange under the trading symbol “CLA” with a par value $25.00 per share.</w:t>
      </w:r>
    </w:p>
    <w:p>
      <w:pPr>
        <w:spacing w:after="0" w:line="79" w:lineRule="exact"/>
        <w:rPr>
          <w:sz w:val="20"/>
          <w:szCs w:val="20"/>
          <w:color w:val="auto"/>
        </w:rPr>
      </w:pPr>
    </w:p>
    <w:p>
      <w:pPr>
        <w:ind w:left="180" w:right="599" w:firstLine="270"/>
        <w:spacing w:after="0" w:line="257" w:lineRule="auto"/>
        <w:rPr>
          <w:sz w:val="20"/>
          <w:szCs w:val="20"/>
          <w:color w:val="auto"/>
        </w:rPr>
      </w:pPr>
      <w:r>
        <w:rPr>
          <w:rFonts w:ascii="Arial" w:cs="Arial" w:eastAsia="Arial" w:hAnsi="Arial"/>
          <w:sz w:val="18"/>
          <w:szCs w:val="18"/>
          <w:color w:val="auto"/>
        </w:rPr>
        <w:t>On October 17, 2014, we entered into a senior secured revolving credit agreement (the “Credit Facility”) with ING Capital, LLC, as administrative agent, arranger, and bookrunner, and the lenders party thereto. The Credit Facility initially provides for borrowings up to $120.0 million and may be increased up to $150.0 million pursuant to its “accordion” feature. The Credit Facility matures on October 17, 2018. As of December 31, 2016, we had $44.0 million outstanding and $76.0 million available under the Credit Facility.</w:t>
      </w:r>
    </w:p>
    <w:p>
      <w:pPr>
        <w:spacing w:after="0" w:line="80" w:lineRule="exact"/>
        <w:rPr>
          <w:sz w:val="20"/>
          <w:szCs w:val="20"/>
          <w:color w:val="auto"/>
        </w:rPr>
      </w:pPr>
    </w:p>
    <w:p>
      <w:pPr>
        <w:ind w:left="180" w:right="559" w:firstLine="270"/>
        <w:spacing w:after="0" w:line="264" w:lineRule="auto"/>
        <w:rPr>
          <w:sz w:val="20"/>
          <w:szCs w:val="20"/>
          <w:color w:val="auto"/>
        </w:rPr>
      </w:pPr>
      <w:r>
        <w:rPr>
          <w:rFonts w:ascii="Arial" w:cs="Arial" w:eastAsia="Arial" w:hAnsi="Arial"/>
          <w:sz w:val="18"/>
          <w:szCs w:val="18"/>
          <w:color w:val="auto"/>
        </w:rPr>
        <w:t>On April 13, 2015, we completed an underwritten offering of 3,500,000 shares of its common stock at a public offering price of $18.32 per share. The total proceeds received in the offering net of underwriting discounts and offering costs were approximately $61.7 million.</w:t>
      </w:r>
    </w:p>
    <w:p>
      <w:pPr>
        <w:spacing w:after="0" w:line="73" w:lineRule="exact"/>
        <w:rPr>
          <w:sz w:val="20"/>
          <w:szCs w:val="20"/>
          <w:color w:val="auto"/>
        </w:rPr>
      </w:pPr>
    </w:p>
    <w:p>
      <w:pPr>
        <w:jc w:val="both"/>
        <w:ind w:left="180" w:right="619" w:firstLine="270"/>
        <w:spacing w:after="0" w:line="264" w:lineRule="auto"/>
        <w:rPr>
          <w:sz w:val="20"/>
          <w:szCs w:val="20"/>
          <w:color w:val="auto"/>
        </w:rPr>
      </w:pPr>
      <w:r>
        <w:rPr>
          <w:rFonts w:ascii="Arial" w:cs="Arial" w:eastAsia="Arial" w:hAnsi="Arial"/>
          <w:sz w:val="18"/>
          <w:szCs w:val="18"/>
          <w:color w:val="auto"/>
        </w:rPr>
        <w:t>Including the net proceeds from our IPO on September 30, 2013, we have raised approximately $245.0 million in net proceeds from debt and equity offerings and obtained credit availability through our Credit Facility of $120.0 million through December 31, 2016.</w:t>
      </w:r>
    </w:p>
    <w:p>
      <w:pPr>
        <w:spacing w:after="0" w:line="73" w:lineRule="exact"/>
        <w:rPr>
          <w:sz w:val="20"/>
          <w:szCs w:val="20"/>
          <w:color w:val="auto"/>
        </w:rPr>
      </w:pPr>
    </w:p>
    <w:p>
      <w:pPr>
        <w:ind w:left="180" w:right="539" w:firstLine="270"/>
        <w:spacing w:after="0" w:line="271" w:lineRule="auto"/>
        <w:rPr>
          <w:sz w:val="20"/>
          <w:szCs w:val="20"/>
          <w:color w:val="auto"/>
        </w:rPr>
      </w:pPr>
      <w:r>
        <w:rPr>
          <w:rFonts w:ascii="Arial" w:cs="Arial" w:eastAsia="Arial" w:hAnsi="Arial"/>
          <w:sz w:val="17"/>
          <w:szCs w:val="17"/>
          <w:color w:val="auto"/>
        </w:rPr>
        <w:t>As of December 31, 2016, Fund II had $26.2 million in regulatory capital and $20.7 million in SBA-guaranteed debentures outstanding and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We intend to comply with the conditions of the order.</w:t>
      </w:r>
    </w:p>
    <w:p>
      <w:pPr>
        <w:spacing w:after="0" w:line="71" w:lineRule="exact"/>
        <w:rPr>
          <w:sz w:val="20"/>
          <w:szCs w:val="20"/>
          <w:color w:val="auto"/>
        </w:rPr>
      </w:pPr>
    </w:p>
    <w:p>
      <w:pPr>
        <w:ind w:left="180" w:right="1159" w:firstLine="270"/>
        <w:spacing w:after="0" w:line="391" w:lineRule="auto"/>
        <w:rPr>
          <w:sz w:val="20"/>
          <w:szCs w:val="20"/>
          <w:color w:val="auto"/>
        </w:rPr>
      </w:pPr>
      <w:r>
        <w:rPr>
          <w:rFonts w:ascii="Arial" w:cs="Arial" w:eastAsia="Arial" w:hAnsi="Arial"/>
          <w:sz w:val="18"/>
          <w:szCs w:val="18"/>
          <w:color w:val="auto"/>
        </w:rPr>
        <w:t xml:space="preserve">As of December 31, 2016, we had $36.3 million in cash and cash equivalents, and our net assets totaled $250.6 million. </w:t>
      </w:r>
      <w:r>
        <w:rPr>
          <w:rFonts w:ascii="Arial" w:cs="Arial" w:eastAsia="Arial" w:hAnsi="Arial"/>
          <w:sz w:val="18"/>
          <w:szCs w:val="18"/>
          <w:b w:val="1"/>
          <w:bCs w:val="1"/>
          <w:color w:val="auto"/>
        </w:rPr>
        <w:t>Contractual obligations</w:t>
      </w:r>
    </w:p>
    <w:p>
      <w:pPr>
        <w:spacing w:after="0" w:line="1" w:lineRule="exact"/>
        <w:rPr>
          <w:sz w:val="20"/>
          <w:szCs w:val="20"/>
          <w:color w:val="auto"/>
        </w:rPr>
      </w:pPr>
    </w:p>
    <w:p>
      <w:pPr>
        <w:jc w:val="both"/>
        <w:ind w:left="180" w:right="659" w:firstLine="270"/>
        <w:spacing w:after="0" w:line="288" w:lineRule="auto"/>
        <w:rPr>
          <w:sz w:val="20"/>
          <w:szCs w:val="20"/>
          <w:color w:val="auto"/>
        </w:rPr>
      </w:pPr>
      <w:r>
        <w:rPr>
          <w:rFonts w:ascii="Arial" w:cs="Arial" w:eastAsia="Arial" w:hAnsi="Arial"/>
          <w:sz w:val="16"/>
          <w:szCs w:val="16"/>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w:t>
      </w:r>
    </w:p>
    <w:p>
      <w:pPr>
        <w:ind w:left="180" w:right="559"/>
        <w:spacing w:after="0" w:line="255" w:lineRule="auto"/>
        <w:rPr>
          <w:sz w:val="20"/>
          <w:szCs w:val="20"/>
          <w:color w:val="auto"/>
        </w:rPr>
      </w:pPr>
      <w:r>
        <w:rPr>
          <w:rFonts w:ascii="Arial" w:cs="Arial" w:eastAsia="Arial" w:hAnsi="Arial"/>
          <w:sz w:val="18"/>
          <w:szCs w:val="18"/>
          <w:color w:val="auto"/>
        </w:rPr>
        <w:t>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82" w:lineRule="exact"/>
        <w:rPr>
          <w:sz w:val="20"/>
          <w:szCs w:val="20"/>
          <w:color w:val="auto"/>
        </w:rPr>
      </w:pPr>
    </w:p>
    <w:p>
      <w:pPr>
        <w:ind w:left="180" w:right="599" w:firstLine="270"/>
        <w:spacing w:after="0" w:line="276"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our significant contractual payment obligations as of December 31, 2016 are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55245</wp:posOffset>
            </wp:positionV>
            <wp:extent cx="51885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w w:val="92"/>
              </w:rPr>
              <w:t>Contractual Obligations Payments Due by Period</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7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w w:val="99"/>
              </w:rPr>
              <w:t>Less Than</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1 – 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3 – 5</w:t>
            </w:r>
          </w:p>
        </w:tc>
        <w:tc>
          <w:tcPr>
            <w:tcW w:w="220" w:type="dxa"/>
            <w:vAlign w:val="bottom"/>
          </w:tcPr>
          <w:p>
            <w:pPr>
              <w:spacing w:after="0"/>
              <w:rPr>
                <w:sz w:val="10"/>
                <w:szCs w:val="10"/>
                <w:color w:val="auto"/>
              </w:rPr>
            </w:pPr>
          </w:p>
        </w:tc>
        <w:tc>
          <w:tcPr>
            <w:tcW w:w="7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SBA Debentures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1 Year</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5 Years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7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80,700</w:t>
            </w:r>
          </w:p>
        </w:tc>
        <w:tc>
          <w:tcPr>
            <w:tcW w:w="2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$ 85,000</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170,700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113,438</w:t>
            </w:r>
          </w:p>
        </w:tc>
        <w:tc>
          <w:tcPr>
            <w:tcW w:w="2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113,438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Credit Facility</w:t>
            </w:r>
          </w:p>
        </w:tc>
        <w:tc>
          <w:tcPr>
            <w:tcW w:w="12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44,000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44,000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49,000</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194,138</w:t>
            </w:r>
          </w:p>
        </w:tc>
        <w:tc>
          <w:tcPr>
            <w:tcW w:w="9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$ 85,000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328,138</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7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94" w:name="page95"/>
    <w:bookmarkEnd w:id="94"/>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80" w:right="539" w:firstLine="270"/>
        <w:spacing w:after="0" w:line="253" w:lineRule="auto"/>
        <w:rPr>
          <w:sz w:val="20"/>
          <w:szCs w:val="20"/>
          <w:color w:val="auto"/>
        </w:rPr>
      </w:pPr>
      <w:r>
        <w:rPr>
          <w:rFonts w:ascii="Arial" w:cs="Arial" w:eastAsia="Arial" w:hAnsi="Arial"/>
          <w:sz w:val="18"/>
          <w:szCs w:val="18"/>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have income available, we have made and intend to make monthly distributions thereafter. Our monthly stockholder distributions, if any, will be determined by our Board on a quarterly basis. Any distribution to our stockholders will be declared out of assets legally available for distribution.</w:t>
      </w:r>
    </w:p>
    <w:p>
      <w:pPr>
        <w:spacing w:after="0" w:line="87" w:lineRule="exact"/>
        <w:rPr>
          <w:sz w:val="20"/>
          <w:szCs w:val="20"/>
          <w:color w:val="auto"/>
        </w:rPr>
      </w:pPr>
    </w:p>
    <w:p>
      <w:pPr>
        <w:ind w:left="180" w:right="679" w:firstLine="270"/>
        <w:spacing w:after="0" w:line="297"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50" w:lineRule="exact"/>
        <w:rPr>
          <w:sz w:val="20"/>
          <w:szCs w:val="20"/>
          <w:color w:val="auto"/>
        </w:rPr>
      </w:pPr>
    </w:p>
    <w:p>
      <w:pPr>
        <w:ind w:left="180" w:right="739" w:firstLine="270"/>
        <w:spacing w:after="0" w:line="276"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64" w:lineRule="exact"/>
        <w:rPr>
          <w:sz w:val="20"/>
          <w:szCs w:val="20"/>
          <w:color w:val="auto"/>
        </w:rPr>
      </w:pPr>
    </w:p>
    <w:p>
      <w:pPr>
        <w:jc w:val="both"/>
        <w:ind w:left="180" w:right="599" w:firstLine="270"/>
        <w:spacing w:after="0" w:line="288" w:lineRule="auto"/>
        <w:rPr>
          <w:sz w:val="20"/>
          <w:szCs w:val="20"/>
          <w:color w:val="auto"/>
        </w:rPr>
      </w:pPr>
      <w:r>
        <w:rPr>
          <w:rFonts w:ascii="Arial" w:cs="Arial" w:eastAsia="Arial" w:hAnsi="Arial"/>
          <w:sz w:val="16"/>
          <w:szCs w:val="16"/>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w:t>
      </w:r>
    </w:p>
    <w:p>
      <w:pPr>
        <w:jc w:val="both"/>
        <w:ind w:left="180" w:right="519"/>
        <w:spacing w:after="0" w:line="255" w:lineRule="auto"/>
        <w:rPr>
          <w:sz w:val="20"/>
          <w:szCs w:val="20"/>
          <w:color w:val="auto"/>
        </w:rPr>
      </w:pPr>
      <w:r>
        <w:rPr>
          <w:rFonts w:ascii="Arial" w:cs="Arial" w:eastAsia="Arial" w:hAnsi="Arial"/>
          <w:sz w:val="18"/>
          <w:szCs w:val="18"/>
          <w:color w:val="auto"/>
        </w:rPr>
        <w:t>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our distributions declared since the IPO through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510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6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9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Per Share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4, 2016</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22, 2016</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28, 2016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January 4,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February 19,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26, 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4, 2016</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22, 2016</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30, 2016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April 1,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April 22,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April 28, 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2016</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23, 2016</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30, 2016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April 1,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June 21,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June 29, 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2016</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22, 2016</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29, 2016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July 1,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August 22,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August 30, 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2016</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22, 2016</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29, 2016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September 22,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October 21,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October 28, 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22, 2016</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21, 2016</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September 22,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December 21,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December 29, 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29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Total Distributions Declared and</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20" w:type="dxa"/>
            <w:vAlign w:val="bottom"/>
          </w:tcPr>
          <w:p>
            <w:pPr>
              <w:spacing w:after="0"/>
              <w:rPr>
                <w:sz w:val="23"/>
                <w:szCs w:val="23"/>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Distributed</w:t>
            </w: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296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9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-668020</wp:posOffset>
            </wp:positionV>
            <wp:extent cx="475107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60" w:type="dxa"/>
            <w:vAlign w:val="bottom"/>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gridSpan w:val="2"/>
          </w:tcPr>
          <w:p>
            <w:pPr>
              <w:spacing w:after="0" w:line="195" w:lineRule="exact"/>
              <w:rPr>
                <w:sz w:val="20"/>
                <w:szCs w:val="20"/>
                <w:color w:val="auto"/>
              </w:rPr>
            </w:pPr>
            <w:r>
              <w:rPr>
                <w:rFonts w:ascii="Arial" w:cs="Arial" w:eastAsia="Arial" w:hAnsi="Arial"/>
                <w:sz w:val="18"/>
                <w:szCs w:val="18"/>
                <w:color w:val="auto"/>
              </w:rPr>
              <w:t>January 2, 2015</w:t>
            </w:r>
          </w:p>
        </w:tc>
        <w:tc>
          <w:tcPr>
            <w:tcW w:w="160" w:type="dxa"/>
            <w:vAlign w:val="bottom"/>
          </w:tcPr>
          <w:p>
            <w:pPr>
              <w:spacing w:after="0"/>
              <w:rPr>
                <w:sz w:val="16"/>
                <w:szCs w:val="16"/>
                <w:color w:val="auto"/>
              </w:rPr>
            </w:pPr>
          </w:p>
        </w:tc>
        <w:tc>
          <w:tcPr>
            <w:tcW w:w="1640" w:type="dxa"/>
            <w:vAlign w:val="bottom"/>
          </w:tcPr>
          <w:p>
            <w:pPr>
              <w:jc w:val="center"/>
              <w:spacing w:after="0" w:line="195" w:lineRule="exact"/>
              <w:rPr>
                <w:sz w:val="20"/>
                <w:szCs w:val="20"/>
                <w:color w:val="auto"/>
              </w:rPr>
            </w:pPr>
            <w:r>
              <w:rPr>
                <w:rFonts w:ascii="Arial" w:cs="Arial" w:eastAsia="Arial" w:hAnsi="Arial"/>
                <w:sz w:val="18"/>
                <w:szCs w:val="18"/>
                <w:color w:val="auto"/>
                <w:w w:val="89"/>
              </w:rPr>
              <w:t>January 22, 2015</w:t>
            </w:r>
          </w:p>
        </w:tc>
        <w:tc>
          <w:tcPr>
            <w:tcW w:w="160" w:type="dxa"/>
            <w:vAlign w:val="bottom"/>
          </w:tcPr>
          <w:p>
            <w:pPr>
              <w:spacing w:after="0"/>
              <w:rPr>
                <w:sz w:val="16"/>
                <w:szCs w:val="16"/>
                <w:color w:val="auto"/>
              </w:rPr>
            </w:pPr>
          </w:p>
        </w:tc>
        <w:tc>
          <w:tcPr>
            <w:tcW w:w="1660" w:type="dxa"/>
            <w:vAlign w:val="bottom"/>
          </w:tcPr>
          <w:p>
            <w:pPr>
              <w:jc w:val="center"/>
              <w:spacing w:after="0" w:line="195" w:lineRule="exact"/>
              <w:rPr>
                <w:sz w:val="20"/>
                <w:szCs w:val="20"/>
                <w:color w:val="auto"/>
              </w:rPr>
            </w:pPr>
            <w:r>
              <w:rPr>
                <w:rFonts w:ascii="Arial" w:cs="Arial" w:eastAsia="Arial" w:hAnsi="Arial"/>
                <w:sz w:val="18"/>
                <w:szCs w:val="18"/>
                <w:color w:val="auto"/>
                <w:w w:val="89"/>
              </w:rPr>
              <w:t>January 29,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February 20,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26,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March 23,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30, 2015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22"/>
                <w:szCs w:val="22"/>
                <w:color w:val="auto"/>
              </w:rPr>
            </w:pPr>
          </w:p>
        </w:tc>
        <w:tc>
          <w:tcPr>
            <w:tcW w:w="1640" w:type="dxa"/>
            <w:vAlign w:val="bottom"/>
          </w:tcPr>
          <w:p>
            <w:pPr>
              <w:jc w:val="center"/>
              <w:spacing w:after="0" w:line="256" w:lineRule="exact"/>
              <w:rPr>
                <w:sz w:val="20"/>
                <w:szCs w:val="20"/>
                <w:color w:val="auto"/>
              </w:rPr>
            </w:pPr>
            <w:r>
              <w:rPr>
                <w:rFonts w:ascii="Arial" w:cs="Arial" w:eastAsia="Arial" w:hAnsi="Arial"/>
                <w:sz w:val="18"/>
                <w:szCs w:val="18"/>
                <w:color w:val="auto"/>
                <w:w w:val="88"/>
              </w:rPr>
              <w:t>March 23, 2015</w:t>
            </w:r>
            <w:r>
              <w:rPr>
                <w:rFonts w:ascii="Arial" w:cs="Arial" w:eastAsia="Arial" w:hAnsi="Arial"/>
                <w:sz w:val="29"/>
                <w:szCs w:val="29"/>
                <w:color w:val="auto"/>
                <w:w w:val="88"/>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30, 2015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22"/>
                <w:szCs w:val="22"/>
                <w:color w:val="auto"/>
              </w:rPr>
            </w:pPr>
          </w:p>
        </w:tc>
        <w:tc>
          <w:tcPr>
            <w:tcW w:w="1640" w:type="dxa"/>
            <w:vAlign w:val="bottom"/>
          </w:tcPr>
          <w:p>
            <w:pPr>
              <w:jc w:val="center"/>
              <w:spacing w:after="0" w:line="256" w:lineRule="exact"/>
              <w:rPr>
                <w:sz w:val="20"/>
                <w:szCs w:val="20"/>
                <w:color w:val="auto"/>
              </w:rPr>
            </w:pPr>
            <w:r>
              <w:rPr>
                <w:rFonts w:ascii="Arial" w:cs="Arial" w:eastAsia="Arial" w:hAnsi="Arial"/>
                <w:sz w:val="18"/>
                <w:szCs w:val="18"/>
                <w:color w:val="auto"/>
                <w:w w:val="92"/>
              </w:rPr>
              <w:t>April 23, 2015</w:t>
            </w:r>
            <w:r>
              <w:rPr>
                <w:rFonts w:ascii="Arial" w:cs="Arial" w:eastAsia="Arial" w:hAnsi="Arial"/>
                <w:sz w:val="29"/>
                <w:szCs w:val="29"/>
                <w:color w:val="auto"/>
                <w:w w:val="92"/>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April 29, 2015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22"/>
                <w:szCs w:val="22"/>
                <w:color w:val="auto"/>
              </w:rPr>
            </w:pPr>
          </w:p>
        </w:tc>
        <w:tc>
          <w:tcPr>
            <w:tcW w:w="1640" w:type="dxa"/>
            <w:vAlign w:val="bottom"/>
          </w:tcPr>
          <w:p>
            <w:pPr>
              <w:jc w:val="center"/>
              <w:spacing w:after="0" w:line="256" w:lineRule="exact"/>
              <w:rPr>
                <w:sz w:val="20"/>
                <w:szCs w:val="20"/>
                <w:color w:val="auto"/>
              </w:rPr>
            </w:pPr>
            <w:r>
              <w:rPr>
                <w:rFonts w:ascii="Arial" w:cs="Arial" w:eastAsia="Arial" w:hAnsi="Arial"/>
                <w:sz w:val="18"/>
                <w:szCs w:val="18"/>
                <w:color w:val="auto"/>
                <w:w w:val="88"/>
              </w:rPr>
              <w:t>May 21, 2015</w:t>
            </w:r>
            <w:r>
              <w:rPr>
                <w:rFonts w:ascii="Arial" w:cs="Arial" w:eastAsia="Arial" w:hAnsi="Arial"/>
                <w:sz w:val="29"/>
                <w:szCs w:val="29"/>
                <w:color w:val="auto"/>
                <w:w w:val="88"/>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May 28, 2015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22"/>
                <w:szCs w:val="22"/>
                <w:color w:val="auto"/>
              </w:rPr>
            </w:pPr>
          </w:p>
        </w:tc>
        <w:tc>
          <w:tcPr>
            <w:tcW w:w="1640" w:type="dxa"/>
            <w:vAlign w:val="bottom"/>
          </w:tcPr>
          <w:p>
            <w:pPr>
              <w:jc w:val="center"/>
              <w:spacing w:after="0" w:line="256" w:lineRule="exact"/>
              <w:rPr>
                <w:sz w:val="20"/>
                <w:szCs w:val="20"/>
                <w:color w:val="auto"/>
              </w:rPr>
            </w:pPr>
            <w:r>
              <w:rPr>
                <w:rFonts w:ascii="Arial" w:cs="Arial" w:eastAsia="Arial" w:hAnsi="Arial"/>
                <w:sz w:val="18"/>
                <w:szCs w:val="18"/>
                <w:color w:val="auto"/>
                <w:w w:val="85"/>
              </w:rPr>
              <w:t>June 22, 2015</w:t>
            </w:r>
            <w:r>
              <w:rPr>
                <w:rFonts w:ascii="Arial" w:cs="Arial" w:eastAsia="Arial" w:hAnsi="Arial"/>
                <w:sz w:val="29"/>
                <w:szCs w:val="29"/>
                <w:color w:val="auto"/>
                <w:w w:val="85"/>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June 29, 2015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22"/>
                <w:szCs w:val="22"/>
                <w:color w:val="auto"/>
              </w:rPr>
            </w:pPr>
          </w:p>
        </w:tc>
        <w:tc>
          <w:tcPr>
            <w:tcW w:w="1640" w:type="dxa"/>
            <w:vAlign w:val="bottom"/>
          </w:tcPr>
          <w:p>
            <w:pPr>
              <w:jc w:val="center"/>
              <w:spacing w:after="0" w:line="256" w:lineRule="exact"/>
              <w:rPr>
                <w:sz w:val="20"/>
                <w:szCs w:val="20"/>
                <w:color w:val="auto"/>
              </w:rPr>
            </w:pPr>
            <w:r>
              <w:rPr>
                <w:rFonts w:ascii="Arial" w:cs="Arial" w:eastAsia="Arial" w:hAnsi="Arial"/>
                <w:sz w:val="18"/>
                <w:szCs w:val="18"/>
                <w:color w:val="auto"/>
                <w:w w:val="88"/>
              </w:rPr>
              <w:t>July 23, 2015</w:t>
            </w:r>
            <w:r>
              <w:rPr>
                <w:rFonts w:ascii="Arial" w:cs="Arial" w:eastAsia="Arial" w:hAnsi="Arial"/>
                <w:sz w:val="29"/>
                <w:szCs w:val="29"/>
                <w:color w:val="auto"/>
                <w:w w:val="88"/>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July 30, 2015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22"/>
                <w:szCs w:val="22"/>
                <w:color w:val="auto"/>
              </w:rPr>
            </w:pPr>
          </w:p>
        </w:tc>
        <w:tc>
          <w:tcPr>
            <w:tcW w:w="1640" w:type="dxa"/>
            <w:vAlign w:val="bottom"/>
          </w:tcPr>
          <w:p>
            <w:pPr>
              <w:jc w:val="center"/>
              <w:spacing w:after="0" w:line="256" w:lineRule="exact"/>
              <w:rPr>
                <w:sz w:val="20"/>
                <w:szCs w:val="20"/>
                <w:color w:val="auto"/>
              </w:rPr>
            </w:pPr>
            <w:r>
              <w:rPr>
                <w:rFonts w:ascii="Arial" w:cs="Arial" w:eastAsia="Arial" w:hAnsi="Arial"/>
                <w:sz w:val="18"/>
                <w:szCs w:val="18"/>
                <w:color w:val="auto"/>
                <w:w w:val="87"/>
              </w:rPr>
              <w:t>August 21, 2015</w:t>
            </w:r>
            <w:r>
              <w:rPr>
                <w:rFonts w:ascii="Arial" w:cs="Arial" w:eastAsia="Arial" w:hAnsi="Arial"/>
                <w:sz w:val="29"/>
                <w:szCs w:val="29"/>
                <w:color w:val="auto"/>
                <w:w w:val="87"/>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August 28, 2015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September 23,</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February 26, 2015</w:t>
            </w:r>
          </w:p>
        </w:tc>
        <w:tc>
          <w:tcPr>
            <w:tcW w:w="1800" w:type="dxa"/>
            <w:vAlign w:val="bottom"/>
            <w:gridSpan w:val="2"/>
          </w:tcPr>
          <w:p>
            <w:pPr>
              <w:jc w:val="center"/>
              <w:ind w:left="112"/>
              <w:spacing w:after="0" w:line="256" w:lineRule="exact"/>
              <w:rPr>
                <w:sz w:val="20"/>
                <w:szCs w:val="20"/>
                <w:color w:val="auto"/>
              </w:rPr>
            </w:pPr>
            <w:r>
              <w:rPr>
                <w:rFonts w:ascii="Arial" w:cs="Arial" w:eastAsia="Arial" w:hAnsi="Arial"/>
                <w:sz w:val="18"/>
                <w:szCs w:val="18"/>
                <w:color w:val="auto"/>
                <w:w w:val="81"/>
              </w:rPr>
              <w:t>2015</w:t>
            </w:r>
            <w:r>
              <w:rPr>
                <w:rFonts w:ascii="Arial" w:cs="Arial" w:eastAsia="Arial" w:hAnsi="Arial"/>
                <w:sz w:val="29"/>
                <w:szCs w:val="29"/>
                <w:color w:val="auto"/>
                <w:w w:val="81"/>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September 29, 2015</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center"/>
              <w:spacing w:after="0" w:line="253" w:lineRule="exact"/>
              <w:rPr>
                <w:sz w:val="20"/>
                <w:szCs w:val="20"/>
                <w:color w:val="auto"/>
              </w:rPr>
            </w:pPr>
            <w:r>
              <w:rPr>
                <w:rFonts w:ascii="Arial" w:cs="Arial" w:eastAsia="Arial" w:hAnsi="Arial"/>
                <w:sz w:val="18"/>
                <w:szCs w:val="18"/>
                <w:color w:val="auto"/>
                <w:w w:val="88"/>
              </w:rPr>
              <w:t>October 23, 2015</w:t>
            </w:r>
            <w:r>
              <w:rPr>
                <w:rFonts w:ascii="Arial" w:cs="Arial" w:eastAsia="Arial" w:hAnsi="Arial"/>
                <w:sz w:val="29"/>
                <w:szCs w:val="29"/>
                <w:color w:val="auto"/>
                <w:w w:val="88"/>
                <w:vertAlign w:val="superscript"/>
              </w:rPr>
              <w:t>(1)</w:t>
            </w:r>
          </w:p>
        </w:tc>
        <w:tc>
          <w:tcPr>
            <w:tcW w:w="16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October 29, 2015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November 20,</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0" w:type="dxa"/>
            <w:vAlign w:val="bottom"/>
            <w:gridSpan w:val="2"/>
          </w:tcPr>
          <w:p>
            <w:pPr>
              <w:jc w:val="center"/>
              <w:ind w:left="112"/>
              <w:spacing w:after="0" w:line="253" w:lineRule="exact"/>
              <w:rPr>
                <w:sz w:val="20"/>
                <w:szCs w:val="20"/>
                <w:color w:val="auto"/>
              </w:rPr>
            </w:pPr>
            <w:r>
              <w:rPr>
                <w:rFonts w:ascii="Arial" w:cs="Arial" w:eastAsia="Arial" w:hAnsi="Arial"/>
                <w:sz w:val="18"/>
                <w:szCs w:val="18"/>
                <w:color w:val="auto"/>
                <w:w w:val="81"/>
              </w:rPr>
              <w:t>2015</w:t>
            </w:r>
            <w:r>
              <w:rPr>
                <w:rFonts w:ascii="Arial" w:cs="Arial" w:eastAsia="Arial" w:hAnsi="Arial"/>
                <w:sz w:val="29"/>
                <w:szCs w:val="29"/>
                <w:color w:val="auto"/>
                <w:w w:val="81"/>
                <w:vertAlign w:val="superscript"/>
              </w:rPr>
              <w:t>(1)</w:t>
            </w:r>
          </w:p>
        </w:tc>
        <w:tc>
          <w:tcPr>
            <w:tcW w:w="16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November 27, 2015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December 22,</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0" w:type="dxa"/>
            <w:vAlign w:val="bottom"/>
            <w:gridSpan w:val="2"/>
          </w:tcPr>
          <w:p>
            <w:pPr>
              <w:jc w:val="center"/>
              <w:ind w:left="112"/>
              <w:spacing w:after="0" w:line="253" w:lineRule="exact"/>
              <w:rPr>
                <w:sz w:val="20"/>
                <w:szCs w:val="20"/>
                <w:color w:val="auto"/>
              </w:rPr>
            </w:pPr>
            <w:r>
              <w:rPr>
                <w:rFonts w:ascii="Arial" w:cs="Arial" w:eastAsia="Arial" w:hAnsi="Arial"/>
                <w:sz w:val="18"/>
                <w:szCs w:val="18"/>
                <w:color w:val="auto"/>
                <w:w w:val="81"/>
              </w:rPr>
              <w:t>2015</w:t>
            </w:r>
            <w:r>
              <w:rPr>
                <w:rFonts w:ascii="Arial" w:cs="Arial" w:eastAsia="Arial" w:hAnsi="Arial"/>
                <w:sz w:val="29"/>
                <w:szCs w:val="29"/>
                <w:color w:val="auto"/>
                <w:w w:val="81"/>
                <w:vertAlign w:val="superscript"/>
              </w:rPr>
              <w:t>(1)</w:t>
            </w:r>
          </w:p>
        </w:tc>
        <w:tc>
          <w:tcPr>
            <w:tcW w:w="16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December 30,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April 23,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April 29,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May 21,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May 28,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June 22,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June 29,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July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July 23,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July 30,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July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August 21,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August 28,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July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September 23,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September 29,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October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October 23,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October 29,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October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November 20,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November 27,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October 1, 2015</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December 22, 2015</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December 30,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Total Distributions Declared and</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rPr>
              <w:t>Distributed</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60" w:type="dxa"/>
            <w:vAlign w:val="bottom"/>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gridSpan w:val="2"/>
          </w:tcPr>
          <w:p>
            <w:pPr>
              <w:spacing w:after="0" w:line="195" w:lineRule="exact"/>
              <w:rPr>
                <w:sz w:val="20"/>
                <w:szCs w:val="20"/>
                <w:color w:val="auto"/>
              </w:rPr>
            </w:pPr>
            <w:r>
              <w:rPr>
                <w:rFonts w:ascii="Arial" w:cs="Arial" w:eastAsia="Arial" w:hAnsi="Arial"/>
                <w:sz w:val="18"/>
                <w:szCs w:val="18"/>
                <w:color w:val="auto"/>
              </w:rPr>
              <w:t>February 27, 2014</w:t>
            </w:r>
          </w:p>
        </w:tc>
        <w:tc>
          <w:tcPr>
            <w:tcW w:w="160" w:type="dxa"/>
            <w:vAlign w:val="bottom"/>
          </w:tcPr>
          <w:p>
            <w:pPr>
              <w:spacing w:after="0"/>
              <w:rPr>
                <w:sz w:val="16"/>
                <w:szCs w:val="16"/>
                <w:color w:val="auto"/>
              </w:rPr>
            </w:pPr>
          </w:p>
        </w:tc>
        <w:tc>
          <w:tcPr>
            <w:tcW w:w="1640" w:type="dxa"/>
            <w:vAlign w:val="bottom"/>
          </w:tcPr>
          <w:p>
            <w:pPr>
              <w:jc w:val="center"/>
              <w:spacing w:after="0" w:line="195" w:lineRule="exact"/>
              <w:rPr>
                <w:sz w:val="20"/>
                <w:szCs w:val="20"/>
                <w:color w:val="auto"/>
              </w:rPr>
            </w:pPr>
            <w:r>
              <w:rPr>
                <w:rFonts w:ascii="Arial" w:cs="Arial" w:eastAsia="Arial" w:hAnsi="Arial"/>
                <w:sz w:val="18"/>
                <w:szCs w:val="18"/>
                <w:color w:val="auto"/>
                <w:w w:val="91"/>
              </w:rPr>
              <w:t>March 14, 2014</w:t>
            </w:r>
          </w:p>
        </w:tc>
        <w:tc>
          <w:tcPr>
            <w:tcW w:w="160" w:type="dxa"/>
            <w:vAlign w:val="bottom"/>
          </w:tcPr>
          <w:p>
            <w:pPr>
              <w:spacing w:after="0"/>
              <w:rPr>
                <w:sz w:val="16"/>
                <w:szCs w:val="16"/>
                <w:color w:val="auto"/>
              </w:rPr>
            </w:pPr>
          </w:p>
        </w:tc>
        <w:tc>
          <w:tcPr>
            <w:tcW w:w="1660" w:type="dxa"/>
            <w:vAlign w:val="bottom"/>
          </w:tcPr>
          <w:p>
            <w:pPr>
              <w:jc w:val="center"/>
              <w:spacing w:after="0" w:line="195" w:lineRule="exact"/>
              <w:rPr>
                <w:sz w:val="20"/>
                <w:szCs w:val="20"/>
                <w:color w:val="auto"/>
              </w:rPr>
            </w:pPr>
            <w:r>
              <w:rPr>
                <w:rFonts w:ascii="Arial" w:cs="Arial" w:eastAsia="Arial" w:hAnsi="Arial"/>
                <w:sz w:val="18"/>
                <w:szCs w:val="18"/>
                <w:color w:val="auto"/>
                <w:w w:val="92"/>
              </w:rPr>
              <w:t>March 26,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May 8, 2014</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June 9, 2014</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June 26,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August 7, 2014</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September 12, 2014</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September 26,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October 2, 2014</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October 22, 2014</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October 30,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October 2, 2014</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November 21, 2014</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November 28, 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October 2, 2014</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December 19, 2014</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December 30,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Total Distributions Declared and</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rPr>
              <w:t>Distributed</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-5410835</wp:posOffset>
            </wp:positionV>
            <wp:extent cx="475107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-5136515</wp:posOffset>
            </wp:positionV>
            <wp:extent cx="475107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5107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-4836160</wp:posOffset>
            </wp:positionV>
            <wp:extent cx="4751070" cy="163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51070"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-4510405</wp:posOffset>
            </wp:positionV>
            <wp:extent cx="4751070"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51070"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-4184650</wp:posOffset>
            </wp:positionV>
            <wp:extent cx="4751070" cy="1631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51070"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-3721100</wp:posOffset>
            </wp:positionV>
            <wp:extent cx="4751070" cy="1631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51070"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-3258185</wp:posOffset>
            </wp:positionV>
            <wp:extent cx="4751070" cy="3003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51070" cy="3003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-2820670</wp:posOffset>
            </wp:positionV>
            <wp:extent cx="475107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-2546350</wp:posOffset>
            </wp:positionV>
            <wp:extent cx="475107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-2272030</wp:posOffset>
            </wp:positionV>
            <wp:extent cx="475107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-1997710</wp:posOffset>
            </wp:positionV>
            <wp:extent cx="475107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-5685155</wp:posOffset>
            </wp:positionV>
            <wp:extent cx="4751070" cy="59004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751070" cy="59004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-5685155</wp:posOffset>
            </wp:positionV>
            <wp:extent cx="4751070" cy="59004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51070" cy="5900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2619"/>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4800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000000"/>
                        </a:clrFrom>
                        <a:clrTo>
                          <a:srgbClr val="000000">
                            <a:alpha val="0"/>
                          </a:srgbClr>
                        </a:clrTo>
                      </a:clrChange>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-164465</wp:posOffset>
            </wp:positionV>
            <wp:extent cx="4800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jc w:val="center"/>
        <w:ind w:right="2619"/>
        <w:spacing w:after="0"/>
        <w:rPr>
          <w:sz w:val="20"/>
          <w:szCs w:val="20"/>
          <w:color w:val="auto"/>
        </w:rPr>
      </w:pPr>
      <w:r>
        <w:rPr>
          <w:rFonts w:ascii="Arial" w:cs="Arial" w:eastAsia="Arial" w:hAnsi="Arial"/>
          <w:sz w:val="13"/>
          <w:szCs w:val="13"/>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800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 w:lineRule="exact"/>
        <w:rPr>
          <w:sz w:val="20"/>
          <w:szCs w:val="20"/>
          <w:color w:val="auto"/>
        </w:rPr>
      </w:pPr>
    </w:p>
    <w:p>
      <w:pPr>
        <w:ind w:left="200" w:hanging="200"/>
        <w:spacing w:after="0"/>
        <w:tabs>
          <w:tab w:leader="none" w:pos="2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0.1567</w:t>
      </w:r>
    </w:p>
    <w:p>
      <w:pPr>
        <w:spacing w:after="0" w:line="42"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69"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84"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84"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84"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84"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84"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300"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84"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300"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300"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57"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43751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39" w:lineRule="exact"/>
        <w:rPr>
          <w:sz w:val="20"/>
          <w:szCs w:val="20"/>
          <w:color w:val="auto"/>
        </w:rPr>
      </w:pPr>
    </w:p>
    <w:p>
      <w:pPr>
        <w:ind w:left="380" w:hanging="380"/>
        <w:spacing w:after="0"/>
        <w:tabs>
          <w:tab w:leader="none" w:pos="380" w:val="left"/>
        </w:tabs>
        <w:numPr>
          <w:ilvl w:val="0"/>
          <w:numId w:val="58"/>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4800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000000"/>
                        </a:clrFrom>
                        <a:clrTo>
                          <a:srgbClr val="000000">
                            <a:alpha val="0"/>
                          </a:srgbClr>
                        </a:clrTo>
                      </a:clrChange>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97155</wp:posOffset>
            </wp:positionV>
            <wp:extent cx="4800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31" w:lineRule="exact"/>
        <w:rPr>
          <w:sz w:val="20"/>
          <w:szCs w:val="20"/>
          <w:color w:val="auto"/>
        </w:rPr>
      </w:pPr>
    </w:p>
    <w:p>
      <w:pPr>
        <w:jc w:val="center"/>
        <w:ind w:right="2619"/>
        <w:spacing w:after="0"/>
        <w:rPr>
          <w:sz w:val="20"/>
          <w:szCs w:val="20"/>
          <w:color w:val="auto"/>
        </w:rPr>
      </w:pPr>
      <w:r>
        <w:rPr>
          <w:rFonts w:ascii="Arial" w:cs="Arial" w:eastAsia="Arial" w:hAnsi="Arial"/>
          <w:sz w:val="14"/>
          <w:szCs w:val="14"/>
          <w:b w:val="1"/>
          <w:bCs w:val="1"/>
          <w:color w:val="auto"/>
        </w:rPr>
        <w:t>Amount</w:t>
      </w:r>
    </w:p>
    <w:p>
      <w:pPr>
        <w:spacing w:after="0" w:line="4" w:lineRule="exact"/>
        <w:rPr>
          <w:sz w:val="20"/>
          <w:szCs w:val="20"/>
          <w:color w:val="auto"/>
        </w:rPr>
      </w:pPr>
    </w:p>
    <w:p>
      <w:pPr>
        <w:jc w:val="center"/>
        <w:ind w:right="2619"/>
        <w:spacing w:after="0"/>
        <w:rPr>
          <w:sz w:val="20"/>
          <w:szCs w:val="20"/>
          <w:color w:val="auto"/>
        </w:rPr>
      </w:pPr>
      <w:r>
        <w:rPr>
          <w:rFonts w:ascii="Arial" w:cs="Arial" w:eastAsia="Arial" w:hAnsi="Arial"/>
          <w:sz w:val="13"/>
          <w:szCs w:val="13"/>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800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 w:lineRule="exact"/>
        <w:rPr>
          <w:sz w:val="20"/>
          <w:szCs w:val="20"/>
          <w:color w:val="auto"/>
        </w:rPr>
      </w:pPr>
    </w:p>
    <w:p>
      <w:pPr>
        <w:ind w:left="200" w:hanging="200"/>
        <w:spacing w:after="0"/>
        <w:tabs>
          <w:tab w:leader="none" w:pos="2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0.4700</w:t>
      </w:r>
    </w:p>
    <w:p>
      <w:pPr>
        <w:spacing w:after="0" w:line="42"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0.4700</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0.4700</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43751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39" w:lineRule="exact"/>
        <w:rPr>
          <w:sz w:val="20"/>
          <w:szCs w:val="20"/>
          <w:color w:val="auto"/>
        </w:rPr>
      </w:pPr>
    </w:p>
    <w:p>
      <w:pPr>
        <w:ind w:left="380" w:hanging="380"/>
        <w:spacing w:after="0"/>
        <w:tabs>
          <w:tab w:leader="none" w:pos="380" w:val="left"/>
        </w:tabs>
        <w:numPr>
          <w:ilvl w:val="0"/>
          <w:numId w:val="60"/>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1.88</w:t>
      </w:r>
    </w:p>
    <w:p>
      <w:pPr>
        <w:spacing w:after="0" w:line="257" w:lineRule="exact"/>
        <w:rPr>
          <w:sz w:val="20"/>
          <w:szCs w:val="20"/>
          <w:color w:val="auto"/>
        </w:rPr>
      </w:pPr>
    </w:p>
    <w:p>
      <w:pPr>
        <w:sectPr>
          <w:pgSz w:w="11900" w:h="16838" w:orient="portrait"/>
          <w:cols w:equalWidth="0" w:num="2">
            <w:col w:w="6580" w:space="160"/>
            <w:col w:w="3360"/>
          </w:cols>
          <w:pgMar w:left="360" w:top="789" w:right="1440" w:bottom="1440" w:gutter="0" w:footer="0" w:header="0"/>
        </w:sectPr>
      </w:pPr>
    </w:p>
    <w:p>
      <w:pPr>
        <w:spacing w:after="0" w:line="393" w:lineRule="exact"/>
        <w:rPr>
          <w:sz w:val="20"/>
          <w:szCs w:val="20"/>
          <w:color w:val="auto"/>
        </w:rPr>
      </w:pPr>
    </w:p>
    <w:p>
      <w:pPr>
        <w:ind w:left="300" w:right="539" w:hanging="272"/>
        <w:spacing w:after="0" w:line="277" w:lineRule="auto"/>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February 26, 2015, the Company’s Board declared a special distribution of $0.50 per share of the Company’s common stock, which was paid monthly over the remainder of 2015.</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Parties</w:t>
      </w:r>
    </w:p>
    <w:p>
      <w:pPr>
        <w:spacing w:after="0" w:line="121" w:lineRule="exact"/>
        <w:rPr>
          <w:sz w:val="20"/>
          <w:szCs w:val="20"/>
          <w:color w:val="auto"/>
        </w:rPr>
      </w:pPr>
    </w:p>
    <w:p>
      <w:pPr>
        <w:ind w:left="60" w:right="719" w:firstLine="270"/>
        <w:spacing w:after="0" w:line="264" w:lineRule="auto"/>
        <w:rPr>
          <w:sz w:val="20"/>
          <w:szCs w:val="20"/>
          <w:color w:val="auto"/>
        </w:rPr>
      </w:pPr>
      <w:r>
        <w:rPr>
          <w:rFonts w:ascii="Arial" w:cs="Arial" w:eastAsia="Arial" w:hAnsi="Arial"/>
          <w:sz w:val="18"/>
          <w:szCs w:val="18"/>
          <w:color w:val="auto"/>
        </w:rPr>
        <w:t>We have entered into the Investment Advisory Agreement with the Investment Advisor. Mr. Alala, our chief executive officer and chairman of our Board, is the managing partner and chief investment officer of the Investment Advisor, and Mr. Broyhill, a member of our Board, has an indirect controlling interest in the Investment Advisor.</w:t>
      </w:r>
    </w:p>
    <w:p>
      <w:pPr>
        <w:spacing w:after="0" w:line="73" w:lineRule="exact"/>
        <w:rPr>
          <w:sz w:val="20"/>
          <w:szCs w:val="20"/>
          <w:color w:val="auto"/>
        </w:rPr>
      </w:pPr>
    </w:p>
    <w:p>
      <w:pPr>
        <w:ind w:left="60" w:right="659" w:firstLine="270"/>
        <w:spacing w:after="0" w:line="297" w:lineRule="auto"/>
        <w:rPr>
          <w:sz w:val="20"/>
          <w:szCs w:val="20"/>
          <w:color w:val="auto"/>
        </w:rPr>
      </w:pPr>
      <w:r>
        <w:rPr>
          <w:rFonts w:ascii="Arial" w:cs="Arial" w:eastAsia="Arial" w:hAnsi="Arial"/>
          <w:sz w:val="16"/>
          <w:szCs w:val="16"/>
          <w:color w:val="auto"/>
        </w:rPr>
        <w:t>In addition, an affiliate of the Investment Advisor also manages CapitalSouth Partners SBIC Fund IV, L.P.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w:t>
      </w:r>
    </w:p>
    <w:p>
      <w:pPr>
        <w:spacing w:after="0" w:line="200" w:lineRule="exact"/>
        <w:rPr>
          <w:sz w:val="20"/>
          <w:szCs w:val="20"/>
          <w:color w:val="auto"/>
        </w:rPr>
      </w:pPr>
    </w:p>
    <w:p>
      <w:pPr>
        <w:spacing w:after="0" w:line="2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type w:val="continuous"/>
        </w:sectPr>
      </w:pPr>
    </w:p>
    <w:bookmarkStart w:id="96" w:name="page97"/>
    <w:bookmarkEnd w:id="96"/>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619"/>
        <w:spacing w:after="0" w:line="270" w:lineRule="auto"/>
        <w:rPr>
          <w:sz w:val="20"/>
          <w:szCs w:val="20"/>
          <w:color w:val="auto"/>
        </w:rPr>
      </w:pPr>
      <w:r>
        <w:rPr>
          <w:rFonts w:ascii="Arial" w:cs="Arial" w:eastAsia="Arial" w:hAnsi="Arial"/>
          <w:sz w:val="17"/>
          <w:szCs w:val="17"/>
          <w:color w:val="auto"/>
        </w:rPr>
        <w:t>Fund V, L.P. (“Fund V”); a private investment limited partnership providing financing solutions to the lower middle-market and traditional middle-market.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 However, we do expect to make co-investments with Fund V given its similar investment strategy.</w:t>
      </w:r>
    </w:p>
    <w:p>
      <w:pPr>
        <w:spacing w:after="0" w:line="70" w:lineRule="exact"/>
        <w:rPr>
          <w:sz w:val="20"/>
          <w:szCs w:val="20"/>
          <w:color w:val="auto"/>
        </w:rPr>
      </w:pPr>
    </w:p>
    <w:p>
      <w:pPr>
        <w:ind w:left="180" w:right="539" w:firstLine="270"/>
        <w:spacing w:after="0" w:line="293" w:lineRule="auto"/>
        <w:rPr>
          <w:sz w:val="20"/>
          <w:szCs w:val="20"/>
          <w:color w:val="auto"/>
        </w:rPr>
      </w:pPr>
      <w:r>
        <w:rPr>
          <w:rFonts w:ascii="Arial" w:cs="Arial" w:eastAsia="Arial" w:hAnsi="Arial"/>
          <w:sz w:val="16"/>
          <w:szCs w:val="16"/>
          <w:color w:val="auto"/>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permitting this relief. This exemptive relief is subject to certain conditions designed to ensure that the participation by one investment fund in a co-investment transaction would not be on a basis different from or less advantageous than that of other affiliated investment funds.</w:t>
      </w:r>
    </w:p>
    <w:p>
      <w:pPr>
        <w:spacing w:after="0" w:line="57" w:lineRule="exact"/>
        <w:rPr>
          <w:sz w:val="20"/>
          <w:szCs w:val="20"/>
          <w:color w:val="auto"/>
        </w:rPr>
      </w:pPr>
    </w:p>
    <w:p>
      <w:pPr>
        <w:ind w:left="180" w:right="879" w:firstLine="270"/>
        <w:spacing w:after="0" w:line="257" w:lineRule="auto"/>
        <w:rPr>
          <w:sz w:val="20"/>
          <w:szCs w:val="20"/>
          <w:color w:val="auto"/>
        </w:rPr>
      </w:pPr>
      <w:r>
        <w:rPr>
          <w:rFonts w:ascii="Arial" w:cs="Arial" w:eastAsia="Arial" w:hAnsi="Arial"/>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w:t>
      </w:r>
    </w:p>
    <w:p>
      <w:pPr>
        <w:spacing w:after="0" w:line="80" w:lineRule="exact"/>
        <w:rPr>
          <w:sz w:val="20"/>
          <w:szCs w:val="20"/>
          <w:color w:val="auto"/>
        </w:rPr>
      </w:pPr>
    </w:p>
    <w:p>
      <w:pPr>
        <w:ind w:left="180" w:right="579" w:firstLine="270"/>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62" w:lineRule="exact"/>
        <w:rPr>
          <w:sz w:val="20"/>
          <w:szCs w:val="20"/>
          <w:color w:val="auto"/>
        </w:rPr>
      </w:pPr>
    </w:p>
    <w:p>
      <w:pPr>
        <w:ind w:left="180" w:right="559" w:firstLine="270"/>
        <w:spacing w:after="0" w:line="259"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a director of our Administrator.</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80" w:right="1079" w:firstLine="270"/>
        <w:spacing w:after="0" w:line="277" w:lineRule="auto"/>
        <w:rPr>
          <w:sz w:val="20"/>
          <w:szCs w:val="20"/>
          <w:color w:val="auto"/>
        </w:rPr>
      </w:pPr>
      <w:r>
        <w:rPr>
          <w:rFonts w:ascii="Arial" w:cs="Arial" w:eastAsia="Arial" w:hAnsi="Arial"/>
          <w:sz w:val="18"/>
          <w:szCs w:val="18"/>
          <w:color w:val="auto"/>
        </w:rPr>
        <w:t>As of December 31, 2016 and December 31, 2015, the Company had outstanding unfunded commitments related to debt investments in existing portfolio companies of $1.2 million and $4.4 million, respectively.</w:t>
      </w:r>
    </w:p>
    <w:p>
      <w:pPr>
        <w:spacing w:after="0" w:line="62" w:lineRule="exact"/>
        <w:rPr>
          <w:sz w:val="20"/>
          <w:szCs w:val="20"/>
          <w:color w:val="auto"/>
        </w:rPr>
      </w:pPr>
    </w:p>
    <w:p>
      <w:pPr>
        <w:jc w:val="both"/>
        <w:ind w:left="180" w:right="839" w:firstLine="270"/>
        <w:spacing w:after="0" w:line="264" w:lineRule="auto"/>
        <w:rPr>
          <w:sz w:val="20"/>
          <w:szCs w:val="20"/>
          <w:color w:val="auto"/>
        </w:rPr>
      </w:pPr>
      <w:r>
        <w:rPr>
          <w:rFonts w:ascii="Arial" w:cs="Arial" w:eastAsia="Arial" w:hAnsi="Arial"/>
          <w:sz w:val="18"/>
          <w:szCs w:val="18"/>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3, 2017, our Board declared the following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421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Per Share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3, 2017</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20, 2017</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30, 2017</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January 3, 2017</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February 20, 2017</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3, 2017</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23, 2017</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30, 2017</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117"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On January 3, 2017, the Company exited its investment in Medical Depot Inc., receiving $14.7 million in cash for its subordinated debt investment, repaid at par, and $6.3 million in cash related to its equity investment. The equity realization resulted in a $5.0 million realized gain.</w:t>
      </w:r>
    </w:p>
    <w:p>
      <w:pPr>
        <w:spacing w:after="0" w:line="73"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color w:val="auto"/>
        </w:rPr>
        <w:t>On January 9, 2017, the Company received $5.0 million in cash repayment for its subordinated debt investment in Emerging Markets Communications, LLC, repaid at par.</w:t>
      </w:r>
    </w:p>
    <w:p>
      <w:pPr>
        <w:spacing w:after="0" w:line="62"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On January 20, 2017, the Company invested $16.0 million in first lien debt and $2.0 million in membership units of Currency Capital, LLC. The debt investment has a yield of LIBOR + 11.0%, with a 0.5% floor.</w:t>
      </w:r>
    </w:p>
    <w:p>
      <w:pPr>
        <w:spacing w:after="0" w:line="62"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On February 2, 2017, the Company restructured its investment in U.S. Well Services, LLC, exchanging its $15.3 million first lien debt investment for an $8.5 million first lien debt investment, yielding LIBOR + 9.0% or LIBOR + 11.0% if paid in kind, and an initial 4.9% equity ownership in USWS Holdings, LLC. In addition, the Company committed $2.1 million in a first lien revolving credit facility to US Well Services, LLC, yielding LIBOR + 6.0% and obtained an initial 0.4% equity ownership in USWS Holdings, LLC.</w:t>
      </w:r>
    </w:p>
    <w:p>
      <w:pPr>
        <w:spacing w:after="0" w:line="80"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On February 21, 2017, the Company received $4.8 million in cash repayment for its second lien debt investment in Brock Holdings III, Inc.</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8" w:name="page99"/>
    <w:bookmarkEnd w:id="9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180" w:right="539" w:firstLine="270"/>
        <w:spacing w:after="0" w:line="279" w:lineRule="auto"/>
        <w:rPr>
          <w:sz w:val="20"/>
          <w:szCs w:val="20"/>
          <w:color w:val="auto"/>
        </w:rPr>
      </w:pPr>
      <w:r>
        <w:rPr>
          <w:rFonts w:ascii="Arial" w:cs="Arial" w:eastAsia="Arial" w:hAnsi="Arial"/>
          <w:sz w:val="17"/>
          <w:szCs w:val="17"/>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year ended December 31, 2016, we did not engage in hedging activities.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2016, we held 21 securities bearing a variable rate of interest. Our variable rate investments represent</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approximately 42.9% of the fair value of total interest earning investments. As of December 31, 2016, 59.1% of variable rate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securities were yielding interest at a rate equal to the established interest rate floor and 40.9% of variable rate securities were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yielding interest at a rate above its existing floor or were not subject to an interest rate floor. As of December 31, 2016, we had</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$44.0 million outstanding on our Credit Facility, which has a variable rate of interest at LIBOR + 300 basis points. As of December</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31, 2016, all of our other interest paying liabilities, consisting of $170.7 million in SBA-guaranteed debentures and $113.4 million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notes payable, were bearing interest at a fixed rate.</w:t>
      </w:r>
    </w:p>
    <w:p>
      <w:pPr>
        <w:spacing w:after="0" w:line="103" w:lineRule="exact"/>
        <w:rPr>
          <w:sz w:val="20"/>
          <w:szCs w:val="20"/>
          <w:color w:val="auto"/>
        </w:rPr>
      </w:pPr>
    </w:p>
    <w:p>
      <w:pPr>
        <w:ind w:left="180" w:right="619" w:firstLine="270"/>
        <w:spacing w:after="0" w:line="259"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79" w:lineRule="exact"/>
        <w:rPr>
          <w:sz w:val="20"/>
          <w:szCs w:val="20"/>
          <w:color w:val="auto"/>
        </w:rPr>
      </w:pPr>
    </w:p>
    <w:p>
      <w:pPr>
        <w:jc w:val="both"/>
        <w:ind w:left="180" w:right="639" w:firstLine="270"/>
        <w:spacing w:after="0" w:line="312" w:lineRule="auto"/>
        <w:rPr>
          <w:sz w:val="20"/>
          <w:szCs w:val="20"/>
          <w:color w:val="auto"/>
        </w:rPr>
      </w:pPr>
      <w:r>
        <w:rPr>
          <w:rFonts w:ascii="Arial" w:cs="Arial" w:eastAsia="Arial" w:hAnsi="Arial"/>
          <w:sz w:val="16"/>
          <w:szCs w:val="16"/>
          <w:color w:val="auto"/>
        </w:rPr>
        <w:t>Based on our December 31, 2016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-8255</wp:posOffset>
            </wp:positionV>
            <wp:extent cx="47421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(Increase)</w:t>
            </w:r>
          </w:p>
        </w:tc>
        <w:tc>
          <w:tcPr>
            <w:tcW w:w="16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(decrease)</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decrease</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Basis Point Change</w:t>
            </w: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interest</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interest</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 net</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120" w:type="dxa"/>
            <w:vAlign w:val="bottom"/>
            <w:tcBorders>
              <w:bottom w:val="single" w:sz="8" w:color="auto"/>
            </w:tcBorders>
            <w:vMerge w:val="continue"/>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expense</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300 basis points</w:t>
            </w:r>
          </w:p>
        </w:tc>
        <w:tc>
          <w:tcPr>
            <w:tcW w:w="264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$5,820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(1,320)</w:t>
            </w: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  4,500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Up 200 basis points</w:t>
            </w:r>
          </w:p>
        </w:tc>
        <w:tc>
          <w:tcPr>
            <w:tcW w:w="2640" w:type="dxa"/>
            <w:vAlign w:val="bottom"/>
            <w:gridSpan w:val="3"/>
          </w:tcPr>
          <w:p>
            <w:pPr>
              <w:jc w:val="right"/>
              <w:ind w:right="42"/>
              <w:spacing w:after="0"/>
              <w:rPr>
                <w:sz w:val="20"/>
                <w:szCs w:val="20"/>
                <w:color w:val="auto"/>
              </w:rPr>
            </w:pPr>
            <w:r>
              <w:rPr>
                <w:rFonts w:ascii="Arial" w:cs="Arial" w:eastAsia="Arial" w:hAnsi="Arial"/>
                <w:sz w:val="18"/>
                <w:szCs w:val="18"/>
                <w:color w:val="auto"/>
              </w:rPr>
              <w:t>3,824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2,944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100 basis points</w:t>
            </w:r>
          </w:p>
        </w:tc>
        <w:tc>
          <w:tcPr>
            <w:tcW w:w="264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1,843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1,403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Down 100 basis points</w:t>
            </w:r>
          </w:p>
        </w:tc>
        <w:tc>
          <w:tcPr>
            <w:tcW w:w="2640" w:type="dxa"/>
            <w:vAlign w:val="bottom"/>
            <w:gridSpan w:val="3"/>
          </w:tcPr>
          <w:p>
            <w:pPr>
              <w:jc w:val="right"/>
              <w:spacing w:after="0"/>
              <w:rPr>
                <w:sz w:val="20"/>
                <w:szCs w:val="20"/>
                <w:color w:val="auto"/>
              </w:rPr>
            </w:pPr>
            <w:r>
              <w:rPr>
                <w:rFonts w:ascii="Arial" w:cs="Arial" w:eastAsia="Arial" w:hAnsi="Arial"/>
                <w:sz w:val="18"/>
                <w:szCs w:val="18"/>
                <w:color w:val="auto"/>
              </w:rPr>
              <w:t>(158)</w:t>
            </w:r>
          </w:p>
        </w:tc>
        <w:tc>
          <w:tcPr>
            <w:tcW w:w="860" w:type="dxa"/>
            <w:vAlign w:val="bottom"/>
            <w:gridSpan w:val="2"/>
          </w:tcPr>
          <w:p>
            <w:pPr>
              <w:jc w:val="right"/>
              <w:ind w:right="22"/>
              <w:spacing w:after="0"/>
              <w:rPr>
                <w:sz w:val="20"/>
                <w:szCs w:val="20"/>
                <w:color w:val="auto"/>
              </w:rPr>
            </w:pPr>
            <w:r>
              <w:rPr>
                <w:rFonts w:ascii="Arial" w:cs="Arial" w:eastAsia="Arial" w:hAnsi="Arial"/>
                <w:sz w:val="18"/>
                <w:szCs w:val="18"/>
                <w:color w:val="auto"/>
              </w:rPr>
              <w:t>344</w:t>
            </w: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186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Down 200 basis points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Down 300 basis points</w:t>
            </w: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120" w:type="dxa"/>
            <w:vAlign w:val="bottom"/>
            <w:tcBorders>
              <w:bottom w:val="single" w:sz="8" w:color="9A9A9A"/>
            </w:tcBorders>
          </w:tcPr>
          <w:p>
            <w:pPr>
              <w:spacing w:after="0"/>
              <w:rPr>
                <w:sz w:val="14"/>
                <w:szCs w:val="14"/>
                <w:color w:val="auto"/>
              </w:rPr>
            </w:pPr>
          </w:p>
        </w:tc>
        <w:tc>
          <w:tcPr>
            <w:tcW w:w="18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120" w:type="dxa"/>
            <w:vAlign w:val="bottom"/>
            <w:tcBorders>
              <w:bottom w:val="single" w:sz="8" w:color="EEEEEE"/>
            </w:tcBorders>
          </w:tcPr>
          <w:p>
            <w:pPr>
              <w:spacing w:after="0" w:line="20" w:lineRule="exact"/>
              <w:rPr>
                <w:sz w:val="1"/>
                <w:szCs w:val="1"/>
                <w:color w:val="auto"/>
              </w:rPr>
            </w:pPr>
          </w:p>
        </w:tc>
        <w:tc>
          <w:tcPr>
            <w:tcW w:w="1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99" w:name="page100"/>
    <w:bookmarkEnd w:id="99"/>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7660" w:type="dxa"/>
            <w:vAlign w:val="bottom"/>
            <w:gridSpan w:val="12"/>
          </w:tcPr>
          <w:p>
            <w:pPr>
              <w:jc w:val="right"/>
              <w:ind w:right="540"/>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60" w:type="dxa"/>
            <w:vAlign w:val="bottom"/>
            <w:gridSpan w:val="9"/>
          </w:tcPr>
          <w:p>
            <w:pPr>
              <w:jc w:val="right"/>
              <w:ind w:right="540"/>
              <w:spacing w:after="0"/>
              <w:rPr>
                <w:sz w:val="20"/>
                <w:szCs w:val="20"/>
                <w:color w:val="auto"/>
              </w:rPr>
            </w:pPr>
            <w:r>
              <w:rPr>
                <w:rFonts w:ascii="Arial" w:cs="Arial" w:eastAsia="Arial" w:hAnsi="Arial"/>
                <w:sz w:val="18"/>
                <w:szCs w:val="18"/>
                <w:b w:val="1"/>
                <w:bCs w:val="1"/>
                <w:color w:val="auto"/>
              </w:rPr>
              <w:t>INDEX TO CONSOLIDATED FINANCIAL STATEMENTS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5"/>
        </w:trPr>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1260" w:type="dxa"/>
            <w:vAlign w:val="bottom"/>
          </w:tcPr>
          <w:p>
            <w:pPr>
              <w:spacing w:after="0"/>
              <w:rPr>
                <w:sz w:val="24"/>
                <w:szCs w:val="24"/>
                <w:color w:val="auto"/>
              </w:rPr>
            </w:pPr>
          </w:p>
        </w:tc>
      </w:tr>
      <w:tr>
        <w:trPr>
          <w:trHeight w:val="169"/>
        </w:trPr>
        <w:tc>
          <w:tcPr>
            <w:tcW w:w="140" w:type="dxa"/>
            <w:vAlign w:val="bottom"/>
            <w:tcBorders>
              <w:right w:val="single" w:sz="8" w:color="CCEEFF"/>
            </w:tcBorders>
          </w:tcPr>
          <w:p>
            <w:pPr>
              <w:spacing w:after="0"/>
              <w:rPr>
                <w:sz w:val="14"/>
                <w:szCs w:val="14"/>
                <w:color w:val="auto"/>
              </w:rPr>
            </w:pPr>
          </w:p>
        </w:tc>
        <w:tc>
          <w:tcPr>
            <w:tcW w:w="7660" w:type="dxa"/>
            <w:vAlign w:val="bottom"/>
            <w:gridSpan w:val="12"/>
            <w:shd w:val="clear" w:color="auto" w:fill="CCEEFF"/>
          </w:tcPr>
          <w:p>
            <w:pPr>
              <w:spacing w:after="0" w:line="170" w:lineRule="exact"/>
              <w:rPr>
                <w:rFonts w:ascii="Arial" w:cs="Arial" w:eastAsia="Arial" w:hAnsi="Arial"/>
                <w:sz w:val="18"/>
                <w:szCs w:val="18"/>
                <w:color w:val="0000EE"/>
              </w:rPr>
            </w:pPr>
            <w:hyperlink w:anchor="page101">
              <w:r>
                <w:rPr>
                  <w:rFonts w:ascii="Arial" w:cs="Arial" w:eastAsia="Arial" w:hAnsi="Arial"/>
                  <w:sz w:val="18"/>
                  <w:szCs w:val="18"/>
                  <w:color w:val="0000EE"/>
                </w:rPr>
                <w:t>Report of Independent Registered Public Accounting Firm</w:t>
              </w:r>
            </w:hyperlink>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ind w:right="60"/>
              <w:spacing w:after="0" w:line="170" w:lineRule="exact"/>
              <w:rPr>
                <w:rFonts w:ascii="Arial" w:cs="Arial" w:eastAsia="Arial" w:hAnsi="Arial"/>
                <w:sz w:val="18"/>
                <w:szCs w:val="18"/>
                <w:color w:val="0000EE"/>
              </w:rPr>
            </w:pPr>
            <w:hyperlink w:anchor="page101">
              <w:r>
                <w:rPr>
                  <w:rFonts w:ascii="Arial" w:cs="Arial" w:eastAsia="Arial" w:hAnsi="Arial"/>
                  <w:sz w:val="18"/>
                  <w:szCs w:val="18"/>
                  <w:color w:val="0000EE"/>
                </w:rPr>
                <w:t>F-1</w:t>
              </w:r>
            </w:hyperlink>
          </w:p>
        </w:tc>
        <w:tc>
          <w:tcPr>
            <w:tcW w:w="1260" w:type="dxa"/>
            <w:vAlign w:val="bottom"/>
          </w:tcPr>
          <w:p>
            <w:pPr>
              <w:spacing w:after="0"/>
              <w:rPr>
                <w:sz w:val="14"/>
                <w:szCs w:val="14"/>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66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2"/>
            <w:shd w:val="clear" w:color="auto" w:fill="CCEEFF"/>
          </w:tcPr>
          <w:p>
            <w:pPr>
              <w:spacing w:after="0" w:line="176" w:lineRule="exact"/>
              <w:rPr>
                <w:rFonts w:ascii="Arial" w:cs="Arial" w:eastAsia="Arial" w:hAnsi="Arial"/>
                <w:sz w:val="18"/>
                <w:szCs w:val="18"/>
                <w:color w:val="0000EE"/>
                <w:w w:val="95"/>
              </w:rPr>
            </w:pPr>
            <w:hyperlink w:anchor="page102">
              <w:r>
                <w:rPr>
                  <w:rFonts w:ascii="Arial" w:cs="Arial" w:eastAsia="Arial" w:hAnsi="Arial"/>
                  <w:sz w:val="18"/>
                  <w:szCs w:val="18"/>
                  <w:color w:val="0000EE"/>
                  <w:w w:val="95"/>
                </w:rPr>
                <w:t>Consolidated Statements of Assets and Liabilities as of December 31, 2016 and December 31, 2015</w:t>
              </w:r>
            </w:hyperlink>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F-2</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2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2"/>
          </w:tcPr>
          <w:p>
            <w:pPr>
              <w:spacing w:after="0" w:line="17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Consolidated Statements of Operations for the years ended December 31, 2016, December 31, 2015 and</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7500" w:type="dxa"/>
            <w:vAlign w:val="bottom"/>
            <w:tcBorders>
              <w:top w:val="single" w:sz="8" w:color="0000EE"/>
            </w:tcBorders>
            <w:gridSpan w:val="11"/>
          </w:tcPr>
          <w:p>
            <w:pPr>
              <w:ind w:left="18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December 31, 2014</w:t>
              </w:r>
            </w:hyperlink>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F-3</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2"/>
            <w:shd w:val="clear" w:color="auto" w:fill="CCEEFF"/>
          </w:tcPr>
          <w:p>
            <w:pPr>
              <w:spacing w:after="0" w:line="17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Consolidated Statements of Changes in Net Assets for the years ended December 31, 2016, December</w:t>
              </w:r>
            </w:hyperlink>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7360" w:type="dxa"/>
            <w:vAlign w:val="bottom"/>
            <w:tcBorders>
              <w:top w:val="single" w:sz="8" w:color="0000EE"/>
            </w:tcBorders>
            <w:gridSpan w:val="10"/>
            <w:shd w:val="clear" w:color="auto" w:fill="CCEEFF"/>
          </w:tcPr>
          <w:p>
            <w:pPr>
              <w:ind w:left="180"/>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31, 2015 and December 31, 2014</w:t>
              </w:r>
            </w:hyperlink>
          </w:p>
        </w:tc>
        <w:tc>
          <w:tcPr>
            <w:tcW w:w="3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gridSpan w:val="2"/>
            <w:shd w:val="clear" w:color="auto" w:fill="CCEEFF"/>
          </w:tcPr>
          <w:p>
            <w:pPr>
              <w:jc w:val="right"/>
              <w:ind w:right="60"/>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F-4</w:t>
              </w:r>
            </w:hyperlink>
          </w:p>
        </w:tc>
        <w:tc>
          <w:tcPr>
            <w:tcW w:w="1260" w:type="dxa"/>
            <w:vAlign w:val="bottom"/>
          </w:tcPr>
          <w:p>
            <w:pPr>
              <w:spacing w:after="0"/>
              <w:rPr>
                <w:sz w:val="17"/>
                <w:szCs w:val="17"/>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2"/>
          </w:tcPr>
          <w:p>
            <w:pPr>
              <w:spacing w:after="0" w:line="176" w:lineRule="exact"/>
              <w:rPr>
                <w:rFonts w:ascii="Arial" w:cs="Arial" w:eastAsia="Arial" w:hAnsi="Arial"/>
                <w:sz w:val="18"/>
                <w:szCs w:val="18"/>
                <w:color w:val="0000EE"/>
                <w:w w:val="94"/>
              </w:rPr>
            </w:pPr>
            <w:hyperlink w:anchor="page105">
              <w:r>
                <w:rPr>
                  <w:rFonts w:ascii="Arial" w:cs="Arial" w:eastAsia="Arial" w:hAnsi="Arial"/>
                  <w:sz w:val="18"/>
                  <w:szCs w:val="18"/>
                  <w:color w:val="0000EE"/>
                  <w:w w:val="94"/>
                </w:rPr>
                <w:t>Consolidated Statements of Cash Flows for the years ended December 31, 2016, December 31, 2015</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7240" w:type="dxa"/>
            <w:vAlign w:val="bottom"/>
            <w:tcBorders>
              <w:top w:val="single" w:sz="8" w:color="0000EE"/>
            </w:tcBorders>
            <w:gridSpan w:val="9"/>
          </w:tcPr>
          <w:p>
            <w:pPr>
              <w:ind w:left="180"/>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and December 31, 2014</w:t>
              </w:r>
            </w:hyperlink>
          </w:p>
        </w:tc>
        <w:tc>
          <w:tcPr>
            <w:tcW w:w="42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F-5</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2"/>
            <w:shd w:val="clear" w:color="auto" w:fill="CCEEFF"/>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Consolidated Schedules of Investments as of December 31, 2016 and December 31, 2015</w:t>
              </w:r>
            </w:hyperlink>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F-6</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2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2"/>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Notes to Consolidated Financial Statements</w:t>
              </w:r>
            </w:hyperlink>
          </w:p>
        </w:tc>
        <w:tc>
          <w:tcPr>
            <w:tcW w:w="140" w:type="dxa"/>
            <w:vAlign w:val="bottom"/>
          </w:tcPr>
          <w:p>
            <w:pPr>
              <w:spacing w:after="0"/>
              <w:rPr>
                <w:sz w:val="15"/>
                <w:szCs w:val="15"/>
                <w:color w:val="auto"/>
              </w:rPr>
            </w:pPr>
          </w:p>
        </w:tc>
        <w:tc>
          <w:tcPr>
            <w:tcW w:w="400" w:type="dxa"/>
            <w:vAlign w:val="bottom"/>
            <w:gridSpan w:val="2"/>
          </w:tcPr>
          <w:p>
            <w:pPr>
              <w:jc w:val="right"/>
              <w:ind w:right="60"/>
              <w:spacing w:after="0" w:line="176" w:lineRule="exact"/>
              <w:rPr>
                <w:rFonts w:ascii="Arial" w:cs="Arial" w:eastAsia="Arial" w:hAnsi="Arial"/>
                <w:sz w:val="18"/>
                <w:szCs w:val="18"/>
                <w:color w:val="0000EE"/>
                <w:w w:val="86"/>
              </w:rPr>
            </w:pPr>
            <w:hyperlink w:anchor="page118">
              <w:r>
                <w:rPr>
                  <w:rFonts w:ascii="Arial" w:cs="Arial" w:eastAsia="Arial" w:hAnsi="Arial"/>
                  <w:sz w:val="18"/>
                  <w:szCs w:val="18"/>
                  <w:color w:val="0000EE"/>
                  <w:w w:val="86"/>
                </w:rPr>
                <w:t>F-18</w:t>
              </w:r>
            </w:hyperlink>
          </w:p>
        </w:tc>
        <w:tc>
          <w:tcPr>
            <w:tcW w:w="1260" w:type="dxa"/>
            <w:vAlign w:val="bottom"/>
          </w:tcPr>
          <w:p>
            <w:pPr>
              <w:spacing w:after="0"/>
              <w:rPr>
                <w:sz w:val="15"/>
                <w:szCs w:val="15"/>
                <w:color w:val="auto"/>
              </w:rPr>
            </w:pPr>
          </w:p>
        </w:tc>
      </w:tr>
      <w:tr>
        <w:trPr>
          <w:trHeight w:val="804"/>
        </w:trPr>
        <w:tc>
          <w:tcPr>
            <w:tcW w:w="140" w:type="dxa"/>
            <w:vAlign w:val="bottom"/>
          </w:tcPr>
          <w:p>
            <w:pPr>
              <w:spacing w:after="0"/>
              <w:rPr>
                <w:sz w:val="24"/>
                <w:szCs w:val="24"/>
                <w:color w:val="auto"/>
              </w:rPr>
            </w:pPr>
          </w:p>
        </w:tc>
        <w:tc>
          <w:tcPr>
            <w:tcW w:w="3140" w:type="dxa"/>
            <w:vAlign w:val="bottom"/>
            <w:tcBorders>
              <w:top w:val="single" w:sz="8" w:color="0000EE"/>
            </w:tcBorders>
            <w:gridSpan w:val="5"/>
          </w:tcPr>
          <w:p>
            <w:pPr>
              <w:spacing w:after="0"/>
              <w:rPr>
                <w:sz w:val="24"/>
                <w:szCs w:val="24"/>
                <w:color w:val="auto"/>
              </w:rPr>
            </w:pPr>
          </w:p>
        </w:tc>
        <w:tc>
          <w:tcPr>
            <w:tcW w:w="3300" w:type="dxa"/>
            <w:vAlign w:val="bottom"/>
            <w:gridSpan w:val="2"/>
          </w:tcPr>
          <w:p>
            <w:pPr>
              <w:jc w:val="right"/>
              <w:ind w:right="1700"/>
              <w:spacing w:after="0"/>
              <w:rPr>
                <w:sz w:val="20"/>
                <w:szCs w:val="20"/>
                <w:color w:val="auto"/>
              </w:rPr>
            </w:pPr>
            <w:r>
              <w:rPr>
                <w:rFonts w:ascii="Arial" w:cs="Arial" w:eastAsia="Arial" w:hAnsi="Arial"/>
                <w:sz w:val="18"/>
                <w:szCs w:val="18"/>
                <w:color w:val="auto"/>
              </w:rPr>
              <w:t>96</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-2357755</wp:posOffset>
            </wp:positionV>
            <wp:extent cx="52139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0" w:right="3059" w:firstLine="2474"/>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Shareholders of Capitala Finance Corp.</w:t>
      </w:r>
    </w:p>
    <w:p>
      <w:pPr>
        <w:ind w:left="40" w:right="539" w:firstLine="270"/>
        <w:spacing w:after="0" w:line="257" w:lineRule="auto"/>
        <w:rPr>
          <w:sz w:val="20"/>
          <w:szCs w:val="20"/>
          <w:color w:val="auto"/>
        </w:rPr>
      </w:pPr>
      <w:r>
        <w:rPr>
          <w:rFonts w:ascii="Arial" w:cs="Arial" w:eastAsia="Arial" w:hAnsi="Arial"/>
          <w:sz w:val="18"/>
          <w:szCs w:val="18"/>
          <w:color w:val="auto"/>
        </w:rPr>
        <w:t>We have audited the accompanying consolidated statements of assets and liabilities of Capitala Finance Corp. (the Company), including the consolidated schedules of investments, as of December 31, 2016 and 2015, and the related consolidated statements of operations, changes in net assets,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80"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and financial highlights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and financial highlights. An audit also includes assessing the accounting principles used and significant estimates made by management, as well as evaluating the overall financial statement presentation. Our procedures included confirmation of securities owned as of December 31, 2016 and 2015 by correspondence with the custodian and directly with management or designees of the portfolio companies, as applicable. We believe that our audits provide a reasonable basis for our opinion.</w:t>
      </w:r>
    </w:p>
    <w:p>
      <w:pPr>
        <w:spacing w:after="0" w:line="65"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Capitala Finance Corp. at December 31, 2016 and 2015, and the consolidated results of its operations, changes in its net assets, its cash flows for each of the three years in the period ended December 31, 2016, in conformity with U.S. generally accepted accounting principles.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7, 2017</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Charlotte, North Carolina</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1" w:name="page102"/>
    <w:bookmarkEnd w:id="10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8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620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tcPr>
          <w:p>
            <w:pPr>
              <w:ind w:left="200"/>
              <w:spacing w:after="0" w:line="201" w:lineRule="exact"/>
              <w:rPr>
                <w:sz w:val="20"/>
                <w:szCs w:val="20"/>
                <w:color w:val="auto"/>
              </w:rPr>
            </w:pPr>
            <w:r>
              <w:rPr>
                <w:rFonts w:ascii="Arial" w:cs="Arial" w:eastAsia="Arial" w:hAnsi="Arial"/>
                <w:sz w:val="18"/>
                <w:szCs w:val="18"/>
                <w:color w:val="auto"/>
              </w:rPr>
              <w:t>Non-control/non-affiliate investments (amortized cost of $391,706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80"/>
              <w:spacing w:after="0"/>
              <w:rPr>
                <w:sz w:val="20"/>
                <w:szCs w:val="20"/>
                <w:color w:val="auto"/>
              </w:rPr>
            </w:pPr>
            <w:r>
              <w:rPr>
                <w:rFonts w:ascii="Arial" w:cs="Arial" w:eastAsia="Arial" w:hAnsi="Arial"/>
                <w:sz w:val="18"/>
                <w:szCs w:val="18"/>
                <w:color w:val="auto"/>
              </w:rPr>
              <w:t>$391,031, respectively)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w w:val="92"/>
              </w:rPr>
              <w:t>393,525</w:t>
            </w:r>
          </w:p>
        </w:tc>
        <w:tc>
          <w:tcPr>
            <w:tcW w:w="3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404,513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 investments (amortized cost of $39,279 and $99,290, respectively)</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61,464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117,350</w:t>
            </w: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Control investments (amortized cost of $82,791 and $79,866, respectively)</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86,650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70,593</w:t>
            </w:r>
          </w:p>
        </w:tc>
        <w:tc>
          <w:tcPr>
            <w:tcW w:w="0" w:type="dxa"/>
            <w:vAlign w:val="bottom"/>
          </w:tcPr>
          <w:p>
            <w:pPr>
              <w:spacing w:after="0"/>
              <w:rPr>
                <w:sz w:val="1"/>
                <w:szCs w:val="1"/>
                <w:color w:val="auto"/>
              </w:rPr>
            </w:pPr>
          </w:p>
        </w:tc>
      </w:tr>
      <w:tr>
        <w:trPr>
          <w:trHeight w:val="195"/>
        </w:trPr>
        <w:tc>
          <w:tcPr>
            <w:tcW w:w="620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Total investments at fair value (amortized cost of $513,776 and $570,187,</w:t>
            </w: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2"/>
              </w:rPr>
              <w:t>541,639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592,456</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36,281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34,105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dividend receivable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5,735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Due from related parties</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2"/>
              </w:rPr>
              <w:t>584,415</w:t>
            </w:r>
          </w:p>
        </w:tc>
        <w:tc>
          <w:tcPr>
            <w:tcW w:w="3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632,818</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SBA debentures (net of deferred financing costs of $2,911 and $3,537,</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2"/>
              </w:rPr>
              <w:t>167,789</w:t>
            </w:r>
          </w:p>
        </w:tc>
        <w:tc>
          <w:tcPr>
            <w:tcW w:w="3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180,663</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Notes (net of deferred financing costs of $3,025 and $3,583, respectively)</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w w:val="92"/>
              </w:rPr>
              <w:t>110,413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109,855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Credit Facility (net of deferred financing costs of $759 and $1,649, respectively)</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43,241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68,351</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Due to related parties</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incentive fee payable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6,426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Interest and financing fees payable</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2,657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Written call option at fair value (proceeds of $20 and $0, respectively)</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2"/>
              </w:rPr>
              <w:t>333,833</w:t>
            </w:r>
          </w:p>
        </w:tc>
        <w:tc>
          <w:tcPr>
            <w:tcW w:w="3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364,016</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Commitments and contingencies (Note 2)</w:t>
            </w: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tcPr>
          <w:p>
            <w:pPr>
              <w:ind w:left="20"/>
              <w:spacing w:after="0" w:line="201" w:lineRule="exact"/>
              <w:rPr>
                <w:sz w:val="20"/>
                <w:szCs w:val="20"/>
                <w:color w:val="auto"/>
              </w:rPr>
            </w:pPr>
            <w:r>
              <w:rPr>
                <w:rFonts w:ascii="Arial" w:cs="Arial" w:eastAsia="Arial" w:hAnsi="Arial"/>
                <w:sz w:val="18"/>
                <w:szCs w:val="18"/>
                <w:color w:val="auto"/>
              </w:rPr>
              <w:t>Common stock, par value $.01, 100,000,000 common shares authorized,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0"/>
              <w:spacing w:after="0"/>
              <w:rPr>
                <w:sz w:val="20"/>
                <w:szCs w:val="20"/>
                <w:color w:val="auto"/>
              </w:rPr>
            </w:pPr>
            <w:r>
              <w:rPr>
                <w:rFonts w:ascii="Arial" w:cs="Arial" w:eastAsia="Arial" w:hAnsi="Arial"/>
                <w:sz w:val="18"/>
                <w:szCs w:val="18"/>
                <w:color w:val="auto"/>
                <w:w w:val="92"/>
              </w:rPr>
              <w:t>15,868,045 and 15,777,345 common shares issued and outstanding, respectively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159</w:t>
            </w:r>
          </w:p>
        </w:tc>
        <w:tc>
          <w:tcPr>
            <w:tcW w:w="3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2"/>
              </w:rPr>
              <w:t>240,184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239,104</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Undistributed net investment income</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22,973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net realized losses from investments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(37,881)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Net unrealized appreciation on investments</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27,863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22,269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depreciation on written call option</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tcPr>
          <w:p>
            <w:pPr>
              <w:ind w:left="200"/>
              <w:spacing w:after="0"/>
              <w:rPr>
                <w:sz w:val="20"/>
                <w:szCs w:val="20"/>
                <w:color w:val="auto"/>
              </w:rPr>
            </w:pPr>
            <w:r>
              <w:rPr>
                <w:rFonts w:ascii="Arial" w:cs="Arial" w:eastAsia="Arial" w:hAnsi="Arial"/>
                <w:sz w:val="18"/>
                <w:szCs w:val="18"/>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250,582</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268,802</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net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584,415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632,818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200" w:type="dxa"/>
            <w:vAlign w:val="bottom"/>
          </w:tcPr>
          <w:p>
            <w:pPr>
              <w:ind w:left="20"/>
              <w:spacing w:after="0"/>
              <w:rPr>
                <w:sz w:val="20"/>
                <w:szCs w:val="20"/>
                <w:color w:val="auto"/>
              </w:rPr>
            </w:pPr>
            <w:r>
              <w:rPr>
                <w:rFonts w:ascii="Arial" w:cs="Arial" w:eastAsia="Arial" w:hAnsi="Arial"/>
                <w:sz w:val="18"/>
                <w:szCs w:val="18"/>
                <w:color w:val="auto"/>
              </w:rPr>
              <w:t>Net asset value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15.79</w:t>
            </w:r>
          </w:p>
        </w:tc>
        <w:tc>
          <w:tcPr>
            <w:tcW w:w="3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-3267075</wp:posOffset>
            </wp:positionV>
            <wp:extent cx="5213985"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-1715135</wp:posOffset>
            </wp:positionV>
            <wp:extent cx="5213985" cy="146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-471805</wp:posOffset>
            </wp:positionV>
            <wp:extent cx="5213985"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2" w:name="page103"/>
    <w:bookmarkEnd w:id="10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0"/>
          </w:tcPr>
          <w:p>
            <w:pPr>
              <w:jc w:val="center"/>
              <w:ind w:right="80"/>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96"/>
        </w:trPr>
        <w:tc>
          <w:tcPr>
            <w:tcW w:w="4960" w:type="dxa"/>
            <w:vAlign w:val="bottom"/>
            <w:vMerge w:val="restart"/>
          </w:tcPr>
          <w:p>
            <w:pPr>
              <w:ind w:left="20"/>
              <w:spacing w:after="0"/>
              <w:rPr>
                <w:sz w:val="20"/>
                <w:szCs w:val="20"/>
                <w:color w:val="auto"/>
              </w:rPr>
            </w:pPr>
            <w:r>
              <w:rPr>
                <w:rFonts w:ascii="Arial" w:cs="Arial" w:eastAsia="Arial" w:hAnsi="Arial"/>
                <w:sz w:val="18"/>
                <w:szCs w:val="18"/>
                <w:color w:val="auto"/>
              </w:rPr>
              <w:t>INVESTMENT INCOME</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fee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42,667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39,535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16,209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17,105</w:t>
            </w: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Control investments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interest and fee income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39,118</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Payment-in-kind interest and dividend income:</w:t>
            </w: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Affiliate investments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Control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ind w:left="200"/>
              <w:spacing w:after="0"/>
              <w:rPr>
                <w:sz w:val="20"/>
                <w:szCs w:val="20"/>
                <w:color w:val="auto"/>
              </w:rPr>
            </w:pPr>
            <w:r>
              <w:rPr>
                <w:rFonts w:ascii="Arial" w:cs="Arial" w:eastAsia="Arial" w:hAnsi="Arial"/>
                <w:sz w:val="18"/>
                <w:szCs w:val="18"/>
                <w:color w:val="auto"/>
              </w:rPr>
              <w:t>Total payment-in-kind interest and dividend income</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income:</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Control investments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dividend income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from cash and cash equivalents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ind w:left="200"/>
              <w:spacing w:after="0"/>
              <w:rPr>
                <w:sz w:val="20"/>
                <w:szCs w:val="20"/>
                <w:color w:val="auto"/>
              </w:rPr>
            </w:pPr>
            <w:r>
              <w:rPr>
                <w:rFonts w:ascii="Arial" w:cs="Arial" w:eastAsia="Arial" w:hAnsi="Arial"/>
                <w:sz w:val="18"/>
                <w:szCs w:val="18"/>
                <w:color w:val="auto"/>
              </w:rPr>
              <w:t>Total investment income</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68,312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63,976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49,528</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Interest and financing expenses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19,711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13,375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Base management fee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Incentive fees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ind w:left="200"/>
              <w:spacing w:after="0"/>
              <w:rPr>
                <w:sz w:val="20"/>
                <w:szCs w:val="20"/>
                <w:color w:val="auto"/>
              </w:rPr>
            </w:pPr>
            <w:r>
              <w:rPr>
                <w:rFonts w:ascii="Arial" w:cs="Arial" w:eastAsia="Arial" w:hAnsi="Arial"/>
                <w:sz w:val="18"/>
                <w:szCs w:val="18"/>
                <w:color w:val="auto"/>
              </w:rPr>
              <w:t>Expenses before incentive fee waiver</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40,945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39,707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29,800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fee waiver (See Note 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Management fee waiver (See Note 7)</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expenses, net of fee waivers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29,562</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25,327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19,966</w:t>
            </w:r>
          </w:p>
        </w:tc>
        <w:tc>
          <w:tcPr>
            <w:tcW w:w="0" w:type="dxa"/>
            <w:vAlign w:val="bottom"/>
          </w:tcPr>
          <w:p>
            <w:pPr>
              <w:spacing w:after="0"/>
              <w:rPr>
                <w:sz w:val="1"/>
                <w:szCs w:val="1"/>
                <w:color w:val="auto"/>
              </w:rPr>
            </w:pPr>
          </w:p>
        </w:tc>
      </w:tr>
      <w:tr>
        <w:trPr>
          <w:trHeight w:val="195"/>
        </w:trPr>
        <w:tc>
          <w:tcPr>
            <w:tcW w:w="49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REALIZED AND UNREALIZED GAIN (LOSS) ON</w:t>
            </w: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AND WRITTEN CALL OPTION:</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Net realized gain (loss) from investments: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Affiliate investments</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(24,172)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Control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ind w:left="200"/>
              <w:spacing w:after="0"/>
              <w:rPr>
                <w:sz w:val="20"/>
                <w:szCs w:val="20"/>
                <w:color w:val="auto"/>
              </w:rPr>
            </w:pPr>
            <w:r>
              <w:rPr>
                <w:rFonts w:ascii="Arial" w:cs="Arial" w:eastAsia="Arial" w:hAnsi="Arial"/>
                <w:sz w:val="18"/>
                <w:szCs w:val="18"/>
                <w:color w:val="auto"/>
              </w:rPr>
              <w:t>Total realized gain (loss) from investments</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(22,766)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appreciation (depreciation) on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(24,238)</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Net unrealized depreciation on written call option</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on investments and written call option</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(23,406)</w:t>
            </w:r>
          </w:p>
        </w:tc>
        <w:tc>
          <w:tcPr>
            <w:tcW w:w="0" w:type="dxa"/>
            <w:vAlign w:val="bottom"/>
          </w:tcPr>
          <w:p>
            <w:pPr>
              <w:spacing w:after="0"/>
              <w:rPr>
                <w:sz w:val="1"/>
                <w:szCs w:val="1"/>
                <w:color w:val="auto"/>
              </w:rPr>
            </w:pPr>
          </w:p>
        </w:tc>
      </w:tr>
      <w:tr>
        <w:trPr>
          <w:trHeight w:val="195"/>
        </w:trPr>
        <w:tc>
          <w:tcPr>
            <w:tcW w:w="496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w w:val="98"/>
              </w:rPr>
              <w:t>NET INCREASE (DECREASE) IN NET ASSETS RESULTING</w:t>
            </w: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0"/>
              <w:spacing w:after="0"/>
              <w:rPr>
                <w:sz w:val="20"/>
                <w:szCs w:val="20"/>
                <w:color w:val="auto"/>
              </w:rPr>
            </w:pPr>
            <w:r>
              <w:rPr>
                <w:rFonts w:ascii="Arial" w:cs="Arial" w:eastAsia="Arial" w:hAnsi="Arial"/>
                <w:sz w:val="18"/>
                <w:szCs w:val="18"/>
                <w:color w:val="auto"/>
              </w:rPr>
              <w:t>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9,152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13,850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9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8"/>
              </w:rPr>
              <w:t>NET INCREASE (DECREASE) IN NET ASSETS PER SHARE</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RESULTING FROM OPERATIONS – BASIC AND DILUTED $</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2"/>
        </w:trPr>
        <w:tc>
          <w:tcPr>
            <w:tcW w:w="4960" w:type="dxa"/>
            <w:vAlign w:val="bottom"/>
          </w:tcPr>
          <w:p>
            <w:pPr>
              <w:ind w:left="20"/>
              <w:spacing w:after="0" w:line="201" w:lineRule="exact"/>
              <w:rPr>
                <w:sz w:val="20"/>
                <w:szCs w:val="20"/>
                <w:color w:val="auto"/>
              </w:rPr>
            </w:pPr>
            <w:r>
              <w:rPr>
                <w:rFonts w:ascii="Arial" w:cs="Arial" w:eastAsia="Arial" w:hAnsi="Arial"/>
                <w:sz w:val="18"/>
                <w:szCs w:val="18"/>
                <w:color w:val="auto"/>
                <w:w w:val="99"/>
              </w:rPr>
              <w:t>WEIGHTED AVERAGE COMMON STOCK OUTSTANDING –</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15,819,175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15,210,577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12,974,420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PAID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-5650865</wp:posOffset>
            </wp:positionV>
            <wp:extent cx="5213985" cy="146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-5093335</wp:posOffset>
            </wp:positionV>
            <wp:extent cx="5213985"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-4244340</wp:posOffset>
            </wp:positionV>
            <wp:extent cx="5213985"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-3952875</wp:posOffset>
            </wp:positionV>
            <wp:extent cx="5213985"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-3112135</wp:posOffset>
            </wp:positionV>
            <wp:extent cx="5213985" cy="146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-2546350</wp:posOffset>
            </wp:positionV>
            <wp:extent cx="5213985"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-1568450</wp:posOffset>
            </wp:positionV>
            <wp:extent cx="5213985" cy="146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-1002665</wp:posOffset>
            </wp:positionV>
            <wp:extent cx="5213985" cy="3175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3" w:name="page104"/>
    <w:bookmarkEnd w:id="10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1885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280" w:type="dxa"/>
            <w:vAlign w:val="bottom"/>
            <w:gridSpan w:val="4"/>
            <w:vMerge w:val="restart"/>
          </w:tcPr>
          <w:p>
            <w:pPr>
              <w:jc w:val="right"/>
              <w:ind w:right="240"/>
              <w:spacing w:after="0"/>
              <w:rPr>
                <w:sz w:val="20"/>
                <w:szCs w:val="20"/>
                <w:color w:val="auto"/>
              </w:rPr>
            </w:pPr>
            <w:r>
              <w:rPr>
                <w:rFonts w:ascii="Arial" w:cs="Arial" w:eastAsia="Arial" w:hAnsi="Arial"/>
                <w:sz w:val="13"/>
                <w:szCs w:val="13"/>
                <w:b w:val="1"/>
                <w:bCs w:val="1"/>
                <w:color w:val="auto"/>
              </w:rPr>
              <w:t>Common Stock</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420" w:type="dxa"/>
            <w:vAlign w:val="bottom"/>
          </w:tcPr>
          <w:p>
            <w:pPr>
              <w:spacing w:after="0"/>
              <w:rPr>
                <w:sz w:val="12"/>
                <w:szCs w:val="12"/>
                <w:color w:val="auto"/>
              </w:rPr>
            </w:pPr>
          </w:p>
        </w:tc>
        <w:tc>
          <w:tcPr>
            <w:tcW w:w="1280" w:type="dxa"/>
            <w:vAlign w:val="bottom"/>
            <w:tcBorders>
              <w:bottom w:val="single" w:sz="8" w:color="auto"/>
            </w:tcBorders>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0" w:lineRule="exact"/>
              <w:rPr>
                <w:sz w:val="20"/>
                <w:szCs w:val="20"/>
                <w:color w:val="auto"/>
              </w:rPr>
            </w:pPr>
            <w:r>
              <w:rPr>
                <w:rFonts w:ascii="Arial" w:cs="Arial" w:eastAsia="Arial" w:hAnsi="Arial"/>
                <w:sz w:val="13"/>
                <w:szCs w:val="13"/>
                <w:b w:val="1"/>
                <w:bCs w:val="1"/>
                <w:color w:val="auto"/>
                <w:w w:val="91"/>
              </w:rPr>
              <w:t>Unrealized</w:t>
            </w:r>
          </w:p>
        </w:tc>
        <w:tc>
          <w:tcPr>
            <w:tcW w:w="140" w:type="dxa"/>
            <w:vAlign w:val="bottom"/>
          </w:tcPr>
          <w:p>
            <w:pPr>
              <w:spacing w:after="0"/>
              <w:rPr>
                <w:sz w:val="12"/>
                <w:szCs w:val="12"/>
                <w:color w:val="auto"/>
              </w:rPr>
            </w:pPr>
          </w:p>
        </w:tc>
        <w:tc>
          <w:tcPr>
            <w:tcW w:w="640" w:type="dxa"/>
            <w:vAlign w:val="bottom"/>
            <w:gridSpan w:val="2"/>
          </w:tcPr>
          <w:p>
            <w:pPr>
              <w:jc w:val="center"/>
              <w:ind w:right="180"/>
              <w:spacing w:after="0" w:line="140" w:lineRule="exact"/>
              <w:rPr>
                <w:sz w:val="20"/>
                <w:szCs w:val="20"/>
                <w:color w:val="auto"/>
              </w:rPr>
            </w:pPr>
            <w:r>
              <w:rPr>
                <w:rFonts w:ascii="Arial" w:cs="Arial" w:eastAsia="Arial" w:hAnsi="Arial"/>
                <w:sz w:val="13"/>
                <w:szCs w:val="13"/>
                <w:b w:val="1"/>
                <w:bCs w:val="1"/>
                <w:color w:val="auto"/>
                <w:w w:val="85"/>
              </w:rPr>
              <w:t>Net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gridSpan w:val="9"/>
          </w:tcPr>
          <w:p>
            <w:pPr>
              <w:ind w:left="20"/>
              <w:spacing w:after="0" w:line="110" w:lineRule="exact"/>
              <w:rPr>
                <w:sz w:val="20"/>
                <w:szCs w:val="20"/>
                <w:color w:val="auto"/>
              </w:rPr>
            </w:pPr>
            <w:r>
              <w:rPr>
                <w:rFonts w:ascii="Arial" w:cs="Arial" w:eastAsia="Arial" w:hAnsi="Arial"/>
                <w:sz w:val="12"/>
                <w:szCs w:val="12"/>
                <w:b w:val="1"/>
                <w:bCs w:val="1"/>
                <w:color w:val="auto"/>
                <w:w w:val="99"/>
              </w:rPr>
              <w:t>Undistributed Accumulated Appreciation/</w:t>
            </w:r>
          </w:p>
        </w:tc>
        <w:tc>
          <w:tcPr>
            <w:tcW w:w="780" w:type="dxa"/>
            <w:vAlign w:val="bottom"/>
            <w:gridSpan w:val="3"/>
          </w:tcPr>
          <w:p>
            <w:pPr>
              <w:jc w:val="center"/>
              <w:ind w:right="40"/>
              <w:spacing w:after="0" w:line="110" w:lineRule="exact"/>
              <w:rPr>
                <w:sz w:val="20"/>
                <w:szCs w:val="20"/>
                <w:color w:val="auto"/>
              </w:rPr>
            </w:pPr>
            <w:r>
              <w:rPr>
                <w:rFonts w:ascii="Arial" w:cs="Arial" w:eastAsia="Arial" w:hAnsi="Arial"/>
                <w:sz w:val="12"/>
                <w:szCs w:val="12"/>
                <w:b w:val="1"/>
                <w:bCs w:val="1"/>
                <w:color w:val="auto"/>
                <w:w w:val="95"/>
              </w:rPr>
              <w:t>Unrealized</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Net</w:t>
            </w:r>
          </w:p>
        </w:tc>
        <w:tc>
          <w:tcPr>
            <w:tcW w:w="1600" w:type="dxa"/>
            <w:vAlign w:val="bottom"/>
            <w:gridSpan w:val="6"/>
          </w:tcPr>
          <w:p>
            <w:pPr>
              <w:ind w:left="40"/>
              <w:spacing w:after="0" w:line="135" w:lineRule="exact"/>
              <w:rPr>
                <w:sz w:val="20"/>
                <w:szCs w:val="20"/>
                <w:color w:val="auto"/>
              </w:rPr>
            </w:pPr>
            <w:r>
              <w:rPr>
                <w:rFonts w:ascii="Arial" w:cs="Arial" w:eastAsia="Arial" w:hAnsi="Arial"/>
                <w:sz w:val="13"/>
                <w:szCs w:val="13"/>
                <w:b w:val="1"/>
                <w:bCs w:val="1"/>
                <w:color w:val="auto"/>
                <w:w w:val="90"/>
              </w:rPr>
              <w:t>Net Realized (Depreciation)</w:t>
            </w: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1"/>
              </w:rPr>
              <w:t>Depreciation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Number of</w:t>
            </w:r>
          </w:p>
        </w:tc>
        <w:tc>
          <w:tcPr>
            <w:tcW w:w="44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Par</w:t>
            </w: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9"/>
              </w:rPr>
              <w:t>Paid in</w:t>
            </w:r>
          </w:p>
        </w:tc>
        <w:tc>
          <w:tcPr>
            <w:tcW w:w="10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2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75"/>
              </w:rPr>
              <w:t>on</w:t>
            </w:r>
          </w:p>
        </w:tc>
        <w:tc>
          <w:tcPr>
            <w:tcW w:w="7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on Written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BALANCE, December 31, 2013</w:t>
            </w: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92"/>
              </w:rPr>
              <w:t>Value</w:t>
            </w:r>
          </w:p>
        </w:tc>
        <w:tc>
          <w:tcPr>
            <w:tcW w:w="6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w w:val="82"/>
              </w:rPr>
              <w:t>(Losses)</w:t>
            </w:r>
          </w:p>
        </w:tc>
        <w:tc>
          <w:tcPr>
            <w:tcW w:w="8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3"/>
                <w:szCs w:val="13"/>
                <w:b w:val="1"/>
                <w:bCs w:val="1"/>
                <w:color w:val="auto"/>
                <w:w w:val="84"/>
              </w:rPr>
              <w:t>Investments</w:t>
            </w:r>
          </w:p>
        </w:tc>
        <w:tc>
          <w:tcPr>
            <w:tcW w:w="7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92"/>
              </w:rPr>
              <w:t>Call Option</w:t>
            </w: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420" w:type="dxa"/>
            <w:vAlign w:val="bottom"/>
            <w:vMerge w:val="continue"/>
          </w:tcPr>
          <w:p>
            <w:pPr>
              <w:spacing w:after="0"/>
              <w:rPr>
                <w:sz w:val="12"/>
                <w:szCs w:val="12"/>
                <w:color w:val="auto"/>
              </w:rPr>
            </w:pPr>
          </w:p>
        </w:tc>
        <w:tc>
          <w:tcPr>
            <w:tcW w:w="8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6"/>
              </w:rPr>
              <w:t>12,974,420</w:t>
            </w:r>
          </w:p>
        </w:tc>
        <w:tc>
          <w:tcPr>
            <w:tcW w:w="4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89"/>
              </w:rPr>
              <w:t>$130</w:t>
            </w:r>
          </w:p>
        </w:tc>
        <w:tc>
          <w:tcPr>
            <w:tcW w:w="6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92"/>
              </w:rPr>
              <w:t>$188,408</w:t>
            </w: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16,760</w:t>
            </w:r>
          </w:p>
        </w:tc>
        <w:tc>
          <w:tcPr>
            <w:tcW w:w="12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(48)</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63,420</w:t>
            </w:r>
          </w:p>
        </w:tc>
        <w:tc>
          <w:tcPr>
            <w:tcW w:w="1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92"/>
              </w:rPr>
              <w:t>$268,670</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investment income</w:t>
            </w:r>
          </w:p>
        </w:tc>
        <w:tc>
          <w:tcPr>
            <w:tcW w:w="8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19,966</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19,966</w:t>
            </w:r>
          </w:p>
        </w:tc>
        <w:tc>
          <w:tcPr>
            <w:tcW w:w="0" w:type="dxa"/>
            <w:vAlign w:val="bottom"/>
          </w:tcPr>
          <w:p>
            <w:pPr>
              <w:spacing w:after="0"/>
              <w:rPr>
                <w:sz w:val="1"/>
                <w:szCs w:val="1"/>
                <w:color w:val="auto"/>
              </w:rPr>
            </w:pPr>
          </w:p>
        </w:tc>
      </w:tr>
      <w:tr>
        <w:trPr>
          <w:trHeight w:val="149"/>
        </w:trPr>
        <w:tc>
          <w:tcPr>
            <w:tcW w:w="2420" w:type="dxa"/>
            <w:vAlign w:val="bottom"/>
          </w:tcPr>
          <w:p>
            <w:pPr>
              <w:ind w:left="200"/>
              <w:spacing w:after="0" w:line="149" w:lineRule="exact"/>
              <w:rPr>
                <w:sz w:val="20"/>
                <w:szCs w:val="20"/>
                <w:color w:val="auto"/>
              </w:rPr>
            </w:pPr>
            <w:r>
              <w:rPr>
                <w:rFonts w:ascii="Arial" w:cs="Arial" w:eastAsia="Arial" w:hAnsi="Arial"/>
                <w:sz w:val="14"/>
                <w:szCs w:val="14"/>
                <w:color w:val="auto"/>
              </w:rPr>
              <w:t>Net realized gain from investments</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832</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3"/>
              </w:rPr>
              <w:t>Net change in unrealized depreciation</w:t>
            </w: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on investments</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(24,238)</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(24,238)</w:t>
            </w:r>
          </w:p>
        </w:tc>
        <w:tc>
          <w:tcPr>
            <w:tcW w:w="0" w:type="dxa"/>
            <w:vAlign w:val="bottom"/>
          </w:tcPr>
          <w:p>
            <w:pPr>
              <w:spacing w:after="0"/>
              <w:rPr>
                <w:sz w:val="1"/>
                <w:szCs w:val="1"/>
                <w:color w:val="auto"/>
              </w:rPr>
            </w:pPr>
          </w:p>
        </w:tc>
      </w:tr>
      <w:tr>
        <w:trPr>
          <w:trHeight w:val="130"/>
        </w:trPr>
        <w:tc>
          <w:tcPr>
            <w:tcW w:w="2420" w:type="dxa"/>
            <w:vAlign w:val="bottom"/>
          </w:tcPr>
          <w:p>
            <w:pPr>
              <w:ind w:left="200"/>
              <w:spacing w:after="0" w:line="130" w:lineRule="exact"/>
              <w:rPr>
                <w:sz w:val="20"/>
                <w:szCs w:val="20"/>
                <w:color w:val="auto"/>
              </w:rPr>
            </w:pPr>
            <w:r>
              <w:rPr>
                <w:rFonts w:ascii="Arial" w:cs="Arial" w:eastAsia="Arial" w:hAnsi="Arial"/>
                <w:sz w:val="14"/>
                <w:szCs w:val="14"/>
                <w:color w:val="auto"/>
              </w:rPr>
              <w:t>Issuance of common stock, net of</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380"/>
              <w:spacing w:after="0"/>
              <w:rPr>
                <w:sz w:val="20"/>
                <w:szCs w:val="20"/>
                <w:color w:val="auto"/>
              </w:rPr>
            </w:pPr>
            <w:r>
              <w:rPr>
                <w:rFonts w:ascii="Arial" w:cs="Arial" w:eastAsia="Arial" w:hAnsi="Arial"/>
                <w:sz w:val="14"/>
                <w:szCs w:val="14"/>
                <w:color w:val="auto"/>
              </w:rPr>
              <w:t>offering and underwriting costs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Repurchase and retirement of</w:t>
            </w: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common stock under stock</w:t>
            </w:r>
          </w:p>
        </w:tc>
        <w:tc>
          <w:tcPr>
            <w:tcW w:w="7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program</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ind w:left="200"/>
              <w:spacing w:after="0" w:line="149" w:lineRule="exact"/>
              <w:rPr>
                <w:sz w:val="20"/>
                <w:szCs w:val="20"/>
                <w:color w:val="auto"/>
              </w:rPr>
            </w:pPr>
            <w:r>
              <w:rPr>
                <w:rFonts w:ascii="Arial" w:cs="Arial" w:eastAsia="Arial" w:hAnsi="Arial"/>
                <w:sz w:val="14"/>
                <w:szCs w:val="14"/>
                <w:color w:val="auto"/>
              </w:rPr>
              <w:t>Distributions to Shareholders: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Stock issued under dividend</w:t>
            </w: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reinvestment plan</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ind w:left="380"/>
              <w:spacing w:after="0" w:line="149" w:lineRule="exact"/>
              <w:rPr>
                <w:sz w:val="20"/>
                <w:szCs w:val="20"/>
                <w:color w:val="auto"/>
              </w:rPr>
            </w:pPr>
            <w:r>
              <w:rPr>
                <w:rFonts w:ascii="Arial" w:cs="Arial" w:eastAsia="Arial" w:hAnsi="Arial"/>
                <w:sz w:val="14"/>
                <w:szCs w:val="14"/>
                <w:color w:val="auto"/>
              </w:rPr>
              <w:t>Distributions declared</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(24,393)</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(24,393)</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9"/>
              </w:rPr>
              <w:t>Tax reclassification of stockholders’</w:t>
            </w: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equity in accordance with</w:t>
            </w:r>
          </w:p>
        </w:tc>
        <w:tc>
          <w:tcPr>
            <w:tcW w:w="7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generally accepted accounting</w:t>
            </w:r>
          </w:p>
        </w:tc>
        <w:tc>
          <w:tcPr>
            <w:tcW w:w="7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principles</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tcPr>
          <w:p>
            <w:pPr>
              <w:ind w:left="20"/>
              <w:spacing w:after="0" w:line="142" w:lineRule="exact"/>
              <w:rPr>
                <w:sz w:val="20"/>
                <w:szCs w:val="20"/>
                <w:color w:val="auto"/>
              </w:rPr>
            </w:pPr>
            <w:r>
              <w:rPr>
                <w:rFonts w:ascii="Arial" w:cs="Arial" w:eastAsia="Arial" w:hAnsi="Arial"/>
                <w:sz w:val="14"/>
                <w:szCs w:val="14"/>
                <w:color w:val="auto"/>
              </w:rPr>
              <w:t>BALANCE, December 31, 2014</w:t>
            </w:r>
          </w:p>
        </w:tc>
        <w:tc>
          <w:tcPr>
            <w:tcW w:w="8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6"/>
              </w:rPr>
              <w:t>12,974,420</w:t>
            </w:r>
          </w:p>
        </w:tc>
        <w:tc>
          <w:tcPr>
            <w:tcW w:w="4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89"/>
              </w:rPr>
              <w:t>$130</w:t>
            </w:r>
          </w:p>
        </w:tc>
        <w:tc>
          <w:tcPr>
            <w:tcW w:w="6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92"/>
              </w:rPr>
              <w:t>$188,408</w:t>
            </w: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12,314</w:t>
            </w:r>
          </w:p>
        </w:tc>
        <w:tc>
          <w:tcPr>
            <w:tcW w:w="12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803</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39,182</w:t>
            </w:r>
          </w:p>
        </w:tc>
        <w:tc>
          <w:tcPr>
            <w:tcW w:w="1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92"/>
              </w:rPr>
              <w:t>$240,837</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investment income</w:t>
            </w:r>
          </w:p>
        </w:tc>
        <w:tc>
          <w:tcPr>
            <w:tcW w:w="8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25,327</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25,327</w:t>
            </w:r>
          </w:p>
        </w:tc>
        <w:tc>
          <w:tcPr>
            <w:tcW w:w="0" w:type="dxa"/>
            <w:vAlign w:val="bottom"/>
          </w:tcPr>
          <w:p>
            <w:pPr>
              <w:spacing w:after="0"/>
              <w:rPr>
                <w:sz w:val="1"/>
                <w:szCs w:val="1"/>
                <w:color w:val="auto"/>
              </w:rPr>
            </w:pPr>
          </w:p>
        </w:tc>
      </w:tr>
      <w:tr>
        <w:trPr>
          <w:trHeight w:val="149"/>
        </w:trPr>
        <w:tc>
          <w:tcPr>
            <w:tcW w:w="2420" w:type="dxa"/>
            <w:vAlign w:val="bottom"/>
          </w:tcPr>
          <w:p>
            <w:pPr>
              <w:ind w:left="200"/>
              <w:spacing w:after="0" w:line="149" w:lineRule="exact"/>
              <w:rPr>
                <w:sz w:val="20"/>
                <w:szCs w:val="20"/>
                <w:color w:val="auto"/>
              </w:rPr>
            </w:pPr>
            <w:r>
              <w:rPr>
                <w:rFonts w:ascii="Arial" w:cs="Arial" w:eastAsia="Arial" w:hAnsi="Arial"/>
                <w:sz w:val="14"/>
                <w:szCs w:val="14"/>
                <w:color w:val="auto"/>
              </w:rPr>
              <w:t>Net realized gain from investments</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5,436</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5,436</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3"/>
              </w:rPr>
              <w:t>Net change in unrealized depreciation</w:t>
            </w: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on investments</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(16,913)</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(16,913)</w:t>
            </w:r>
          </w:p>
        </w:tc>
        <w:tc>
          <w:tcPr>
            <w:tcW w:w="0" w:type="dxa"/>
            <w:vAlign w:val="bottom"/>
          </w:tcPr>
          <w:p>
            <w:pPr>
              <w:spacing w:after="0"/>
              <w:rPr>
                <w:sz w:val="1"/>
                <w:szCs w:val="1"/>
                <w:color w:val="auto"/>
              </w:rPr>
            </w:pPr>
          </w:p>
        </w:tc>
      </w:tr>
      <w:tr>
        <w:trPr>
          <w:trHeight w:val="130"/>
        </w:trPr>
        <w:tc>
          <w:tcPr>
            <w:tcW w:w="2420" w:type="dxa"/>
            <w:vAlign w:val="bottom"/>
          </w:tcPr>
          <w:p>
            <w:pPr>
              <w:ind w:left="200"/>
              <w:spacing w:after="0" w:line="130" w:lineRule="exact"/>
              <w:rPr>
                <w:sz w:val="20"/>
                <w:szCs w:val="20"/>
                <w:color w:val="auto"/>
              </w:rPr>
            </w:pPr>
            <w:r>
              <w:rPr>
                <w:rFonts w:ascii="Arial" w:cs="Arial" w:eastAsia="Arial" w:hAnsi="Arial"/>
                <w:sz w:val="14"/>
                <w:szCs w:val="14"/>
                <w:color w:val="auto"/>
              </w:rPr>
              <w:t>Issuance of common stock, net of</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380"/>
              <w:spacing w:after="0"/>
              <w:rPr>
                <w:sz w:val="20"/>
                <w:szCs w:val="20"/>
                <w:color w:val="auto"/>
              </w:rPr>
            </w:pPr>
            <w:r>
              <w:rPr>
                <w:rFonts w:ascii="Arial" w:cs="Arial" w:eastAsia="Arial" w:hAnsi="Arial"/>
                <w:sz w:val="14"/>
                <w:szCs w:val="14"/>
                <w:color w:val="auto"/>
              </w:rPr>
              <w:t>offering and underwriting costs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3,500,000</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35</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61,665</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61,700</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Repurchase and retirement of</w:t>
            </w: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common stock under stock</w:t>
            </w:r>
          </w:p>
        </w:tc>
        <w:tc>
          <w:tcPr>
            <w:tcW w:w="7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program</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(774,858)</w:t>
            </w:r>
          </w:p>
        </w:tc>
        <w:tc>
          <w:tcPr>
            <w:tcW w:w="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w:t>
            </w:r>
          </w:p>
        </w:tc>
        <w:tc>
          <w:tcPr>
            <w:tcW w:w="6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(11,992)</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149"/>
        </w:trPr>
        <w:tc>
          <w:tcPr>
            <w:tcW w:w="2420" w:type="dxa"/>
            <w:vAlign w:val="bottom"/>
          </w:tcPr>
          <w:p>
            <w:pPr>
              <w:ind w:left="200"/>
              <w:spacing w:after="0" w:line="149" w:lineRule="exact"/>
              <w:rPr>
                <w:sz w:val="20"/>
                <w:szCs w:val="20"/>
                <w:color w:val="auto"/>
              </w:rPr>
            </w:pPr>
            <w:r>
              <w:rPr>
                <w:rFonts w:ascii="Arial" w:cs="Arial" w:eastAsia="Arial" w:hAnsi="Arial"/>
                <w:sz w:val="14"/>
                <w:szCs w:val="14"/>
                <w:color w:val="auto"/>
              </w:rPr>
              <w:t>Distributions to Shareholders: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Stock issued under dividend</w:t>
            </w: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reinvestment plan</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77,783</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1,023</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49"/>
        </w:trPr>
        <w:tc>
          <w:tcPr>
            <w:tcW w:w="2420" w:type="dxa"/>
            <w:vAlign w:val="bottom"/>
          </w:tcPr>
          <w:p>
            <w:pPr>
              <w:ind w:left="380"/>
              <w:spacing w:after="0" w:line="149" w:lineRule="exact"/>
              <w:rPr>
                <w:sz w:val="20"/>
                <w:szCs w:val="20"/>
                <w:color w:val="auto"/>
              </w:rPr>
            </w:pPr>
            <w:r>
              <w:rPr>
                <w:rFonts w:ascii="Arial" w:cs="Arial" w:eastAsia="Arial" w:hAnsi="Arial"/>
                <w:sz w:val="14"/>
                <w:szCs w:val="14"/>
                <w:color w:val="auto"/>
              </w:rPr>
              <w:t>Distributions declared</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(25,673)</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(10,936)</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(36,609)</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9"/>
              </w:rPr>
              <w:t>Tax reclassification of stockholders’</w:t>
            </w: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equity in accordance with</w:t>
            </w:r>
          </w:p>
        </w:tc>
        <w:tc>
          <w:tcPr>
            <w:tcW w:w="7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generally accepted accounting</w:t>
            </w:r>
          </w:p>
        </w:tc>
        <w:tc>
          <w:tcPr>
            <w:tcW w:w="7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principles</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(3,398)</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3,398</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tcPr>
          <w:p>
            <w:pPr>
              <w:ind w:left="20"/>
              <w:spacing w:after="0" w:line="142" w:lineRule="exact"/>
              <w:rPr>
                <w:sz w:val="20"/>
                <w:szCs w:val="20"/>
                <w:color w:val="auto"/>
              </w:rPr>
            </w:pPr>
            <w:r>
              <w:rPr>
                <w:rFonts w:ascii="Arial" w:cs="Arial" w:eastAsia="Arial" w:hAnsi="Arial"/>
                <w:sz w:val="14"/>
                <w:szCs w:val="14"/>
                <w:color w:val="auto"/>
              </w:rPr>
              <w:t>BALANCE, December 31, 2015</w:t>
            </w:r>
          </w:p>
        </w:tc>
        <w:tc>
          <w:tcPr>
            <w:tcW w:w="8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6"/>
              </w:rPr>
              <w:t>15,777,345</w:t>
            </w:r>
          </w:p>
        </w:tc>
        <w:tc>
          <w:tcPr>
            <w:tcW w:w="4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89"/>
              </w:rPr>
              <w:t>$158</w:t>
            </w:r>
          </w:p>
        </w:tc>
        <w:tc>
          <w:tcPr>
            <w:tcW w:w="6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92"/>
              </w:rPr>
              <w:t>$239,104</w:t>
            </w: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8,570</w:t>
            </w:r>
          </w:p>
        </w:tc>
        <w:tc>
          <w:tcPr>
            <w:tcW w:w="12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(1,299)</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22,269</w:t>
            </w:r>
          </w:p>
        </w:tc>
        <w:tc>
          <w:tcPr>
            <w:tcW w:w="1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92"/>
              </w:rPr>
              <w:t>$268,802</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investment income</w:t>
            </w:r>
          </w:p>
        </w:tc>
        <w:tc>
          <w:tcPr>
            <w:tcW w:w="8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29,040</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29,040</w:t>
            </w:r>
          </w:p>
        </w:tc>
        <w:tc>
          <w:tcPr>
            <w:tcW w:w="0" w:type="dxa"/>
            <w:vAlign w:val="bottom"/>
          </w:tcPr>
          <w:p>
            <w:pPr>
              <w:spacing w:after="0"/>
              <w:rPr>
                <w:sz w:val="1"/>
                <w:szCs w:val="1"/>
                <w:color w:val="auto"/>
              </w:rPr>
            </w:pPr>
          </w:p>
        </w:tc>
      </w:tr>
      <w:tr>
        <w:trPr>
          <w:trHeight w:val="149"/>
        </w:trPr>
        <w:tc>
          <w:tcPr>
            <w:tcW w:w="2420" w:type="dxa"/>
            <w:vAlign w:val="bottom"/>
          </w:tcPr>
          <w:p>
            <w:pPr>
              <w:ind w:left="200"/>
              <w:spacing w:after="0" w:line="149" w:lineRule="exact"/>
              <w:rPr>
                <w:sz w:val="20"/>
                <w:szCs w:val="20"/>
                <w:color w:val="auto"/>
              </w:rPr>
            </w:pPr>
            <w:r>
              <w:rPr>
                <w:rFonts w:ascii="Arial" w:cs="Arial" w:eastAsia="Arial" w:hAnsi="Arial"/>
                <w:sz w:val="14"/>
                <w:szCs w:val="14"/>
                <w:color w:val="auto"/>
              </w:rPr>
              <w:t>Net realized loss from investments</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(22,766)</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(22,766)</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3"/>
              </w:rPr>
              <w:t>Net change in unrealized appreciation</w:t>
            </w: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on investments</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5,594</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5,594</w:t>
            </w:r>
          </w:p>
        </w:tc>
        <w:tc>
          <w:tcPr>
            <w:tcW w:w="0" w:type="dxa"/>
            <w:vAlign w:val="bottom"/>
          </w:tcPr>
          <w:p>
            <w:pPr>
              <w:spacing w:after="0"/>
              <w:rPr>
                <w:sz w:val="1"/>
                <w:szCs w:val="1"/>
                <w:color w:val="auto"/>
              </w:rPr>
            </w:pPr>
          </w:p>
        </w:tc>
      </w:tr>
      <w:tr>
        <w:trPr>
          <w:trHeight w:val="130"/>
        </w:trPr>
        <w:tc>
          <w:tcPr>
            <w:tcW w:w="2420" w:type="dxa"/>
            <w:vAlign w:val="bottom"/>
          </w:tcPr>
          <w:p>
            <w:pPr>
              <w:ind w:left="200"/>
              <w:spacing w:after="0" w:line="130" w:lineRule="exact"/>
              <w:rPr>
                <w:sz w:val="20"/>
                <w:szCs w:val="20"/>
                <w:color w:val="auto"/>
              </w:rPr>
            </w:pPr>
            <w:r>
              <w:rPr>
                <w:rFonts w:ascii="Arial" w:cs="Arial" w:eastAsia="Arial" w:hAnsi="Arial"/>
                <w:sz w:val="14"/>
                <w:szCs w:val="14"/>
                <w:color w:val="auto"/>
                <w:w w:val="93"/>
              </w:rPr>
              <w:t>Net change in unrealized depreciation</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380"/>
              <w:spacing w:after="0"/>
              <w:rPr>
                <w:sz w:val="20"/>
                <w:szCs w:val="20"/>
                <w:color w:val="auto"/>
              </w:rPr>
            </w:pPr>
            <w:r>
              <w:rPr>
                <w:rFonts w:ascii="Arial" w:cs="Arial" w:eastAsia="Arial" w:hAnsi="Arial"/>
                <w:sz w:val="14"/>
                <w:szCs w:val="14"/>
                <w:color w:val="auto"/>
              </w:rPr>
              <w:t>on written call option</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(2,716)</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(2,716)</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 to Shareholders:</w:t>
            </w:r>
          </w:p>
        </w:tc>
        <w:tc>
          <w:tcPr>
            <w:tcW w:w="7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tcPr>
          <w:p>
            <w:pPr>
              <w:ind w:left="380"/>
              <w:spacing w:after="0" w:line="130" w:lineRule="exact"/>
              <w:rPr>
                <w:sz w:val="20"/>
                <w:szCs w:val="20"/>
                <w:color w:val="auto"/>
              </w:rPr>
            </w:pPr>
            <w:r>
              <w:rPr>
                <w:rFonts w:ascii="Arial" w:cs="Arial" w:eastAsia="Arial" w:hAnsi="Arial"/>
                <w:sz w:val="14"/>
                <w:szCs w:val="14"/>
                <w:color w:val="auto"/>
              </w:rPr>
              <w:t>Stock issued under dividend</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560"/>
              <w:spacing w:after="0"/>
              <w:rPr>
                <w:sz w:val="20"/>
                <w:szCs w:val="20"/>
                <w:color w:val="auto"/>
              </w:rPr>
            </w:pPr>
            <w:r>
              <w:rPr>
                <w:rFonts w:ascii="Arial" w:cs="Arial" w:eastAsia="Arial" w:hAnsi="Arial"/>
                <w:sz w:val="14"/>
                <w:szCs w:val="14"/>
                <w:color w:val="auto"/>
              </w:rPr>
              <w:t>reinvestment plan</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90,700</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Distributions declared</w:t>
            </w:r>
          </w:p>
        </w:tc>
        <w:tc>
          <w:tcPr>
            <w:tcW w:w="8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(28,475)</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(28,475)</w:t>
            </w:r>
          </w:p>
        </w:tc>
        <w:tc>
          <w:tcPr>
            <w:tcW w:w="0" w:type="dxa"/>
            <w:vAlign w:val="bottom"/>
          </w:tcPr>
          <w:p>
            <w:pPr>
              <w:spacing w:after="0"/>
              <w:rPr>
                <w:sz w:val="1"/>
                <w:szCs w:val="1"/>
                <w:color w:val="auto"/>
              </w:rPr>
            </w:pPr>
          </w:p>
        </w:tc>
      </w:tr>
      <w:tr>
        <w:trPr>
          <w:trHeight w:val="130"/>
        </w:trPr>
        <w:tc>
          <w:tcPr>
            <w:tcW w:w="2420" w:type="dxa"/>
            <w:vAlign w:val="bottom"/>
          </w:tcPr>
          <w:p>
            <w:pPr>
              <w:ind w:left="200"/>
              <w:spacing w:after="0" w:line="130" w:lineRule="exact"/>
              <w:rPr>
                <w:sz w:val="20"/>
                <w:szCs w:val="20"/>
                <w:color w:val="auto"/>
              </w:rPr>
            </w:pPr>
            <w:r>
              <w:rPr>
                <w:rFonts w:ascii="Arial" w:cs="Arial" w:eastAsia="Arial" w:hAnsi="Arial"/>
                <w:sz w:val="14"/>
                <w:szCs w:val="14"/>
                <w:color w:val="auto"/>
                <w:w w:val="99"/>
              </w:rPr>
              <w:t>Tax reclassification of stockholders’</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380"/>
              <w:spacing w:after="0" w:line="149" w:lineRule="exact"/>
              <w:rPr>
                <w:sz w:val="20"/>
                <w:szCs w:val="20"/>
                <w:color w:val="auto"/>
              </w:rPr>
            </w:pPr>
            <w:r>
              <w:rPr>
                <w:rFonts w:ascii="Arial" w:cs="Arial" w:eastAsia="Arial" w:hAnsi="Arial"/>
                <w:sz w:val="14"/>
                <w:szCs w:val="14"/>
                <w:color w:val="auto"/>
              </w:rPr>
              <w:t>equity in accordance with</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380"/>
              <w:spacing w:after="0" w:line="149" w:lineRule="exact"/>
              <w:rPr>
                <w:sz w:val="20"/>
                <w:szCs w:val="20"/>
                <w:color w:val="auto"/>
              </w:rPr>
            </w:pPr>
            <w:r>
              <w:rPr>
                <w:rFonts w:ascii="Arial" w:cs="Arial" w:eastAsia="Arial" w:hAnsi="Arial"/>
                <w:sz w:val="14"/>
                <w:szCs w:val="14"/>
                <w:color w:val="auto"/>
              </w:rPr>
              <w:t>generally accepted accounting</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380"/>
              <w:spacing w:after="0"/>
              <w:rPr>
                <w:sz w:val="20"/>
                <w:szCs w:val="20"/>
                <w:color w:val="auto"/>
              </w:rPr>
            </w:pPr>
            <w:r>
              <w:rPr>
                <w:rFonts w:ascii="Arial" w:cs="Arial" w:eastAsia="Arial" w:hAnsi="Arial"/>
                <w:sz w:val="14"/>
                <w:szCs w:val="14"/>
                <w:color w:val="auto"/>
              </w:rPr>
              <w:t>principles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13,838</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(13,816)</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2016</w:t>
            </w:r>
          </w:p>
        </w:tc>
        <w:tc>
          <w:tcPr>
            <w:tcW w:w="84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6"/>
              </w:rPr>
              <w:t>15,868,045</w:t>
            </w:r>
          </w:p>
        </w:tc>
        <w:tc>
          <w:tcPr>
            <w:tcW w:w="44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159</w:t>
            </w:r>
          </w:p>
        </w:tc>
        <w:tc>
          <w:tcPr>
            <w:tcW w:w="68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240,184</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22,973</w:t>
            </w:r>
          </w:p>
        </w:tc>
        <w:tc>
          <w:tcPr>
            <w:tcW w:w="1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9"/>
              </w:rPr>
              <w:t>(37,881)</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27,863</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(2,716)</w:t>
            </w: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250,582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-3266440</wp:posOffset>
            </wp:positionV>
            <wp:extent cx="5213985" cy="1028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-1560195</wp:posOffset>
            </wp:positionV>
            <wp:extent cx="5213985" cy="1028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4" w:name="page105"/>
    <w:bookmarkEnd w:id="10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0"/>
          </w:tcPr>
          <w:p>
            <w:pPr>
              <w:jc w:val="center"/>
              <w:ind w:right="80"/>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96"/>
        </w:trPr>
        <w:tc>
          <w:tcPr>
            <w:tcW w:w="5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02"/>
        </w:trPr>
        <w:tc>
          <w:tcPr>
            <w:tcW w:w="5340" w:type="dxa"/>
            <w:vAlign w:val="bottom"/>
          </w:tcPr>
          <w:p>
            <w:pPr>
              <w:ind w:left="200"/>
              <w:spacing w:after="0" w:line="201" w:lineRule="exact"/>
              <w:rPr>
                <w:sz w:val="20"/>
                <w:szCs w:val="20"/>
                <w:color w:val="auto"/>
              </w:rPr>
            </w:pPr>
            <w:r>
              <w:rPr>
                <w:rFonts w:ascii="Arial" w:cs="Arial" w:eastAsia="Arial" w:hAnsi="Arial"/>
                <w:sz w:val="18"/>
                <w:szCs w:val="18"/>
                <w:color w:val="auto"/>
              </w:rPr>
              <w:t>Adjustments to reconcile net increase (decrease) in net assets</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380"/>
              <w:spacing w:after="0"/>
              <w:rPr>
                <w:sz w:val="20"/>
                <w:szCs w:val="20"/>
                <w:color w:val="auto"/>
              </w:rPr>
            </w:pPr>
            <w:r>
              <w:rPr>
                <w:rFonts w:ascii="Arial" w:cs="Arial" w:eastAsia="Arial" w:hAnsi="Arial"/>
                <w:sz w:val="18"/>
                <w:szCs w:val="18"/>
                <w:color w:val="auto"/>
              </w:rPr>
              <w:t>resulting from operations to net cash provided by (used in)</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 of investments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(120,844)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(260,640)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(216,276)</w:t>
            </w:r>
          </w:p>
        </w:tc>
        <w:tc>
          <w:tcPr>
            <w:tcW w:w="0" w:type="dxa"/>
            <w:vAlign w:val="bottom"/>
          </w:tcPr>
          <w:p>
            <w:pPr>
              <w:spacing w:after="0"/>
              <w:rPr>
                <w:sz w:val="1"/>
                <w:szCs w:val="1"/>
                <w:color w:val="auto"/>
              </w:rPr>
            </w:pPr>
          </w:p>
        </w:tc>
      </w:tr>
      <w:tr>
        <w:trPr>
          <w:trHeight w:val="216"/>
        </w:trPr>
        <w:tc>
          <w:tcPr>
            <w:tcW w:w="5340" w:type="dxa"/>
            <w:vAlign w:val="bottom"/>
          </w:tcPr>
          <w:p>
            <w:pPr>
              <w:ind w:left="380"/>
              <w:spacing w:after="0"/>
              <w:rPr>
                <w:sz w:val="20"/>
                <w:szCs w:val="20"/>
                <w:color w:val="auto"/>
              </w:rPr>
            </w:pPr>
            <w:r>
              <w:rPr>
                <w:rFonts w:ascii="Arial" w:cs="Arial" w:eastAsia="Arial" w:hAnsi="Arial"/>
                <w:sz w:val="18"/>
                <w:szCs w:val="18"/>
                <w:color w:val="auto"/>
              </w:rPr>
              <w:t>Repayments and sales of investments</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163,564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142,713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80,197</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realized (gain) loss on investments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5340" w:type="dxa"/>
            <w:vAlign w:val="bottom"/>
          </w:tcPr>
          <w:p>
            <w:pPr>
              <w:ind w:left="380"/>
              <w:spacing w:after="0"/>
              <w:rPr>
                <w:sz w:val="20"/>
                <w:szCs w:val="20"/>
                <w:color w:val="auto"/>
              </w:rPr>
            </w:pPr>
            <w:r>
              <w:rPr>
                <w:rFonts w:ascii="Arial" w:cs="Arial" w:eastAsia="Arial" w:hAnsi="Arial"/>
                <w:sz w:val="18"/>
                <w:szCs w:val="18"/>
                <w:color w:val="auto"/>
              </w:rPr>
              <w:t>Net unrealized (appreciation) depreciation on investments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24,238</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Payment-in-kind interest and dividends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6"/>
        </w:trPr>
        <w:tc>
          <w:tcPr>
            <w:tcW w:w="5340" w:type="dxa"/>
            <w:vAlign w:val="bottom"/>
          </w:tcPr>
          <w:p>
            <w:pPr>
              <w:ind w:left="380"/>
              <w:spacing w:after="0"/>
              <w:rPr>
                <w:sz w:val="20"/>
                <w:szCs w:val="20"/>
                <w:color w:val="auto"/>
              </w:rPr>
            </w:pPr>
            <w:r>
              <w:rPr>
                <w:rFonts w:ascii="Arial" w:cs="Arial" w:eastAsia="Arial" w:hAnsi="Arial"/>
                <w:sz w:val="18"/>
                <w:szCs w:val="18"/>
                <w:color w:val="auto"/>
              </w:rPr>
              <w:t>Accretion of original issue discount on investments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written call option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ind w:left="380"/>
              <w:spacing w:after="0"/>
              <w:rPr>
                <w:sz w:val="20"/>
                <w:szCs w:val="20"/>
                <w:color w:val="auto"/>
              </w:rPr>
            </w:pPr>
            <w:r>
              <w:rPr>
                <w:rFonts w:ascii="Arial" w:cs="Arial" w:eastAsia="Arial" w:hAnsi="Arial"/>
                <w:sz w:val="18"/>
                <w:szCs w:val="18"/>
                <w:color w:val="auto"/>
              </w:rPr>
              <w:t>Net unrealized depreciation on written call option</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fees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534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and dividend receivable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340" w:type="dxa"/>
            <w:vAlign w:val="bottom"/>
          </w:tcPr>
          <w:p>
            <w:pPr>
              <w:ind w:left="560"/>
              <w:spacing w:after="0"/>
              <w:rPr>
                <w:sz w:val="20"/>
                <w:szCs w:val="20"/>
                <w:color w:val="auto"/>
              </w:rPr>
            </w:pPr>
            <w:r>
              <w:rPr>
                <w:rFonts w:ascii="Arial" w:cs="Arial" w:eastAsia="Arial" w:hAnsi="Arial"/>
                <w:sz w:val="18"/>
                <w:szCs w:val="18"/>
                <w:color w:val="auto"/>
              </w:rPr>
              <w:t>Due from related parties</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5340" w:type="dxa"/>
            <w:vAlign w:val="bottom"/>
          </w:tcPr>
          <w:p>
            <w:pPr>
              <w:ind w:left="56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Due to related parties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5340" w:type="dxa"/>
            <w:vAlign w:val="bottom"/>
          </w:tcPr>
          <w:p>
            <w:pPr>
              <w:ind w:left="560"/>
              <w:spacing w:after="0"/>
              <w:rPr>
                <w:sz w:val="20"/>
                <w:szCs w:val="20"/>
                <w:color w:val="auto"/>
              </w:rPr>
            </w:pPr>
            <w:r>
              <w:rPr>
                <w:rFonts w:ascii="Arial" w:cs="Arial" w:eastAsia="Arial" w:hAnsi="Arial"/>
                <w:sz w:val="18"/>
                <w:szCs w:val="18"/>
                <w:color w:val="auto"/>
              </w:rPr>
              <w:t>Management and incentive fee payable</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and financing fees payable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5340" w:type="dxa"/>
            <w:vAlign w:val="bottom"/>
          </w:tcPr>
          <w:p>
            <w:pPr>
              <w:ind w:left="5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(119,356)</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Paydowns on SBA debentures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8"/>
                <w:szCs w:val="18"/>
                <w:color w:val="auto"/>
              </w:rPr>
              <w:t>Proceeds from Credit Facility</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to Credit Facility</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8"/>
                <w:szCs w:val="18"/>
                <w:color w:val="auto"/>
              </w:rPr>
              <w:t>Issuance of Notes</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113,438</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Issuance of common stock, net of offering and underwriting costs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8"/>
                <w:szCs w:val="18"/>
                <w:color w:val="auto"/>
              </w:rPr>
              <w:t>Distributions paid to shareholders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(27,372)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(35,585)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(24,393)</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Repurchases of common stock under stock repurchase program</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8"/>
                <w:szCs w:val="18"/>
                <w:color w:val="auto"/>
              </w:rPr>
              <w:t>Deferred financing fees paid</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(66,947)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72,841</w:t>
            </w:r>
          </w:p>
        </w:tc>
        <w:tc>
          <w:tcPr>
            <w:tcW w:w="0" w:type="dxa"/>
            <w:vAlign w:val="bottom"/>
          </w:tcPr>
          <w:p>
            <w:pPr>
              <w:spacing w:after="0"/>
              <w:rPr>
                <w:sz w:val="1"/>
                <w:szCs w:val="1"/>
                <w:color w:val="auto"/>
              </w:rPr>
            </w:pPr>
          </w:p>
        </w:tc>
      </w:tr>
      <w:tr>
        <w:trPr>
          <w:trHeight w:val="195"/>
        </w:trPr>
        <w:tc>
          <w:tcPr>
            <w:tcW w:w="534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rPr>
              <w:t>NET INCREASE (DECREASE) IN CASH AND CASH</w:t>
            </w: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(21,002)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(46,515)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101,622</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8"/>
                <w:szCs w:val="18"/>
                <w:color w:val="auto"/>
              </w:rPr>
              <w:t>CASH AND CASH EQUIVALENTS,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36,281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34,105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55,107</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3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SUPPLEMENTAL DISCLOSURE OF CASH FLOW</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INFORMATION</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17,591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16,349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SUPPLEMENTAL DISCLOSURE OF NON-CASH INVESTING</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FINANCING TRANSACTIONS</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40" w:type="dxa"/>
            <w:vAlign w:val="bottom"/>
          </w:tcPr>
          <w:p>
            <w:pPr>
              <w:ind w:left="200"/>
              <w:spacing w:after="0" w:line="201" w:lineRule="exact"/>
              <w:rPr>
                <w:sz w:val="20"/>
                <w:szCs w:val="20"/>
                <w:color w:val="auto"/>
              </w:rPr>
            </w:pPr>
            <w:r>
              <w:rPr>
                <w:rFonts w:ascii="Arial" w:cs="Arial" w:eastAsia="Arial" w:hAnsi="Arial"/>
                <w:sz w:val="18"/>
                <w:szCs w:val="18"/>
                <w:color w:val="auto"/>
              </w:rPr>
              <w:t>Distribution paid through dividend reinvestment plan share</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issuances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-2949575</wp:posOffset>
            </wp:positionV>
            <wp:extent cx="5213985" cy="146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-1560195</wp:posOffset>
            </wp:positionV>
            <wp:extent cx="5213985" cy="283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-1139825</wp:posOffset>
            </wp:positionV>
            <wp:extent cx="5213985" cy="1803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5" w:name="page106"/>
    <w:bookmarkEnd w:id="10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6585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108585</wp:posOffset>
            </wp:positionV>
            <wp:extent cx="616585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34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23"/>
        </w:trPr>
        <w:tc>
          <w:tcPr>
            <w:tcW w:w="2340" w:type="dxa"/>
            <w:vAlign w:val="bottom"/>
          </w:tcPr>
          <w:p>
            <w:pPr>
              <w:ind w:left="20"/>
              <w:spacing w:after="0" w:line="123" w:lineRule="exact"/>
              <w:rPr>
                <w:sz w:val="20"/>
                <w:szCs w:val="20"/>
                <w:color w:val="auto"/>
              </w:rPr>
            </w:pPr>
            <w:r>
              <w:rPr>
                <w:rFonts w:ascii="Arial" w:cs="Arial" w:eastAsia="Arial" w:hAnsi="Arial"/>
                <w:sz w:val="14"/>
                <w:szCs w:val="14"/>
                <w:b w:val="1"/>
                <w:bCs w:val="1"/>
                <w:color w:val="auto"/>
                <w:w w:val="89"/>
              </w:rPr>
              <w:t>Non-control/non-affiliated investments</w:t>
            </w:r>
          </w:p>
        </w:tc>
        <w:tc>
          <w:tcPr>
            <w:tcW w:w="40" w:type="dxa"/>
            <w:vAlign w:val="bottom"/>
          </w:tcPr>
          <w:p>
            <w:pPr>
              <w:spacing w:after="0"/>
              <w:rPr>
                <w:sz w:val="10"/>
                <w:szCs w:val="10"/>
                <w:color w:val="auto"/>
              </w:rPr>
            </w:pPr>
          </w:p>
        </w:tc>
        <w:tc>
          <w:tcPr>
            <w:tcW w:w="2280" w:type="dxa"/>
            <w:vAlign w:val="bottom"/>
          </w:tcPr>
          <w:p>
            <w:pPr>
              <w:ind w:left="40"/>
              <w:spacing w:after="0" w:line="123" w:lineRule="exact"/>
              <w:rPr>
                <w:sz w:val="20"/>
                <w:szCs w:val="20"/>
                <w:color w:val="auto"/>
              </w:rPr>
            </w:pPr>
            <w:r>
              <w:rPr>
                <w:rFonts w:ascii="Arial" w:cs="Arial" w:eastAsia="Arial" w:hAnsi="Arial"/>
                <w:sz w:val="14"/>
                <w:szCs w:val="14"/>
                <w:b w:val="1"/>
                <w:bCs w:val="1"/>
                <w:color w:val="auto"/>
              </w:rPr>
              <w:t>– 157.1%</w:t>
            </w:r>
          </w:p>
        </w:tc>
        <w:tc>
          <w:tcPr>
            <w:tcW w:w="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Second Lien Debt (12%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 Rental</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3/31/18)</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11,000</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11,000</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10,755</w:t>
            </w:r>
          </w:p>
        </w:tc>
        <w:tc>
          <w:tcPr>
            <w:tcW w:w="6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Units (14% fully</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Industrial Equipment Rental</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American Clinical Solutions,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(10.5% Cash (3</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color w:val="auto"/>
                <w:w w:val="83"/>
              </w:rPr>
              <w:t>10,755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month LIBOR + 9.5%, 1% Floor),</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Healthcare</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Due 6/11/20)</w:t>
            </w:r>
            <w:r>
              <w:rPr>
                <w:rFonts w:ascii="Arial" w:cs="Arial" w:eastAsia="Arial" w:hAnsi="Arial"/>
                <w:sz w:val="22"/>
                <w:szCs w:val="22"/>
                <w:color w:val="auto"/>
                <w:vertAlign w:val="superscript"/>
              </w:rPr>
              <w:t>(13)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9,034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9,034</w:t>
            </w:r>
          </w:p>
        </w:tc>
        <w:tc>
          <w:tcPr>
            <w:tcW w:w="60" w:type="dxa"/>
            <w:vAlign w:val="bottom"/>
          </w:tcPr>
          <w:p>
            <w:pPr>
              <w:spacing w:after="0"/>
              <w:rPr>
                <w:sz w:val="17"/>
                <w:szCs w:val="17"/>
                <w:color w:val="auto"/>
              </w:rPr>
            </w:pPr>
          </w:p>
        </w:tc>
        <w:tc>
          <w:tcPr>
            <w:tcW w:w="720" w:type="dxa"/>
            <w:vAlign w:val="bottom"/>
            <w:gridSpan w:val="3"/>
          </w:tcPr>
          <w:p>
            <w:pPr>
              <w:ind w:left="320"/>
              <w:spacing w:after="0"/>
              <w:rPr>
                <w:sz w:val="20"/>
                <w:szCs w:val="20"/>
                <w:color w:val="auto"/>
              </w:rPr>
            </w:pPr>
            <w:r>
              <w:rPr>
                <w:rFonts w:ascii="Arial" w:cs="Arial" w:eastAsia="Arial" w:hAnsi="Arial"/>
                <w:sz w:val="14"/>
                <w:szCs w:val="14"/>
                <w:color w:val="auto"/>
              </w:rPr>
              <w:t>8,582</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American Exteriors,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(10% PIK,</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9,034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color w:val="auto"/>
                <w:w w:val="85"/>
              </w:rPr>
              <w:t>8,582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3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w w:val="97"/>
              </w:rPr>
              <w:t>Replacement Window Manufacturer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1/1/17)</w:t>
            </w:r>
            <w:r>
              <w:rPr>
                <w:rFonts w:ascii="Arial" w:cs="Arial" w:eastAsia="Arial" w:hAnsi="Arial"/>
                <w:sz w:val="20"/>
                <w:szCs w:val="20"/>
                <w:color w:val="auto"/>
                <w:vertAlign w:val="superscript"/>
              </w:rPr>
              <w:t>(1)(2)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6,456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4,679</w:t>
            </w:r>
          </w:p>
        </w:tc>
        <w:tc>
          <w:tcPr>
            <w:tcW w:w="60" w:type="dxa"/>
            <w:vAlign w:val="bottom"/>
          </w:tcPr>
          <w:p>
            <w:pPr>
              <w:spacing w:after="0"/>
              <w:rPr>
                <w:sz w:val="15"/>
                <w:szCs w:val="15"/>
                <w:color w:val="auto"/>
              </w:rPr>
            </w:pPr>
          </w:p>
        </w:tc>
        <w:tc>
          <w:tcPr>
            <w:tcW w:w="720" w:type="dxa"/>
            <w:vAlign w:val="bottom"/>
            <w:gridSpan w:val="3"/>
          </w:tcPr>
          <w:p>
            <w:pPr>
              <w:ind w:left="320"/>
              <w:spacing w:after="0"/>
              <w:rPr>
                <w:sz w:val="20"/>
                <w:szCs w:val="20"/>
                <w:color w:val="auto"/>
              </w:rPr>
            </w:pPr>
            <w:r>
              <w:rPr>
                <w:rFonts w:ascii="Arial" w:cs="Arial" w:eastAsia="Arial" w:hAnsi="Arial"/>
                <w:sz w:val="14"/>
                <w:szCs w:val="14"/>
                <w:color w:val="auto"/>
              </w:rPr>
              <w:t>2,571</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American Exteriors,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w w:val="97"/>
              </w:rPr>
              <w:t>Replacement Window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(10%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AmeriMark Direct,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4"/>
              </w:rPr>
              <w:t>First Lien Debt (12.75% Cash, Due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4,679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color w:val="auto"/>
                <w:w w:val="85"/>
              </w:rPr>
              <w:t>2,571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Consumer Products</w:t>
            </w:r>
          </w:p>
        </w:tc>
        <w:tc>
          <w:tcPr>
            <w:tcW w:w="2220" w:type="dxa"/>
            <w:vAlign w:val="bottom"/>
            <w:gridSpan w:val="2"/>
          </w:tcPr>
          <w:p>
            <w:pPr>
              <w:ind w:left="140"/>
              <w:spacing w:after="0"/>
              <w:rPr>
                <w:sz w:val="20"/>
                <w:szCs w:val="20"/>
                <w:color w:val="auto"/>
              </w:rPr>
            </w:pPr>
            <w:r>
              <w:rPr>
                <w:rFonts w:ascii="Arial" w:cs="Arial" w:eastAsia="Arial" w:hAnsi="Arial"/>
                <w:sz w:val="14"/>
                <w:szCs w:val="14"/>
                <w:color w:val="auto"/>
              </w:rPr>
              <w:t>9/8/21)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19,700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19,192</w:t>
            </w:r>
          </w:p>
        </w:tc>
        <w:tc>
          <w:tcPr>
            <w:tcW w:w="60" w:type="dxa"/>
            <w:vAlign w:val="bottom"/>
          </w:tcPr>
          <w:p>
            <w:pPr>
              <w:spacing w:after="0"/>
              <w:rPr>
                <w:sz w:val="14"/>
                <w:szCs w:val="14"/>
                <w:color w:val="auto"/>
              </w:rPr>
            </w:pPr>
          </w:p>
        </w:tc>
        <w:tc>
          <w:tcPr>
            <w:tcW w:w="720" w:type="dxa"/>
            <w:vAlign w:val="bottom"/>
            <w:gridSpan w:val="3"/>
          </w:tcPr>
          <w:p>
            <w:pPr>
              <w:ind w:left="260"/>
              <w:spacing w:after="0"/>
              <w:rPr>
                <w:sz w:val="20"/>
                <w:szCs w:val="20"/>
                <w:color w:val="auto"/>
              </w:rPr>
            </w:pPr>
            <w:r>
              <w:rPr>
                <w:rFonts w:ascii="Arial" w:cs="Arial" w:eastAsia="Arial" w:hAnsi="Arial"/>
                <w:sz w:val="14"/>
                <w:szCs w:val="14"/>
                <w:color w:val="auto"/>
              </w:rPr>
              <w:t>19,542</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B&amp;W Quality Growers,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(14%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19,192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color w:val="auto"/>
                <w:w w:val="83"/>
              </w:rPr>
              <w:t>19,542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Farming</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7/23/20)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5,996</w:t>
            </w:r>
          </w:p>
        </w:tc>
        <w:tc>
          <w:tcPr>
            <w:tcW w:w="60" w:type="dxa"/>
            <w:vAlign w:val="bottom"/>
          </w:tcPr>
          <w:p>
            <w:pPr>
              <w:spacing w:after="0"/>
              <w:rPr>
                <w:sz w:val="12"/>
                <w:szCs w:val="12"/>
                <w:color w:val="auto"/>
              </w:rPr>
            </w:pPr>
          </w:p>
        </w:tc>
        <w:tc>
          <w:tcPr>
            <w:tcW w:w="7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6,000</w:t>
            </w:r>
          </w:p>
        </w:tc>
        <w:tc>
          <w:tcPr>
            <w:tcW w:w="6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B&amp;W Quality Growers,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w w:val="94"/>
              </w:rPr>
              <w:t>Membership Unit Warrants (91,739</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Farming</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Units)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4"/>
                <w:szCs w:val="14"/>
                <w:color w:val="auto"/>
              </w:rPr>
            </w:pPr>
          </w:p>
        </w:tc>
        <w:tc>
          <w:tcPr>
            <w:tcW w:w="720" w:type="dxa"/>
            <w:vAlign w:val="bottom"/>
            <w:gridSpan w:val="3"/>
          </w:tcPr>
          <w:p>
            <w:pPr>
              <w:ind w:left="320"/>
              <w:spacing w:after="0"/>
              <w:rPr>
                <w:sz w:val="20"/>
                <w:szCs w:val="20"/>
                <w:color w:val="auto"/>
              </w:rPr>
            </w:pPr>
            <w:r>
              <w:rPr>
                <w:rFonts w:ascii="Arial" w:cs="Arial" w:eastAsia="Arial" w:hAnsi="Arial"/>
                <w:sz w:val="14"/>
                <w:szCs w:val="14"/>
                <w:color w:val="auto"/>
              </w:rPr>
              <w:t>5,779</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BigMouth,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8"/>
              </w:rPr>
              <w:t>First Lien Debt (12.6% Cash, Due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color w:val="auto"/>
                <w:w w:val="83"/>
              </w:rPr>
              <w:t>11,779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3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Consumer Products</w:t>
            </w:r>
          </w:p>
        </w:tc>
        <w:tc>
          <w:tcPr>
            <w:tcW w:w="2220" w:type="dxa"/>
            <w:vAlign w:val="bottom"/>
            <w:gridSpan w:val="2"/>
          </w:tcPr>
          <w:p>
            <w:pPr>
              <w:ind w:left="140"/>
              <w:spacing w:after="0" w:line="179" w:lineRule="exact"/>
              <w:rPr>
                <w:sz w:val="20"/>
                <w:szCs w:val="20"/>
                <w:color w:val="auto"/>
              </w:rPr>
            </w:pPr>
            <w:r>
              <w:rPr>
                <w:rFonts w:ascii="Arial" w:cs="Arial" w:eastAsia="Arial" w:hAnsi="Arial"/>
                <w:sz w:val="13"/>
                <w:szCs w:val="13"/>
                <w:color w:val="auto"/>
              </w:rPr>
              <w:t>11/14/21)</w:t>
            </w:r>
            <w:r>
              <w:rPr>
                <w:rFonts w:ascii="Arial" w:cs="Arial" w:eastAsia="Arial" w:hAnsi="Arial"/>
                <w:sz w:val="20"/>
                <w:szCs w:val="20"/>
                <w:color w:val="auto"/>
                <w:vertAlign w:val="superscript"/>
              </w:rPr>
              <w:t>(3)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10,313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10,313</w:t>
            </w:r>
          </w:p>
        </w:tc>
        <w:tc>
          <w:tcPr>
            <w:tcW w:w="60" w:type="dxa"/>
            <w:vAlign w:val="bottom"/>
          </w:tcPr>
          <w:p>
            <w:pPr>
              <w:spacing w:after="0"/>
              <w:rPr>
                <w:sz w:val="15"/>
                <w:szCs w:val="15"/>
                <w:color w:val="auto"/>
              </w:rPr>
            </w:pPr>
          </w:p>
        </w:tc>
        <w:tc>
          <w:tcPr>
            <w:tcW w:w="720" w:type="dxa"/>
            <w:vAlign w:val="bottom"/>
            <w:gridSpan w:val="3"/>
          </w:tcPr>
          <w:p>
            <w:pPr>
              <w:ind w:left="260"/>
              <w:spacing w:after="0"/>
              <w:rPr>
                <w:sz w:val="20"/>
                <w:szCs w:val="20"/>
                <w:color w:val="auto"/>
              </w:rPr>
            </w:pPr>
            <w:r>
              <w:rPr>
                <w:rFonts w:ascii="Arial" w:cs="Arial" w:eastAsia="Arial" w:hAnsi="Arial"/>
                <w:sz w:val="14"/>
                <w:szCs w:val="14"/>
                <w:color w:val="auto"/>
              </w:rPr>
              <w:t>10,313</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8"/>
        </w:trPr>
        <w:tc>
          <w:tcPr>
            <w:tcW w:w="2340" w:type="dxa"/>
            <w:vAlign w:val="bottom"/>
          </w:tcPr>
          <w:p>
            <w:pPr>
              <w:ind w:left="20"/>
              <w:spacing w:after="0" w:line="159" w:lineRule="exact"/>
              <w:rPr>
                <w:sz w:val="20"/>
                <w:szCs w:val="20"/>
                <w:color w:val="auto"/>
              </w:rPr>
            </w:pPr>
            <w:r>
              <w:rPr>
                <w:rFonts w:ascii="Arial" w:cs="Arial" w:eastAsia="Arial" w:hAnsi="Arial"/>
                <w:sz w:val="14"/>
                <w:szCs w:val="14"/>
                <w:color w:val="auto"/>
              </w:rPr>
              <w:t>BigMouth, Inc.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6"/>
              </w:rPr>
              <w:t>Series A Preferred Stock (350,000</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Consumer Products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shares, 8% PIK)</w:t>
            </w:r>
            <w:r>
              <w:rPr>
                <w:rFonts w:ascii="Arial" w:cs="Arial" w:eastAsia="Arial" w:hAnsi="Arial"/>
                <w:sz w:val="22"/>
                <w:szCs w:val="22"/>
                <w:color w:val="auto"/>
                <w:vertAlign w:val="superscript"/>
              </w:rPr>
              <w:t>(6)</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354</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354</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Bluestem Brands,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(8.5%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10,667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color w:val="auto"/>
                <w:w w:val="83"/>
              </w:rPr>
              <w:t>10,667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+ 7.5%,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Online Merchandise Retailer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11/7/20)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4,279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4,169</w:t>
            </w:r>
          </w:p>
        </w:tc>
        <w:tc>
          <w:tcPr>
            <w:tcW w:w="60" w:type="dxa"/>
            <w:vAlign w:val="bottom"/>
          </w:tcPr>
          <w:p>
            <w:pPr>
              <w:spacing w:after="0"/>
              <w:rPr>
                <w:sz w:val="14"/>
                <w:szCs w:val="14"/>
                <w:color w:val="auto"/>
              </w:rPr>
            </w:pPr>
          </w:p>
        </w:tc>
        <w:tc>
          <w:tcPr>
            <w:tcW w:w="720" w:type="dxa"/>
            <w:vAlign w:val="bottom"/>
            <w:gridSpan w:val="3"/>
          </w:tcPr>
          <w:p>
            <w:pPr>
              <w:ind w:left="320"/>
              <w:spacing w:after="0"/>
              <w:rPr>
                <w:sz w:val="20"/>
                <w:szCs w:val="20"/>
                <w:color w:val="auto"/>
              </w:rPr>
            </w:pPr>
            <w:r>
              <w:rPr>
                <w:rFonts w:ascii="Arial" w:cs="Arial" w:eastAsia="Arial" w:hAnsi="Arial"/>
                <w:sz w:val="14"/>
                <w:szCs w:val="14"/>
                <w:color w:val="auto"/>
              </w:rPr>
              <w:t>4,169</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Brock Holdings III,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Second Lien Debt (10%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color w:val="auto"/>
                <w:w w:val="85"/>
              </w:rPr>
              <w:t>4,169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+ 8.25%, 1.75%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Industrial Specialty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Due 3/16/18)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4,935</w:t>
            </w:r>
          </w:p>
        </w:tc>
        <w:tc>
          <w:tcPr>
            <w:tcW w:w="60" w:type="dxa"/>
            <w:vAlign w:val="bottom"/>
          </w:tcPr>
          <w:p>
            <w:pPr>
              <w:spacing w:after="0"/>
              <w:rPr>
                <w:sz w:val="14"/>
                <w:szCs w:val="14"/>
                <w:color w:val="auto"/>
              </w:rPr>
            </w:pPr>
          </w:p>
        </w:tc>
        <w:tc>
          <w:tcPr>
            <w:tcW w:w="720" w:type="dxa"/>
            <w:vAlign w:val="bottom"/>
            <w:gridSpan w:val="3"/>
          </w:tcPr>
          <w:p>
            <w:pPr>
              <w:ind w:left="320"/>
              <w:spacing w:after="0"/>
              <w:rPr>
                <w:sz w:val="20"/>
                <w:szCs w:val="20"/>
                <w:color w:val="auto"/>
              </w:rPr>
            </w:pPr>
            <w:r>
              <w:rPr>
                <w:rFonts w:ascii="Arial" w:cs="Arial" w:eastAsia="Arial" w:hAnsi="Arial"/>
                <w:sz w:val="14"/>
                <w:szCs w:val="14"/>
                <w:color w:val="auto"/>
              </w:rPr>
              <w:t>4,750</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Brunswick Bowling Products,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5"/>
              </w:rPr>
              <w:t>First Lien Debt (8% Cash (1 month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4,935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color w:val="auto"/>
                <w:w w:val="85"/>
              </w:rPr>
              <w:t>4,750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LIBOR + 6.0%, 2% Floor), Due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Bowling Products</w:t>
            </w:r>
          </w:p>
        </w:tc>
        <w:tc>
          <w:tcPr>
            <w:tcW w:w="2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5/22/20)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60" w:type="dxa"/>
            <w:vAlign w:val="bottom"/>
          </w:tcPr>
          <w:p>
            <w:pPr>
              <w:spacing w:after="0"/>
              <w:rPr>
                <w:sz w:val="12"/>
                <w:szCs w:val="12"/>
                <w:color w:val="auto"/>
              </w:rPr>
            </w:pPr>
          </w:p>
        </w:tc>
        <w:tc>
          <w:tcPr>
            <w:tcW w:w="7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1,600</w:t>
            </w:r>
          </w:p>
        </w:tc>
        <w:tc>
          <w:tcPr>
            <w:tcW w:w="6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Brunswick Bowling Products,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First Lien Debt (16.25%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+ 14.25%, 2%</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Bowling Products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Floor), Due 5/22/20)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5,586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5,586</w:t>
            </w:r>
          </w:p>
        </w:tc>
        <w:tc>
          <w:tcPr>
            <w:tcW w:w="60" w:type="dxa"/>
            <w:vAlign w:val="bottom"/>
          </w:tcPr>
          <w:p>
            <w:pPr>
              <w:spacing w:after="0"/>
              <w:rPr>
                <w:sz w:val="12"/>
                <w:szCs w:val="12"/>
                <w:color w:val="auto"/>
              </w:rPr>
            </w:pPr>
          </w:p>
        </w:tc>
        <w:tc>
          <w:tcPr>
            <w:tcW w:w="7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5,586</w:t>
            </w:r>
          </w:p>
        </w:tc>
        <w:tc>
          <w:tcPr>
            <w:tcW w:w="6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8"/>
        </w:trPr>
        <w:tc>
          <w:tcPr>
            <w:tcW w:w="2340" w:type="dxa"/>
            <w:vAlign w:val="bottom"/>
          </w:tcPr>
          <w:p>
            <w:pPr>
              <w:ind w:left="20"/>
              <w:spacing w:after="0" w:line="159" w:lineRule="exact"/>
              <w:rPr>
                <w:sz w:val="20"/>
                <w:szCs w:val="20"/>
                <w:color w:val="auto"/>
              </w:rPr>
            </w:pPr>
            <w:r>
              <w:rPr>
                <w:rFonts w:ascii="Arial" w:cs="Arial" w:eastAsia="Arial" w:hAnsi="Arial"/>
                <w:sz w:val="14"/>
                <w:szCs w:val="14"/>
                <w:color w:val="auto"/>
              </w:rPr>
              <w:t>Brunswick Bowling Products, Inc.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1"/>
              </w:rPr>
              <w:t>Preferred Shares (2,966 shares, 8%</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Bowling Products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PIK)</w:t>
            </w:r>
            <w:r>
              <w:rPr>
                <w:rFonts w:ascii="Arial" w:cs="Arial" w:eastAsia="Arial" w:hAnsi="Arial"/>
                <w:sz w:val="22"/>
                <w:szCs w:val="22"/>
                <w:color w:val="auto"/>
                <w:vertAlign w:val="superscript"/>
              </w:rPr>
              <w:t>(6)</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3,384</w:t>
            </w:r>
          </w:p>
        </w:tc>
        <w:tc>
          <w:tcPr>
            <w:tcW w:w="60" w:type="dxa"/>
            <w:vAlign w:val="bottom"/>
          </w:tcPr>
          <w:p>
            <w:pPr>
              <w:spacing w:after="0"/>
              <w:rPr>
                <w:sz w:val="17"/>
                <w:szCs w:val="17"/>
                <w:color w:val="auto"/>
              </w:rPr>
            </w:pPr>
          </w:p>
        </w:tc>
        <w:tc>
          <w:tcPr>
            <w:tcW w:w="720" w:type="dxa"/>
            <w:vAlign w:val="bottom"/>
            <w:gridSpan w:val="3"/>
          </w:tcPr>
          <w:p>
            <w:pPr>
              <w:ind w:left="320"/>
              <w:spacing w:after="0"/>
              <w:rPr>
                <w:sz w:val="20"/>
                <w:szCs w:val="20"/>
                <w:color w:val="auto"/>
              </w:rPr>
            </w:pPr>
            <w:r>
              <w:rPr>
                <w:rFonts w:ascii="Arial" w:cs="Arial" w:eastAsia="Arial" w:hAnsi="Arial"/>
                <w:sz w:val="14"/>
                <w:szCs w:val="14"/>
                <w:color w:val="auto"/>
              </w:rPr>
              <w:t>5,317</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10,570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color w:val="auto"/>
                <w:w w:val="83"/>
              </w:rPr>
              <w:t>12,503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340" w:type="dxa"/>
            <w:vAlign w:val="bottom"/>
          </w:tcPr>
          <w:p>
            <w:pPr>
              <w:ind w:left="20"/>
              <w:spacing w:after="0" w:line="142" w:lineRule="exact"/>
              <w:rPr>
                <w:sz w:val="20"/>
                <w:szCs w:val="20"/>
                <w:color w:val="auto"/>
              </w:rPr>
            </w:pPr>
            <w:r>
              <w:rPr>
                <w:rFonts w:ascii="Arial" w:cs="Arial" w:eastAsia="Arial" w:hAnsi="Arial"/>
                <w:sz w:val="14"/>
                <w:szCs w:val="14"/>
                <w:color w:val="auto"/>
              </w:rPr>
              <w:t>Burke America Parts Group, LLC</w:t>
            </w:r>
          </w:p>
        </w:tc>
        <w:tc>
          <w:tcPr>
            <w:tcW w:w="40" w:type="dxa"/>
            <w:vAlign w:val="bottom"/>
          </w:tcPr>
          <w:p>
            <w:pPr>
              <w:spacing w:after="0"/>
              <w:rPr>
                <w:sz w:val="12"/>
                <w:szCs w:val="12"/>
                <w:color w:val="auto"/>
              </w:rPr>
            </w:pPr>
          </w:p>
        </w:tc>
        <w:tc>
          <w:tcPr>
            <w:tcW w:w="2280" w:type="dxa"/>
            <w:vAlign w:val="bottom"/>
          </w:tcPr>
          <w:p>
            <w:pPr>
              <w:ind w:left="80"/>
              <w:spacing w:after="0" w:line="142" w:lineRule="exact"/>
              <w:rPr>
                <w:sz w:val="20"/>
                <w:szCs w:val="20"/>
                <w:color w:val="auto"/>
              </w:rPr>
            </w:pPr>
            <w:r>
              <w:rPr>
                <w:rFonts w:ascii="Arial" w:cs="Arial" w:eastAsia="Arial" w:hAnsi="Arial"/>
                <w:sz w:val="14"/>
                <w:szCs w:val="14"/>
                <w:color w:val="auto"/>
              </w:rPr>
              <w:t>Home Repair Parts Manufacturer</w:t>
            </w:r>
          </w:p>
        </w:tc>
        <w:tc>
          <w:tcPr>
            <w:tcW w:w="40" w:type="dxa"/>
            <w:vAlign w:val="bottom"/>
          </w:tcPr>
          <w:p>
            <w:pPr>
              <w:spacing w:after="0"/>
              <w:rPr>
                <w:sz w:val="12"/>
                <w:szCs w:val="12"/>
                <w:color w:val="auto"/>
              </w:rPr>
            </w:pPr>
          </w:p>
        </w:tc>
        <w:tc>
          <w:tcPr>
            <w:tcW w:w="2180" w:type="dxa"/>
            <w:vAlign w:val="bottom"/>
          </w:tcPr>
          <w:p>
            <w:pPr>
              <w:ind w:left="100"/>
              <w:spacing w:after="0" w:line="142" w:lineRule="exact"/>
              <w:rPr>
                <w:sz w:val="20"/>
                <w:szCs w:val="20"/>
                <w:color w:val="auto"/>
              </w:rPr>
            </w:pPr>
            <w:r>
              <w:rPr>
                <w:rFonts w:ascii="Arial" w:cs="Arial" w:eastAsia="Arial" w:hAnsi="Arial"/>
                <w:sz w:val="14"/>
                <w:szCs w:val="14"/>
                <w:color w:val="auto"/>
              </w:rPr>
              <w:t>Membership Units (14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color w:val="auto"/>
                <w:w w:val="85"/>
              </w:rPr>
              <w:t>1,408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California Pizza Kitchen,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Second Lien Debt (11%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color w:val="auto"/>
                <w:w w:val="85"/>
              </w:rPr>
              <w:t>1,408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+ 10%,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Restaurant</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8/23/23)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4,857</w:t>
            </w:r>
          </w:p>
        </w:tc>
        <w:tc>
          <w:tcPr>
            <w:tcW w:w="60" w:type="dxa"/>
            <w:vAlign w:val="bottom"/>
          </w:tcPr>
          <w:p>
            <w:pPr>
              <w:spacing w:after="0"/>
              <w:rPr>
                <w:sz w:val="14"/>
                <w:szCs w:val="14"/>
                <w:color w:val="auto"/>
              </w:rPr>
            </w:pPr>
          </w:p>
        </w:tc>
        <w:tc>
          <w:tcPr>
            <w:tcW w:w="720" w:type="dxa"/>
            <w:vAlign w:val="bottom"/>
            <w:gridSpan w:val="3"/>
          </w:tcPr>
          <w:p>
            <w:pPr>
              <w:ind w:left="320"/>
              <w:spacing w:after="0"/>
              <w:rPr>
                <w:sz w:val="20"/>
                <w:szCs w:val="20"/>
                <w:color w:val="auto"/>
              </w:rPr>
            </w:pPr>
            <w:r>
              <w:rPr>
                <w:rFonts w:ascii="Arial" w:cs="Arial" w:eastAsia="Arial" w:hAnsi="Arial"/>
                <w:sz w:val="14"/>
                <w:szCs w:val="14"/>
                <w:color w:val="auto"/>
              </w:rPr>
              <w:t>4,857</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Caregiver Services, Inc.</w:t>
            </w:r>
          </w:p>
        </w:tc>
        <w:tc>
          <w:tcPr>
            <w:tcW w:w="40" w:type="dxa"/>
            <w:vAlign w:val="bottom"/>
          </w:tcPr>
          <w:p>
            <w:pPr>
              <w:spacing w:after="0"/>
              <w:rPr>
                <w:sz w:val="12"/>
                <w:szCs w:val="12"/>
                <w:color w:val="auto"/>
              </w:rPr>
            </w:pPr>
          </w:p>
        </w:tc>
        <w:tc>
          <w:tcPr>
            <w:tcW w:w="2280" w:type="dxa"/>
            <w:vAlign w:val="bottom"/>
            <w:vMerge w:val="restart"/>
          </w:tcPr>
          <w:p>
            <w:pPr>
              <w:ind w:left="80"/>
              <w:spacing w:after="0"/>
              <w:rPr>
                <w:sz w:val="20"/>
                <w:szCs w:val="20"/>
                <w:color w:val="auto"/>
              </w:rPr>
            </w:pPr>
            <w:r>
              <w:rPr>
                <w:rFonts w:ascii="Arial" w:cs="Arial" w:eastAsia="Arial" w:hAnsi="Arial"/>
                <w:sz w:val="14"/>
                <w:szCs w:val="14"/>
                <w:color w:val="auto"/>
              </w:rPr>
              <w:t>In-Home Healthcare Services</w:t>
            </w: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Common Stock (293,186 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4,857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color w:val="auto"/>
                <w:w w:val="85"/>
              </w:rPr>
              <w:t>4,857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2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w w:val="76"/>
              </w:rPr>
              <w:t>137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1658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108585</wp:posOffset>
            </wp:positionV>
            <wp:extent cx="616585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40" w:type="dxa"/>
            <w:vAlign w:val="bottom"/>
            <w:vMerge w:val="restart"/>
          </w:tcPr>
          <w:p>
            <w:pPr>
              <w:spacing w:after="0"/>
              <w:rPr>
                <w:sz w:val="20"/>
                <w:szCs w:val="20"/>
                <w:color w:val="auto"/>
              </w:rPr>
            </w:pPr>
            <w:r>
              <w:rPr>
                <w:rFonts w:ascii="Arial" w:cs="Arial" w:eastAsia="Arial" w:hAnsi="Arial"/>
                <w:sz w:val="25"/>
                <w:szCs w:val="25"/>
                <w:b w:val="1"/>
                <w:bCs w:val="1"/>
                <w:color w:val="auto"/>
                <w:vertAlign w:val="subscript"/>
              </w:rPr>
              <w:t>Company</w:t>
            </w:r>
            <w:r>
              <w:rPr>
                <w:rFonts w:ascii="Arial" w:cs="Arial" w:eastAsia="Arial" w:hAnsi="Arial"/>
                <w:sz w:val="10"/>
                <w:szCs w:val="10"/>
                <w:b w:val="1"/>
                <w:bCs w:val="1"/>
                <w:color w:val="auto"/>
              </w:rPr>
              <w:t>(4),(5)</w:t>
            </w:r>
          </w:p>
        </w:tc>
        <w:tc>
          <w:tcPr>
            <w:tcW w:w="2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20" w:type="dxa"/>
            <w:vAlign w:val="bottom"/>
          </w:tcPr>
          <w:p>
            <w:pPr>
              <w:jc w:val="center"/>
              <w:ind w:left="137"/>
              <w:spacing w:after="0"/>
              <w:rPr>
                <w:sz w:val="20"/>
                <w:szCs w:val="20"/>
                <w:color w:val="auto"/>
              </w:rPr>
            </w:pPr>
            <w:r>
              <w:rPr>
                <w:rFonts w:ascii="Arial" w:cs="Arial" w:eastAsia="Arial" w:hAnsi="Arial"/>
                <w:sz w:val="13"/>
                <w:szCs w:val="13"/>
                <w:b w:val="1"/>
                <w:bCs w:val="1"/>
                <w:color w:val="auto"/>
                <w:w w:val="90"/>
              </w:rPr>
              <w:t>Principal</w:t>
            </w:r>
          </w:p>
        </w:tc>
        <w:tc>
          <w:tcPr>
            <w:tcW w:w="580" w:type="dxa"/>
            <w:vAlign w:val="bottom"/>
          </w:tcPr>
          <w:p>
            <w:pPr>
              <w:spacing w:after="0"/>
              <w:rPr>
                <w:sz w:val="14"/>
                <w:szCs w:val="14"/>
                <w:color w:val="auto"/>
              </w:rPr>
            </w:pPr>
          </w:p>
        </w:tc>
        <w:tc>
          <w:tcPr>
            <w:tcW w:w="1420" w:type="dxa"/>
            <w:vAlign w:val="bottom"/>
          </w:tcPr>
          <w:p>
            <w:pPr>
              <w:ind w:left="100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040" w:type="dxa"/>
            <w:vAlign w:val="bottom"/>
            <w:vMerge w:val="continue"/>
          </w:tcPr>
          <w:p>
            <w:pPr>
              <w:spacing w:after="0"/>
              <w:rPr>
                <w:sz w:val="13"/>
                <w:szCs w:val="13"/>
                <w:color w:val="auto"/>
              </w:rPr>
            </w:pPr>
          </w:p>
        </w:tc>
        <w:tc>
          <w:tcPr>
            <w:tcW w:w="2460" w:type="dxa"/>
            <w:vAlign w:val="bottom"/>
          </w:tcPr>
          <w:p>
            <w:pPr>
              <w:ind w:left="1240"/>
              <w:spacing w:after="0"/>
              <w:rPr>
                <w:sz w:val="20"/>
                <w:szCs w:val="20"/>
                <w:color w:val="auto"/>
              </w:rPr>
            </w:pPr>
            <w:r>
              <w:rPr>
                <w:rFonts w:ascii="Arial" w:cs="Arial" w:eastAsia="Arial" w:hAnsi="Arial"/>
                <w:sz w:val="13"/>
                <w:szCs w:val="13"/>
                <w:b w:val="1"/>
                <w:bCs w:val="1"/>
                <w:color w:val="auto"/>
              </w:rPr>
              <w:t>Industry</w:t>
            </w:r>
          </w:p>
        </w:tc>
        <w:tc>
          <w:tcPr>
            <w:tcW w:w="2140" w:type="dxa"/>
            <w:vAlign w:val="bottom"/>
          </w:tcPr>
          <w:p>
            <w:pPr>
              <w:ind w:left="760"/>
              <w:spacing w:after="0"/>
              <w:rPr>
                <w:sz w:val="20"/>
                <w:szCs w:val="20"/>
                <w:color w:val="auto"/>
              </w:rPr>
            </w:pPr>
            <w:r>
              <w:rPr>
                <w:rFonts w:ascii="Arial" w:cs="Arial" w:eastAsia="Arial" w:hAnsi="Arial"/>
                <w:sz w:val="13"/>
                <w:szCs w:val="13"/>
                <w:b w:val="1"/>
                <w:bCs w:val="1"/>
                <w:color w:val="auto"/>
              </w:rPr>
              <w:t>Type of Investment</w:t>
            </w:r>
          </w:p>
        </w:tc>
        <w:tc>
          <w:tcPr>
            <w:tcW w:w="1020" w:type="dxa"/>
            <w:vAlign w:val="bottom"/>
          </w:tcPr>
          <w:p>
            <w:pPr>
              <w:jc w:val="center"/>
              <w:ind w:left="117"/>
              <w:spacing w:after="0"/>
              <w:rPr>
                <w:sz w:val="20"/>
                <w:szCs w:val="20"/>
                <w:color w:val="auto"/>
              </w:rPr>
            </w:pPr>
            <w:r>
              <w:rPr>
                <w:rFonts w:ascii="Arial" w:cs="Arial" w:eastAsia="Arial" w:hAnsi="Arial"/>
                <w:sz w:val="13"/>
                <w:szCs w:val="13"/>
                <w:b w:val="1"/>
                <w:bCs w:val="1"/>
                <w:color w:val="auto"/>
                <w:w w:val="89"/>
              </w:rPr>
              <w:t>Amount</w:t>
            </w:r>
          </w:p>
        </w:tc>
        <w:tc>
          <w:tcPr>
            <w:tcW w:w="580" w:type="dxa"/>
            <w:vAlign w:val="bottom"/>
          </w:tcPr>
          <w:p>
            <w:pPr>
              <w:ind w:left="180"/>
              <w:spacing w:after="0"/>
              <w:rPr>
                <w:sz w:val="20"/>
                <w:szCs w:val="20"/>
                <w:color w:val="auto"/>
              </w:rPr>
            </w:pPr>
            <w:r>
              <w:rPr>
                <w:rFonts w:ascii="Arial" w:cs="Arial" w:eastAsia="Arial" w:hAnsi="Arial"/>
                <w:sz w:val="13"/>
                <w:szCs w:val="13"/>
                <w:b w:val="1"/>
                <w:bCs w:val="1"/>
                <w:color w:val="auto"/>
              </w:rPr>
              <w:t>Cost</w:t>
            </w:r>
          </w:p>
        </w:tc>
        <w:tc>
          <w:tcPr>
            <w:tcW w:w="1420" w:type="dxa"/>
            <w:vAlign w:val="bottom"/>
          </w:tcPr>
          <w:p>
            <w:pPr>
              <w:ind w:left="160"/>
              <w:spacing w:after="0"/>
              <w:rPr>
                <w:sz w:val="20"/>
                <w:szCs w:val="20"/>
                <w:color w:val="auto"/>
              </w:rPr>
            </w:pPr>
            <w:r>
              <w:rPr>
                <w:rFonts w:ascii="Arial" w:cs="Arial" w:eastAsia="Arial" w:hAnsi="Arial"/>
                <w:sz w:val="13"/>
                <w:szCs w:val="13"/>
                <w:b w:val="1"/>
                <w:bCs w:val="1"/>
                <w:color w:val="auto"/>
                <w:w w:val="90"/>
              </w:rPr>
              <w:t>Fair Value  Net 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47510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rPr>
          <w:sz w:val="20"/>
          <w:szCs w:val="20"/>
          <w:color w:val="auto"/>
        </w:rPr>
      </w:pPr>
      <w:r>
        <w:rPr>
          <w:rFonts w:ascii="Arial" w:cs="Arial" w:eastAsia="Arial" w:hAnsi="Arial"/>
          <w:sz w:val="14"/>
          <w:szCs w:val="14"/>
          <w:color w:val="auto"/>
        </w:rPr>
        <w:t>Caregiver Services, Inc.</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Cedar Electronics Holding Corp.</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Community Choice Financial, Inc.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Construction Partners, Inc.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Corporate Visions,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Corporate Visions, Inc.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CSM Bakery Solutions, LLC</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color w:val="auto"/>
        </w:rPr>
        <w:t>Emerging Markets Communications,</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LLC</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Flavors Holdings,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Flavors Holdings, Inc.</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Group Cirque du Soleil, Inc.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Immersive Media Tactical Solutions,</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LLC</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Kelle’s Transport Service,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Kelle’s Transport Service,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Kelle’s Transport Service,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Medical Depot,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Medical Depot, Inc.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Nielsen &amp; Bainbridge,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22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tcBorders>
              <w:top w:val="single" w:sz="8" w:color="auto"/>
            </w:tcBorders>
          </w:tcPr>
          <w:p>
            <w:pPr>
              <w:ind w:left="100"/>
              <w:spacing w:after="0" w:line="133" w:lineRule="exact"/>
              <w:rPr>
                <w:sz w:val="20"/>
                <w:szCs w:val="20"/>
                <w:color w:val="auto"/>
              </w:rPr>
            </w:pPr>
            <w:r>
              <w:rPr>
                <w:rFonts w:ascii="Arial" w:cs="Arial" w:eastAsia="Arial" w:hAnsi="Arial"/>
                <w:sz w:val="14"/>
                <w:szCs w:val="14"/>
                <w:color w:val="auto"/>
                <w:w w:val="95"/>
              </w:rPr>
              <w:t>Common Stock Warrants (655,908</w:t>
            </w: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80"/>
              <w:spacing w:after="0"/>
              <w:rPr>
                <w:sz w:val="20"/>
                <w:szCs w:val="20"/>
                <w:color w:val="auto"/>
              </w:rPr>
            </w:pPr>
            <w:r>
              <w:rPr>
                <w:rFonts w:ascii="Arial" w:cs="Arial" w:eastAsia="Arial" w:hAnsi="Arial"/>
                <w:sz w:val="14"/>
                <w:szCs w:val="14"/>
                <w:color w:val="auto"/>
              </w:rPr>
              <w:t>In-Home Healthcare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units)</w:t>
            </w:r>
            <w:r>
              <w:rPr>
                <w:rFonts w:ascii="Arial" w:cs="Arial" w:eastAsia="Arial" w:hAnsi="Arial"/>
                <w:sz w:val="22"/>
                <w:szCs w:val="22"/>
                <w:color w:val="auto"/>
                <w:vertAlign w:val="superscript"/>
              </w:rPr>
              <w:t>(7)</w:t>
            </w:r>
          </w:p>
        </w:tc>
        <w:tc>
          <w:tcPr>
            <w:tcW w:w="92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264</w:t>
            </w:r>
          </w:p>
        </w:tc>
        <w:tc>
          <w:tcPr>
            <w:tcW w:w="6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309</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Consumer Electronics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12/26/20)</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  21,550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21,550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20,818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(18%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20,818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month LIBOR + 17%, 1% Floor),</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80"/>
              <w:spacing w:after="0"/>
              <w:rPr>
                <w:sz w:val="20"/>
                <w:szCs w:val="20"/>
                <w:color w:val="auto"/>
              </w:rPr>
            </w:pPr>
            <w:r>
              <w:rPr>
                <w:rFonts w:ascii="Arial" w:cs="Arial" w:eastAsia="Arial" w:hAnsi="Arial"/>
                <w:sz w:val="14"/>
                <w:szCs w:val="14"/>
                <w:color w:val="auto"/>
              </w:rPr>
              <w:t>Financial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Due 3/30/18)</w:t>
            </w:r>
            <w:r>
              <w:rPr>
                <w:rFonts w:ascii="Arial" w:cs="Arial" w:eastAsia="Arial" w:hAnsi="Arial"/>
                <w:sz w:val="22"/>
                <w:szCs w:val="22"/>
                <w:color w:val="auto"/>
                <w:vertAlign w:val="superscript"/>
              </w:rPr>
              <w:t>(1)(8)</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15,000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15,000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Second Lien Debt (11.5%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Construction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6/12/20)</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9,500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9,500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9,500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8"/>
              </w:rPr>
              <w:t>Subordinated Debt (9% Cash, 2%</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PIK, Due 11/29/21)</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16,267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16,267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15,648</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Common Stock (15,750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1,575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728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6"/>
              </w:rPr>
              <w:t>Second Lien Debt (8.75%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17,842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16,376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+ 7.75%,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Bakery Supplies Distributor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Due 8/7/22)</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12,000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11,813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10,776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7"/>
              </w:rPr>
              <w:t>Second Lien Debt (10.625%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10,776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(1 month LIBOR + 9.625%,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Satellite Communications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Due 7/1/22)</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4,946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5,000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(6.75%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4,946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+ 5.75%,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Food Product Manufacturer</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Floor), Due 4/3/20)</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6,930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6,411</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Second Lien Debt (11%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+ 10%,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Food Product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10/3/21)</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12,000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11,671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10,188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6"/>
              </w:rPr>
              <w:t>Second Lien Debt (9.25% Cash (3</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18,601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16,599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month LIBOR + 8.25%, 1%</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80"/>
              <w:spacing w:after="0"/>
              <w:rPr>
                <w:sz w:val="20"/>
                <w:szCs w:val="20"/>
                <w:color w:val="auto"/>
              </w:rPr>
            </w:pPr>
            <w:r>
              <w:rPr>
                <w:rFonts w:ascii="Arial" w:cs="Arial" w:eastAsia="Arial" w:hAnsi="Arial"/>
                <w:sz w:val="14"/>
                <w:szCs w:val="14"/>
                <w:color w:val="auto"/>
              </w:rPr>
              <w:t>Entertainment</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Floor), Due 7/8/23)</w:t>
            </w:r>
            <w:r>
              <w:rPr>
                <w:rFonts w:ascii="Arial" w:cs="Arial" w:eastAsia="Arial" w:hAnsi="Arial"/>
                <w:sz w:val="22"/>
                <w:szCs w:val="22"/>
                <w:color w:val="auto"/>
                <w:vertAlign w:val="superscript"/>
              </w:rPr>
              <w:t>(8)</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988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987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9"/>
              </w:rPr>
              <w:t>Subordinated Debt (Due 12/9/19)</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80" w:type="dxa"/>
            <w:vAlign w:val="bottom"/>
          </w:tcPr>
          <w:p>
            <w:pPr>
              <w:ind w:left="80"/>
              <w:spacing w:after="0"/>
              <w:rPr>
                <w:sz w:val="20"/>
                <w:szCs w:val="20"/>
                <w:color w:val="auto"/>
              </w:rPr>
            </w:pPr>
            <w:r>
              <w:rPr>
                <w:rFonts w:ascii="Arial" w:cs="Arial" w:eastAsia="Arial" w:hAnsi="Arial"/>
                <w:sz w:val="14"/>
                <w:szCs w:val="14"/>
                <w:color w:val="auto"/>
              </w:rPr>
              <w:t>Specialty Defense Contractor</w:t>
            </w:r>
          </w:p>
        </w:tc>
        <w:tc>
          <w:tcPr>
            <w:tcW w:w="2220" w:type="dxa"/>
            <w:vAlign w:val="bottom"/>
            <w:gridSpan w:val="2"/>
          </w:tcPr>
          <w:p>
            <w:pPr>
              <w:ind w:left="140"/>
              <w:spacing w:after="0"/>
              <w:rPr>
                <w:sz w:val="20"/>
                <w:szCs w:val="20"/>
                <w:color w:val="auto"/>
              </w:rPr>
            </w:pPr>
            <w:r>
              <w:rPr>
                <w:rFonts w:ascii="Arial" w:cs="Arial" w:eastAsia="Arial" w:hAnsi="Arial"/>
                <w:sz w:val="12"/>
                <w:szCs w:val="12"/>
                <w:color w:val="auto"/>
              </w:rPr>
              <w:t>(9)</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1,532</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(14%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3/31/19)</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13,674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13,668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13,252</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9"/>
              </w:rPr>
              <w:t>Preferred Units (1,000 units, 10%</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3,433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3,433</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(15%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171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(14%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16,856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9/27/20)</w:t>
            </w:r>
            <w:r>
              <w:rPr>
                <w:rFonts w:ascii="Arial" w:cs="Arial" w:eastAsia="Arial" w:hAnsi="Arial"/>
                <w:sz w:val="20"/>
                <w:szCs w:val="20"/>
                <w:color w:val="auto"/>
                <w:vertAlign w:val="superscript"/>
              </w:rPr>
              <w:t>(1)</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14,667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14,667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14,667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C Convertible Preferred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Stock (740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1,333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6,440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6"/>
              </w:rPr>
              <w:t>Second Lien Debt (10.5% Cash (6</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21,107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+ 9.25%,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Home Décor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Due 8/15/21)</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14,849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14,670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14,849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14,670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120" w:space="240"/>
            <w:col w:w="7719"/>
          </w:cols>
          <w:pgMar w:left="380" w:top="792" w:right="1440" w:bottom="1440" w:gutter="0" w:footer="0" w:header="0"/>
          <w:type w:val="continuous"/>
        </w:sectPr>
      </w:pPr>
    </w:p>
    <w:p>
      <w:pPr>
        <w:spacing w:after="0" w:line="326"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07" w:name="page108"/>
    <w:bookmarkEnd w:id="10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units/shares)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616585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20320</wp:posOffset>
            </wp:positionV>
            <wp:extent cx="616585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9"/>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34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23"/>
        </w:trPr>
        <w:tc>
          <w:tcPr>
            <w:tcW w:w="2340" w:type="dxa"/>
            <w:vAlign w:val="bottom"/>
          </w:tcPr>
          <w:p>
            <w:pPr>
              <w:ind w:left="20"/>
              <w:spacing w:after="0" w:line="123" w:lineRule="exact"/>
              <w:rPr>
                <w:sz w:val="20"/>
                <w:szCs w:val="20"/>
                <w:color w:val="auto"/>
              </w:rPr>
            </w:pPr>
            <w:r>
              <w:rPr>
                <w:rFonts w:ascii="Arial" w:cs="Arial" w:eastAsia="Arial" w:hAnsi="Arial"/>
                <w:sz w:val="14"/>
                <w:szCs w:val="14"/>
                <w:color w:val="auto"/>
              </w:rPr>
              <w:t>Nth Degree, Inc.</w:t>
            </w: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tcPr>
          <w:p>
            <w:pPr>
              <w:ind w:left="100"/>
              <w:spacing w:after="0" w:line="123" w:lineRule="exact"/>
              <w:rPr>
                <w:sz w:val="20"/>
                <w:szCs w:val="20"/>
                <w:color w:val="auto"/>
              </w:rPr>
            </w:pPr>
            <w:r>
              <w:rPr>
                <w:rFonts w:ascii="Arial" w:cs="Arial" w:eastAsia="Arial" w:hAnsi="Arial"/>
                <w:sz w:val="14"/>
                <w:szCs w:val="14"/>
                <w:color w:val="auto"/>
              </w:rPr>
              <w:t>First Lien Debt (8.0% Cash (1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+ 7%, 1% Floor),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1% PIK, Due 12/14/20)</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9,904</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9,904</w:t>
            </w:r>
          </w:p>
        </w:tc>
        <w:tc>
          <w:tcPr>
            <w:tcW w:w="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9,904</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Nth Degree,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First Lien Debt (12.5% Cash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w w:val="96"/>
              </w:rPr>
              <w:t>month LIBOR + 11.5%, 1% Floor),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2% PIK, Due 12/14/20)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7,351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7,351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7,351</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8"/>
        </w:trPr>
        <w:tc>
          <w:tcPr>
            <w:tcW w:w="2340" w:type="dxa"/>
            <w:vAlign w:val="bottom"/>
          </w:tcPr>
          <w:p>
            <w:pPr>
              <w:ind w:left="20"/>
              <w:spacing w:after="0" w:line="159" w:lineRule="exact"/>
              <w:rPr>
                <w:sz w:val="20"/>
                <w:szCs w:val="20"/>
                <w:color w:val="auto"/>
              </w:rPr>
            </w:pPr>
            <w:r>
              <w:rPr>
                <w:rFonts w:ascii="Arial" w:cs="Arial" w:eastAsia="Arial" w:hAnsi="Arial"/>
                <w:sz w:val="14"/>
                <w:szCs w:val="14"/>
                <w:color w:val="auto"/>
              </w:rPr>
              <w:t>Nth Degree, Inc.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Preferred Stock (10% PIK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dividend)</w:t>
            </w:r>
            <w:r>
              <w:rPr>
                <w:rFonts w:ascii="Arial" w:cs="Arial" w:eastAsia="Arial" w:hAnsi="Arial"/>
                <w:sz w:val="22"/>
                <w:szCs w:val="22"/>
                <w:color w:val="auto"/>
                <w:vertAlign w:val="superscript"/>
              </w:rPr>
              <w:t>(6)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2,662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4,581</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Portrait Innovations, Inc.</w:t>
            </w:r>
          </w:p>
        </w:tc>
        <w:tc>
          <w:tcPr>
            <w:tcW w:w="40" w:type="dxa"/>
            <w:vAlign w:val="bottom"/>
          </w:tcPr>
          <w:p>
            <w:pPr>
              <w:spacing w:after="0"/>
              <w:rPr>
                <w:sz w:val="12"/>
                <w:szCs w:val="12"/>
                <w:color w:val="auto"/>
              </w:rPr>
            </w:pPr>
          </w:p>
        </w:tc>
        <w:tc>
          <w:tcPr>
            <w:tcW w:w="2280" w:type="dxa"/>
            <w:vAlign w:val="bottom"/>
            <w:vMerge w:val="restart"/>
          </w:tcPr>
          <w:p>
            <w:pPr>
              <w:ind w:left="80"/>
              <w:spacing w:after="0"/>
              <w:rPr>
                <w:sz w:val="20"/>
                <w:szCs w:val="20"/>
                <w:color w:val="auto"/>
              </w:rPr>
            </w:pPr>
            <w:r>
              <w:rPr>
                <w:rFonts w:ascii="Arial" w:cs="Arial" w:eastAsia="Arial" w:hAnsi="Arial"/>
                <w:sz w:val="14"/>
                <w:szCs w:val="14"/>
                <w:color w:val="auto"/>
              </w:rPr>
              <w:t>Professional and Personal Digital</w:t>
            </w: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19,917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21,836</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Imaging</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2/26/20)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9,000</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w w:val="95"/>
              </w:rPr>
              <w:t>Sequoia Healthcare Management,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 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9,000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9,000</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Healthcare Management</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PIK, Due 7/17/19)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10,851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10,750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10,851</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Sierra Hamilton,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4"/>
              </w:rPr>
              <w:t>First Lien Debt (12.25% Cash, Due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10,750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10,851</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56"/>
        </w:trPr>
        <w:tc>
          <w:tcPr>
            <w:tcW w:w="23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Pr>
          <w:p>
            <w:pPr>
              <w:ind w:left="80"/>
              <w:spacing w:after="0" w:line="155" w:lineRule="exact"/>
              <w:rPr>
                <w:sz w:val="20"/>
                <w:szCs w:val="20"/>
                <w:color w:val="auto"/>
              </w:rPr>
            </w:pPr>
            <w:r>
              <w:rPr>
                <w:rFonts w:ascii="Arial" w:cs="Arial" w:eastAsia="Arial" w:hAnsi="Arial"/>
                <w:sz w:val="14"/>
                <w:szCs w:val="14"/>
                <w:color w:val="auto"/>
              </w:rPr>
              <w:t>Oil &amp; Gas Engineering and</w:t>
            </w:r>
          </w:p>
        </w:tc>
        <w:tc>
          <w:tcPr>
            <w:tcW w:w="40" w:type="dxa"/>
            <w:vAlign w:val="bottom"/>
          </w:tcPr>
          <w:p>
            <w:pPr>
              <w:spacing w:after="0"/>
              <w:rPr>
                <w:sz w:val="13"/>
                <w:szCs w:val="13"/>
                <w:color w:val="auto"/>
              </w:rPr>
            </w:pPr>
          </w:p>
        </w:tc>
        <w:tc>
          <w:tcPr>
            <w:tcW w:w="21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Consulting Services</w:t>
            </w:r>
          </w:p>
        </w:tc>
        <w:tc>
          <w:tcPr>
            <w:tcW w:w="222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12/15/18)</w:t>
            </w:r>
            <w:r>
              <w:rPr>
                <w:rFonts w:ascii="Arial" w:cs="Arial" w:eastAsia="Arial" w:hAnsi="Arial"/>
                <w:sz w:val="20"/>
                <w:szCs w:val="20"/>
                <w:color w:val="auto"/>
                <w:vertAlign w:val="superscript"/>
              </w:rPr>
              <w:t>(2)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4,500</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Sur La Table,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4,500</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Retail</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7/28/20)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15,000</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Taylor Precision Products,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Series C Preferred Stock (379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Household Product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1,001</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U.S. Well Services,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(14.1% PIK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758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1,001</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+ 13.5%, 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Due 5/2/19)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15,083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15,054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15,083</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Velum Global Credit Management,</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(15%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15,054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15,083</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340" w:type="dxa"/>
            <w:vAlign w:val="bottom"/>
          </w:tcPr>
          <w:p>
            <w:pPr>
              <w:ind w:left="200"/>
              <w:spacing w:after="0"/>
              <w:rPr>
                <w:sz w:val="20"/>
                <w:szCs w:val="20"/>
                <w:color w:val="auto"/>
              </w:rPr>
            </w:pPr>
            <w:r>
              <w:rPr>
                <w:rFonts w:ascii="Arial" w:cs="Arial" w:eastAsia="Arial" w:hAnsi="Arial"/>
                <w:sz w:val="14"/>
                <w:szCs w:val="14"/>
                <w:color w:val="auto"/>
              </w:rPr>
              <w:t>LLC</w:t>
            </w:r>
          </w:p>
        </w:tc>
        <w:tc>
          <w:tcPr>
            <w:tcW w:w="40" w:type="dxa"/>
            <w:vAlign w:val="bottom"/>
          </w:tcPr>
          <w:p>
            <w:pPr>
              <w:spacing w:after="0"/>
              <w:rPr>
                <w:sz w:val="18"/>
                <w:szCs w:val="18"/>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Financial Services</w:t>
            </w:r>
          </w:p>
        </w:tc>
        <w:tc>
          <w:tcPr>
            <w:tcW w:w="40" w:type="dxa"/>
            <w:vAlign w:val="bottom"/>
          </w:tcPr>
          <w:p>
            <w:pPr>
              <w:spacing w:after="0"/>
              <w:rPr>
                <w:sz w:val="18"/>
                <w:szCs w:val="18"/>
                <w:color w:val="auto"/>
              </w:rPr>
            </w:pPr>
          </w:p>
        </w:tc>
        <w:tc>
          <w:tcPr>
            <w:tcW w:w="2180" w:type="dxa"/>
            <w:vAlign w:val="bottom"/>
          </w:tcPr>
          <w:p>
            <w:pPr>
              <w:ind w:left="100"/>
              <w:spacing w:after="0" w:line="208" w:lineRule="exact"/>
              <w:rPr>
                <w:sz w:val="20"/>
                <w:szCs w:val="20"/>
                <w:color w:val="auto"/>
              </w:rPr>
            </w:pPr>
            <w:r>
              <w:rPr>
                <w:rFonts w:ascii="Arial" w:cs="Arial" w:eastAsia="Arial" w:hAnsi="Arial"/>
                <w:sz w:val="14"/>
                <w:szCs w:val="14"/>
                <w:color w:val="auto"/>
              </w:rPr>
              <w:t>Due 12/31/17)</w:t>
            </w:r>
            <w:r>
              <w:rPr>
                <w:rFonts w:ascii="Arial" w:cs="Arial" w:eastAsia="Arial" w:hAnsi="Arial"/>
                <w:sz w:val="23"/>
                <w:szCs w:val="23"/>
                <w:color w:val="auto"/>
                <w:vertAlign w:val="superscript"/>
              </w:rPr>
              <w:t>(1)(8)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10,553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10,553</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Vintage Stock,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(13.1% Cash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10,553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10,553</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+ 12.5%, 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Specialty Retail</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3% PIK, Due 11/3/21)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22,067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22,067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22,067</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Vology,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9"/>
              </w:rPr>
              <w:t>Subordinated Debt (15% Cash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22,067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22,067</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+ 14%, 1% Floor,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Information Technology</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2% PIK), Due 1/24/21)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8,082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8,082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8,082</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Western Windows Systems,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8"/>
              </w:rPr>
              <w:t>First Lien Debt (11.7% Cash, Due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8,082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8,082</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33"/>
        </w:trPr>
        <w:tc>
          <w:tcPr>
            <w:tcW w:w="23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Building Products</w:t>
            </w:r>
          </w:p>
        </w:tc>
        <w:tc>
          <w:tcPr>
            <w:tcW w:w="2220" w:type="dxa"/>
            <w:vAlign w:val="bottom"/>
            <w:gridSpan w:val="2"/>
          </w:tcPr>
          <w:p>
            <w:pPr>
              <w:ind w:left="140"/>
              <w:spacing w:after="0" w:line="179" w:lineRule="exact"/>
              <w:rPr>
                <w:sz w:val="20"/>
                <w:szCs w:val="20"/>
                <w:color w:val="auto"/>
              </w:rPr>
            </w:pPr>
            <w:r>
              <w:rPr>
                <w:rFonts w:ascii="Arial" w:cs="Arial" w:eastAsia="Arial" w:hAnsi="Arial"/>
                <w:sz w:val="13"/>
                <w:szCs w:val="13"/>
                <w:color w:val="auto"/>
              </w:rPr>
              <w:t>7/31/20)</w:t>
            </w:r>
            <w:r>
              <w:rPr>
                <w:rFonts w:ascii="Arial" w:cs="Arial" w:eastAsia="Arial" w:hAnsi="Arial"/>
                <w:sz w:val="20"/>
                <w:szCs w:val="20"/>
                <w:color w:val="auto"/>
                <w:vertAlign w:val="superscript"/>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10,500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10,500</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7"/>
        </w:trPr>
        <w:tc>
          <w:tcPr>
            <w:tcW w:w="2340" w:type="dxa"/>
            <w:vAlign w:val="bottom"/>
          </w:tcPr>
          <w:p>
            <w:pPr>
              <w:ind w:left="20"/>
              <w:spacing w:after="0"/>
              <w:rPr>
                <w:sz w:val="20"/>
                <w:szCs w:val="20"/>
                <w:color w:val="auto"/>
              </w:rPr>
            </w:pPr>
            <w:r>
              <w:rPr>
                <w:rFonts w:ascii="Arial" w:cs="Arial" w:eastAsia="Arial" w:hAnsi="Arial"/>
                <w:sz w:val="14"/>
                <w:szCs w:val="14"/>
                <w:color w:val="auto"/>
              </w:rPr>
              <w:t>Western Windows Systems, LLC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Building Products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Membership Units (39,860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7,652</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Xirgo Technologies,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(11.5%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13,500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18,152</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Information Technology</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3/1/22)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15,750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15,750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15,750</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7"/>
        </w:trPr>
        <w:tc>
          <w:tcPr>
            <w:tcW w:w="2340" w:type="dxa"/>
            <w:vAlign w:val="bottom"/>
          </w:tcPr>
          <w:p>
            <w:pPr>
              <w:ind w:left="20"/>
              <w:spacing w:after="0"/>
              <w:rPr>
                <w:sz w:val="20"/>
                <w:szCs w:val="20"/>
                <w:color w:val="auto"/>
              </w:rPr>
            </w:pPr>
            <w:r>
              <w:rPr>
                <w:rFonts w:ascii="Arial" w:cs="Arial" w:eastAsia="Arial" w:hAnsi="Arial"/>
                <w:sz w:val="14"/>
                <w:szCs w:val="14"/>
                <w:color w:val="auto"/>
              </w:rPr>
              <w:t>Xirgo Technologies, LLC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Information Technology</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w w:val="98"/>
              </w:rPr>
              <w:t>Membership Units (400,000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 Total Non-control/non-affiliated investments</w:t>
            </w: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16,150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16,150</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2"/>
        </w:trPr>
        <w:tc>
          <w:tcPr>
            <w:tcW w:w="46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391,706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393,525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157.1%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left="3160"/>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units/shares)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-73025</wp:posOffset>
            </wp:positionV>
            <wp:extent cx="616585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616585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14751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ind w:right="480"/>
        <w:spacing w:after="0" w:line="271" w:lineRule="auto"/>
        <w:rPr>
          <w:sz w:val="20"/>
          <w:szCs w:val="20"/>
          <w:color w:val="auto"/>
        </w:rPr>
      </w:pPr>
      <w:r>
        <w:rPr>
          <w:rFonts w:ascii="Arial" w:cs="Arial" w:eastAsia="Arial" w:hAnsi="Arial"/>
          <w:sz w:val="13"/>
          <w:szCs w:val="13"/>
          <w:b w:val="1"/>
          <w:bCs w:val="1"/>
          <w:color w:val="auto"/>
        </w:rPr>
        <w:t xml:space="preserve">Affiliate investments – 24.5% </w:t>
      </w:r>
      <w:r>
        <w:rPr>
          <w:rFonts w:ascii="Arial" w:cs="Arial" w:eastAsia="Arial" w:hAnsi="Arial"/>
          <w:sz w:val="13"/>
          <w:szCs w:val="13"/>
          <w:color w:val="auto"/>
        </w:rPr>
        <w:t>Burgaflex Holdings, LLC</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Burgaflex Holdings,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Burgaflex Holdings, LLC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City Gear,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City Gear, LLC</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City Gear,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GA Communications,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GA Communications, Inc.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J&amp;J Produce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J&amp;J Produce Holdings, Inc.</w:t>
      </w:r>
    </w:p>
    <w:p>
      <w:pPr>
        <w:spacing w:after="0"/>
        <w:rPr>
          <w:sz w:val="20"/>
          <w:szCs w:val="20"/>
          <w:color w:val="auto"/>
        </w:rPr>
      </w:pPr>
      <w:r>
        <w:rPr>
          <w:rFonts w:ascii="Arial" w:cs="Arial" w:eastAsia="Arial" w:hAnsi="Arial"/>
          <w:sz w:val="14"/>
          <w:szCs w:val="14"/>
          <w:color w:val="auto"/>
        </w:rPr>
        <w:t>J&amp;J Produce Holdings, Inc.</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LJS Partners, LLC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MJC Holdings,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MMI Holdings,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MMI Holdings,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MMI Holdings,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MMI Holdings,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MTI Holdings, LLC</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Source Capital Penray,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Source Capital Penray, LLC</w:t>
      </w:r>
    </w:p>
    <w:p>
      <w:pPr>
        <w:spacing w:after="0" w:line="312" w:lineRule="exact"/>
        <w:rPr>
          <w:sz w:val="20"/>
          <w:szCs w:val="20"/>
          <w:color w:val="auto"/>
        </w:rPr>
      </w:pPr>
    </w:p>
    <w:p>
      <w:pPr>
        <w:ind w:left="180" w:hanging="179"/>
        <w:spacing w:after="0" w:line="253" w:lineRule="auto"/>
        <w:rPr>
          <w:sz w:val="20"/>
          <w:szCs w:val="20"/>
          <w:color w:val="auto"/>
        </w:rPr>
      </w:pPr>
      <w:r>
        <w:rPr>
          <w:rFonts w:ascii="Arial" w:cs="Arial" w:eastAsia="Arial" w:hAnsi="Arial"/>
          <w:sz w:val="14"/>
          <w:szCs w:val="14"/>
          <w:color w:val="auto"/>
        </w:rPr>
        <w:t>STX Healthcare Management Services, Inc.</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 Total Affiliate investments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282"/>
        </w:trPr>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Subordinated Debt (14% Cash,</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Automobile Part Manufacturer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8/9/19)</w:t>
            </w:r>
            <w:r>
              <w:rPr>
                <w:rFonts w:ascii="Arial" w:cs="Arial" w:eastAsia="Arial" w:hAnsi="Arial"/>
                <w:sz w:val="20"/>
                <w:szCs w:val="20"/>
                <w:color w:val="auto"/>
                <w:vertAlign w:val="superscript"/>
              </w:rPr>
              <w:t>(10)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3,000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3,000</w:t>
            </w:r>
          </w:p>
        </w:tc>
        <w:tc>
          <w:tcPr>
            <w:tcW w:w="6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3,000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Automobile Part Manufacturer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8/9/19)</w:t>
            </w:r>
            <w:r>
              <w:rPr>
                <w:rFonts w:ascii="Arial" w:cs="Arial" w:eastAsia="Arial" w:hAnsi="Arial"/>
                <w:sz w:val="20"/>
                <w:szCs w:val="20"/>
                <w:color w:val="auto"/>
                <w:vertAlign w:val="superscript"/>
              </w:rPr>
              <w:t>(10)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5,828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5,828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5,828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Automobile Part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w w:val="94"/>
              </w:rPr>
              <w:t>Common Stock (1,253,198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1,504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1,248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10,332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10,076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9/28/17)</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8,231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8,231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8,231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(2.78% fully diluted, 9%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1,269</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(11.38% 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9,736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8"/>
              </w:rPr>
              <w:t>Series A-1 Preferred Stock (1,998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19,236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Advertising &amp; Marketing Services</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shares, 8% PIK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2,648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2,864</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B-1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Advertising &amp; Marketing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(200,000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1,046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3,910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7/16/18)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6,182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6,182</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(8,182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818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(6,369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6,182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280" w:type="dxa"/>
            <w:vAlign w:val="bottom"/>
          </w:tcPr>
          <w:p>
            <w:pPr>
              <w:ind w:left="80"/>
              <w:spacing w:after="0" w:line="142" w:lineRule="exact"/>
              <w:rPr>
                <w:sz w:val="20"/>
                <w:szCs w:val="20"/>
                <w:color w:val="auto"/>
              </w:rPr>
            </w:pPr>
            <w:r>
              <w:rPr>
                <w:rFonts w:ascii="Arial" w:cs="Arial" w:eastAsia="Arial" w:hAnsi="Arial"/>
                <w:sz w:val="14"/>
                <w:szCs w:val="14"/>
                <w:color w:val="auto"/>
              </w:rPr>
              <w:t>QSR Franchisor</w:t>
            </w:r>
          </w:p>
        </w:tc>
        <w:tc>
          <w:tcPr>
            <w:tcW w:w="40" w:type="dxa"/>
            <w:vAlign w:val="bottom"/>
          </w:tcPr>
          <w:p>
            <w:pPr>
              <w:spacing w:after="0"/>
              <w:rPr>
                <w:sz w:val="12"/>
                <w:szCs w:val="12"/>
                <w:color w:val="auto"/>
              </w:rPr>
            </w:pPr>
          </w:p>
        </w:tc>
        <w:tc>
          <w:tcPr>
            <w:tcW w:w="2180" w:type="dxa"/>
            <w:vAlign w:val="bottom"/>
          </w:tcPr>
          <w:p>
            <w:pPr>
              <w:ind w:left="100"/>
              <w:spacing w:after="0" w:line="142" w:lineRule="exact"/>
              <w:rPr>
                <w:sz w:val="20"/>
                <w:szCs w:val="20"/>
                <w:color w:val="auto"/>
              </w:rPr>
            </w:pPr>
            <w:r>
              <w:rPr>
                <w:rFonts w:ascii="Arial" w:cs="Arial" w:eastAsia="Arial" w:hAnsi="Arial"/>
                <w:sz w:val="14"/>
                <w:szCs w:val="14"/>
                <w:color w:val="auto"/>
                <w:w w:val="94"/>
              </w:rPr>
              <w:t>Common Stock (1,500,000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8,497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Series A Preferred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8,497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Specialty Clothing</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(2,000,000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5,011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5,011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1/31/18)</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2,600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2,600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Subordinated Debt (6%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1/31/18)</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400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400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Preferred Units (1,000 units, 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1,296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1,433</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Membership Units (45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228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Membership Units (2,000,000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4,284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4,661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80"/>
              <w:spacing w:after="0"/>
              <w:rPr>
                <w:sz w:val="20"/>
                <w:szCs w:val="20"/>
                <w:color w:val="auto"/>
              </w:rPr>
            </w:pPr>
            <w:r>
              <w:rPr>
                <w:rFonts w:ascii="Arial" w:cs="Arial" w:eastAsia="Arial" w:hAnsi="Arial"/>
                <w:sz w:val="14"/>
                <w:szCs w:val="14"/>
                <w:color w:val="auto"/>
              </w:rPr>
              <w:t>Retail Display &amp; Security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units)</w:t>
            </w:r>
            <w:r>
              <w:rPr>
                <w:rFonts w:ascii="Arial" w:cs="Arial" w:eastAsia="Arial" w:hAnsi="Arial"/>
                <w:sz w:val="22"/>
                <w:szCs w:val="22"/>
                <w:color w:val="auto"/>
                <w:vertAlign w:val="superscript"/>
              </w:rPr>
              <w:t>(12)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537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color w:val="auto"/>
                <w:w w:val="76"/>
              </w:rPr>
              <w:t>537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w w:val="98"/>
              </w:rPr>
              <w:t>Automotive Chemicals &amp; Lubricants</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4/8/19)</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1,425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1,425</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Units (11.3%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w w:val="98"/>
              </w:rPr>
              <w:t>Automotive Chemicals &amp; Lubricants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ownership)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805</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4"/>
              </w:rPr>
              <w:t>Common Stock (1,200,000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2,175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2,230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0.9</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80" w:type="dxa"/>
            <w:vAlign w:val="bottom"/>
          </w:tcPr>
          <w:p>
            <w:pPr>
              <w:ind w:left="80"/>
              <w:spacing w:after="0"/>
              <w:rPr>
                <w:sz w:val="20"/>
                <w:szCs w:val="20"/>
                <w:color w:val="auto"/>
              </w:rPr>
            </w:pPr>
            <w:r>
              <w:rPr>
                <w:rFonts w:ascii="Arial" w:cs="Arial" w:eastAsia="Arial" w:hAnsi="Arial"/>
                <w:sz w:val="14"/>
                <w:szCs w:val="14"/>
                <w:color w:val="auto"/>
              </w:rPr>
              <w:t>Dental Practice Management</w:t>
            </w:r>
          </w:p>
        </w:tc>
        <w:tc>
          <w:tcPr>
            <w:tcW w:w="2220" w:type="dxa"/>
            <w:vAlign w:val="bottom"/>
            <w:gridSpan w:val="2"/>
          </w:tcPr>
          <w:p>
            <w:pPr>
              <w:ind w:left="140"/>
              <w:spacing w:after="0"/>
              <w:rPr>
                <w:sz w:val="20"/>
                <w:szCs w:val="20"/>
                <w:color w:val="auto"/>
              </w:rPr>
            </w:pPr>
            <w:r>
              <w:rPr>
                <w:rFonts w:ascii="Arial" w:cs="Arial" w:eastAsia="Arial" w:hAnsi="Arial"/>
                <w:sz w:val="12"/>
                <w:szCs w:val="12"/>
                <w:color w:val="auto"/>
              </w:rPr>
              <w:t>(12)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109</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w:t>
            </w:r>
            <w:r>
              <w:rPr>
                <w:rFonts w:ascii="Arial" w:cs="Arial" w:eastAsia="Arial" w:hAnsi="Arial"/>
                <w:sz w:val="23"/>
                <w:szCs w:val="23"/>
                <w:color w:val="auto"/>
                <w:vertAlign w:val="superscript"/>
              </w:rPr>
              <w:t>(12)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color w:val="auto"/>
                <w:w w:val="76"/>
              </w:rPr>
              <w:t>109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3"/>
        </w:trPr>
        <w:tc>
          <w:tcPr>
            <w:tcW w:w="2280" w:type="dxa"/>
            <w:vAlign w:val="bottom"/>
          </w:tcPr>
          <w:p>
            <w:pPr>
              <w:ind w:left="80"/>
              <w:spacing w:after="0"/>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5"/>
                <w:szCs w:val="15"/>
                <w:color w:val="auto"/>
              </w:rPr>
            </w:pPr>
          </w:p>
        </w:tc>
        <w:tc>
          <w:tcPr>
            <w:tcW w:w="2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813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1,015</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1,015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39,279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61,464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280" w:space="80"/>
            <w:col w:w="7719"/>
          </w:cols>
          <w:pgMar w:left="380" w:top="792" w:right="1440" w:bottom="1440" w:gutter="0" w:footer="0" w:header="0"/>
          <w:type w:val="continuous"/>
        </w:sectPr>
      </w:pPr>
    </w:p>
    <w:p>
      <w:pPr>
        <w:spacing w:after="0" w:line="326"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09" w:name="page110"/>
    <w:bookmarkEnd w:id="10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units/shares)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61658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20320</wp:posOffset>
            </wp:positionV>
            <wp:extent cx="616585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340" w:type="dxa"/>
            <w:vAlign w:val="bottom"/>
            <w:tcBorders>
              <w:bottom w:val="single" w:sz="8" w:color="auto"/>
            </w:tcBorders>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23"/>
        </w:trPr>
        <w:tc>
          <w:tcPr>
            <w:tcW w:w="2340" w:type="dxa"/>
            <w:vAlign w:val="bottom"/>
            <w:gridSpan w:val="3"/>
          </w:tcPr>
          <w:p>
            <w:pPr>
              <w:ind w:left="20"/>
              <w:spacing w:after="0" w:line="123" w:lineRule="exact"/>
              <w:rPr>
                <w:sz w:val="20"/>
                <w:szCs w:val="20"/>
                <w:color w:val="auto"/>
              </w:rPr>
            </w:pPr>
            <w:r>
              <w:rPr>
                <w:rFonts w:ascii="Arial" w:cs="Arial" w:eastAsia="Arial" w:hAnsi="Arial"/>
                <w:sz w:val="14"/>
                <w:szCs w:val="14"/>
                <w:b w:val="1"/>
                <w:bCs w:val="1"/>
                <w:color w:val="auto"/>
              </w:rPr>
              <w:t>Control investments – 34.6%</w:t>
            </w: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CableOrganizer Acquisition,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First Lien Debt (12% Cash, 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PIK, Due 5/24/18)</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11,882</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11,882</w:t>
            </w:r>
          </w:p>
        </w:tc>
        <w:tc>
          <w:tcPr>
            <w:tcW w:w="10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11,882</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CableOrganizer Acquisition,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(19.7% fully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diluted ownership)</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200</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CableOrganizer Acquisition,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(10%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fully diluted ownership)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101</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color w:val="auto"/>
              </w:rPr>
              <w:t>Eastport Holdings,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4"/>
              </w:rPr>
              <w:t>Subordinated Debt (13.9% Cash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13,276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12,183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3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+ 13%, 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Floor), Due 4/29/20)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16,500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13,982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16,500</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58"/>
        </w:trPr>
        <w:tc>
          <w:tcPr>
            <w:tcW w:w="23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Eastport Holdings, LLC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Membership Units (30.1% fully</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diluted)</w:t>
            </w:r>
            <w:r>
              <w:rPr>
                <w:rFonts w:ascii="Arial" w:cs="Arial" w:eastAsia="Arial" w:hAnsi="Arial"/>
                <w:sz w:val="22"/>
                <w:szCs w:val="22"/>
                <w:color w:val="auto"/>
                <w:vertAlign w:val="superscript"/>
              </w:rPr>
              <w:t>(11)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4,733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13,395</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18,715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29,895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11.9</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3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9/15/18)</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1,862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1,862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1,862</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8"/>
        </w:trPr>
        <w:tc>
          <w:tcPr>
            <w:tcW w:w="23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4"/>
              </w:rPr>
              <w:t>Subordinated Debt (14% Cash, 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Due 9/15/18)</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3,989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3,989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3,989</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w w:val="96"/>
              </w:rPr>
              <w:t>Series A Preferred Units (47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1,629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2,523</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(15%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7,480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8,374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3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10/30/20)</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6,500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6,500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6,500</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Class A Preferred Stock (1,000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shares, 10% Cash Dividend)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1,000</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Common Stock (300,000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5,634</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4"/>
              </w:rPr>
              <w:t>Subordinated Debt (14% Cash, 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7,501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13,134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5.2</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3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Due 12/19/17)</w:t>
            </w:r>
            <w:r>
              <w:rPr>
                <w:rFonts w:ascii="Arial" w:cs="Arial" w:eastAsia="Arial" w:hAnsi="Arial"/>
                <w:sz w:val="20"/>
                <w:szCs w:val="20"/>
                <w:color w:val="auto"/>
                <w:vertAlign w:val="superscript"/>
              </w:rPr>
              <w:t>(1)(2)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10,303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9,837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10,303</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A Preferred Stock (32,782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3,278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B Preferred Stock (23,648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Common Stock (33,107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(10% Cash, 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15,513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10,303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3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PIK, Due 2/24/19)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17,316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12,761</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(18,543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(820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 Total Control investments</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20,306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12,761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82,791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86,650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34.6</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INVESTMENTS – 216.2%</w:t>
            </w: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3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513,776</w:t>
            </w: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541,639</w:t>
            </w:r>
          </w:p>
        </w:tc>
        <w:tc>
          <w:tcPr>
            <w:tcW w:w="1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216.2</w:t>
            </w: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Derivatives – (1.1)%</w:t>
            </w: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3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Eastport Holdings, LLC</w:t>
            </w:r>
          </w:p>
        </w:tc>
        <w:tc>
          <w:tcPr>
            <w:tcW w:w="40" w:type="dxa"/>
            <w:vAlign w:val="bottom"/>
          </w:tcPr>
          <w:p>
            <w:pPr>
              <w:spacing w:after="0"/>
              <w:rPr>
                <w:sz w:val="18"/>
                <w:szCs w:val="18"/>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8"/>
                <w:szCs w:val="18"/>
                <w:color w:val="auto"/>
              </w:rPr>
            </w:pPr>
          </w:p>
        </w:tc>
        <w:tc>
          <w:tcPr>
            <w:tcW w:w="2180" w:type="dxa"/>
            <w:vAlign w:val="bottom"/>
          </w:tcPr>
          <w:p>
            <w:pPr>
              <w:ind w:left="100"/>
              <w:spacing w:after="0" w:line="208" w:lineRule="exact"/>
              <w:rPr>
                <w:sz w:val="20"/>
                <w:szCs w:val="20"/>
                <w:color w:val="auto"/>
              </w:rPr>
            </w:pPr>
            <w:r>
              <w:rPr>
                <w:rFonts w:ascii="Arial" w:cs="Arial" w:eastAsia="Arial" w:hAnsi="Arial"/>
                <w:sz w:val="14"/>
                <w:szCs w:val="14"/>
                <w:color w:val="auto"/>
              </w:rPr>
              <w:t>Written Call Option</w:t>
            </w:r>
            <w:r>
              <w:rPr>
                <w:rFonts w:ascii="Arial" w:cs="Arial" w:eastAsia="Arial" w:hAnsi="Arial"/>
                <w:sz w:val="23"/>
                <w:szCs w:val="23"/>
                <w:color w:val="auto"/>
                <w:vertAlign w:val="superscript"/>
              </w:rPr>
              <w:t>(11)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4"/>
                <w:szCs w:val="14"/>
                <w:color w:val="auto"/>
              </w:rPr>
              <w:t>(20)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(2,736)</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(2,736</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 DERIVATIVES – (1.1)%</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w:t>
            </w: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(2,736</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w:t>
            </w:r>
          </w:p>
        </w:tc>
        <w:tc>
          <w:tcPr>
            <w:tcW w:w="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hanging="272"/>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117" w:lineRule="exact"/>
        <w:rPr>
          <w:rFonts w:ascii="Arial" w:cs="Arial" w:eastAsia="Arial" w:hAnsi="Arial"/>
          <w:sz w:val="18"/>
          <w:szCs w:val="18"/>
          <w:color w:val="auto"/>
        </w:rPr>
      </w:pPr>
    </w:p>
    <w:p>
      <w:pPr>
        <w:ind w:left="300" w:right="599" w:hanging="272"/>
        <w:spacing w:after="0" w:line="277" w:lineRule="auto"/>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debt investments are income producing, unless otherwise noted. Equity and warrant investments are non-income producing, unless otherwise noted.</w:t>
      </w:r>
    </w:p>
    <w:p>
      <w:pPr>
        <w:spacing w:after="0" w:line="200" w:lineRule="exact"/>
        <w:rPr>
          <w:sz w:val="20"/>
          <w:szCs w:val="20"/>
          <w:color w:val="auto"/>
        </w:rPr>
      </w:pPr>
    </w:p>
    <w:p>
      <w:pPr>
        <w:spacing w:after="0" w:line="29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03" w:lineRule="exact"/>
        <w:rPr>
          <w:sz w:val="20"/>
          <w:szCs w:val="20"/>
          <w:color w:val="auto"/>
        </w:rPr>
      </w:pPr>
    </w:p>
    <w:p>
      <w:pPr>
        <w:ind w:left="280" w:hanging="272"/>
        <w:spacing w:after="0"/>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Percentages are based on net assets of $250,582 as of December 31, 2016.</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117" w:lineRule="exact"/>
        <w:rPr>
          <w:rFonts w:ascii="Arial" w:cs="Arial" w:eastAsia="Arial" w:hAnsi="Arial"/>
          <w:sz w:val="18"/>
          <w:szCs w:val="18"/>
          <w:color w:val="auto"/>
        </w:rPr>
      </w:pPr>
    </w:p>
    <w:p>
      <w:pPr>
        <w:ind w:left="280" w:right="599" w:hanging="272"/>
        <w:spacing w:after="0" w:line="259" w:lineRule="auto"/>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2016, 4.5% of the Company’s total assets were non-qualifying assets.</w:t>
      </w:r>
    </w:p>
    <w:p>
      <w:pPr>
        <w:spacing w:after="0" w:line="78" w:lineRule="exact"/>
        <w:rPr>
          <w:rFonts w:ascii="Arial" w:cs="Arial" w:eastAsia="Arial" w:hAnsi="Arial"/>
          <w:sz w:val="18"/>
          <w:szCs w:val="18"/>
          <w:color w:val="auto"/>
        </w:rPr>
      </w:pPr>
    </w:p>
    <w:p>
      <w:pPr>
        <w:ind w:left="280" w:right="619" w:hanging="272"/>
        <w:spacing w:after="0" w:line="277" w:lineRule="auto"/>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Interest rate was amended to zero. The Company is entitled to receive earn-out payments of up to $2.4 million in satisfaction of the debt.</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addition to the stated rate, the investment is paying 3% default interest.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(11)The Company has written a call option that enables CapitalSouth Partners Florida Sidecar Fund II, L.P. to purchase up to</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31.25% of the Company’s interest at a strike price of $1.5 million. As of December 31, 2016, the fair value of the written call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option is approximately $2.7 million. See Note 4 to the consolidated financial statements for further detail on the written call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option transaction.</w:t>
      </w:r>
    </w:p>
    <w:p>
      <w:pPr>
        <w:spacing w:after="0" w:line="103"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investment has been exited. The residual value reflects estimated escrow to be settled post-closing.</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portfolio company is currently being charged default interest rate of prime plus 10.5%.</w:t>
      </w:r>
    </w:p>
    <w:p>
      <w:pPr>
        <w:spacing w:after="0" w:line="200" w:lineRule="exact"/>
        <w:rPr>
          <w:sz w:val="20"/>
          <w:szCs w:val="20"/>
          <w:color w:val="auto"/>
        </w:rPr>
      </w:pPr>
    </w:p>
    <w:p>
      <w:pPr>
        <w:spacing w:after="0" w:line="36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1" w:name="page112"/>
    <w:bookmarkEnd w:id="11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6585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34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23"/>
        </w:trPr>
        <w:tc>
          <w:tcPr>
            <w:tcW w:w="2340" w:type="dxa"/>
            <w:vAlign w:val="bottom"/>
          </w:tcPr>
          <w:p>
            <w:pPr>
              <w:ind w:left="20"/>
              <w:spacing w:after="0" w:line="123" w:lineRule="exact"/>
              <w:rPr>
                <w:sz w:val="20"/>
                <w:szCs w:val="20"/>
                <w:color w:val="auto"/>
              </w:rPr>
            </w:pPr>
            <w:r>
              <w:rPr>
                <w:rFonts w:ascii="Arial" w:cs="Arial" w:eastAsia="Arial" w:hAnsi="Arial"/>
                <w:sz w:val="14"/>
                <w:szCs w:val="14"/>
                <w:b w:val="1"/>
                <w:bCs w:val="1"/>
                <w:color w:val="auto"/>
                <w:w w:val="89"/>
              </w:rPr>
              <w:t>Non-control/non-affiliated investments</w:t>
            </w:r>
          </w:p>
        </w:tc>
        <w:tc>
          <w:tcPr>
            <w:tcW w:w="40" w:type="dxa"/>
            <w:vAlign w:val="bottom"/>
          </w:tcPr>
          <w:p>
            <w:pPr>
              <w:spacing w:after="0"/>
              <w:rPr>
                <w:sz w:val="10"/>
                <w:szCs w:val="10"/>
                <w:color w:val="auto"/>
              </w:rPr>
            </w:pPr>
          </w:p>
        </w:tc>
        <w:tc>
          <w:tcPr>
            <w:tcW w:w="2280" w:type="dxa"/>
            <w:vAlign w:val="bottom"/>
          </w:tcPr>
          <w:p>
            <w:pPr>
              <w:ind w:left="40"/>
              <w:spacing w:after="0" w:line="123" w:lineRule="exact"/>
              <w:rPr>
                <w:sz w:val="20"/>
                <w:szCs w:val="20"/>
                <w:color w:val="auto"/>
              </w:rPr>
            </w:pPr>
            <w:r>
              <w:rPr>
                <w:rFonts w:ascii="Arial" w:cs="Arial" w:eastAsia="Arial" w:hAnsi="Arial"/>
                <w:sz w:val="14"/>
                <w:szCs w:val="14"/>
                <w:b w:val="1"/>
                <w:bCs w:val="1"/>
                <w:color w:val="auto"/>
              </w:rPr>
              <w:t>– 150.5%</w:t>
            </w:r>
          </w:p>
        </w:tc>
        <w:tc>
          <w:tcPr>
            <w:tcW w:w="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340" w:type="dxa"/>
            <w:vAlign w:val="bottom"/>
          </w:tcPr>
          <w:p>
            <w:pPr>
              <w:ind w:left="20"/>
              <w:spacing w:after="0" w:line="159"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Second Lien Debt (12% Cash,</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Industrial Equipment Rental</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3/31/18)</w:t>
            </w:r>
            <w:r>
              <w:rPr>
                <w:rFonts w:ascii="Arial" w:cs="Arial" w:eastAsia="Arial" w:hAnsi="Arial"/>
                <w:sz w:val="20"/>
                <w:szCs w:val="20"/>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11,000</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11,000</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  11,000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Units (14% fully</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Industrial Equipment Rental</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2,181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American Clinical Solutions,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(10.5% Cash (3</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13,181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+ 9.5%,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Healthcare</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6/11/20)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9,750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9,750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9,750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American Exteriors,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(14%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9,750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3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w w:val="97"/>
              </w:rPr>
              <w:t>Replacement Window Manufacturer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1/15/16)</w:t>
            </w:r>
            <w:r>
              <w:rPr>
                <w:rFonts w:ascii="Arial" w:cs="Arial" w:eastAsia="Arial" w:hAnsi="Arial"/>
                <w:sz w:val="20"/>
                <w:szCs w:val="20"/>
                <w:color w:val="auto"/>
                <w:vertAlign w:val="superscript"/>
              </w:rPr>
              <w:t>(1)(2)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4,879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3,679</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3,196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American Exteriors,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(15%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w w:val="97"/>
              </w:rPr>
              <w:t>Replacement Window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B&amp;W Quality Growers,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(14%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3,679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3,196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Farming</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7/23/20)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9,992</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B&amp;W Quality Growers,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w w:val="94"/>
              </w:rPr>
              <w:t>Membership Unit Warrants (91,739</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Farming</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Units)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5,408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Bluestem Brands,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(8.5%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10,012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15,408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+ 7.5%,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Online Merchandise Retailer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11/7/20)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4,529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4,382</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4,382</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Boot Barn Holdings,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5"/>
              </w:rPr>
              <w:t>Common Stock (95,252 shares)</w:t>
            </w:r>
            <w:r>
              <w:rPr>
                <w:rFonts w:ascii="Arial" w:cs="Arial" w:eastAsia="Arial" w:hAnsi="Arial"/>
                <w:sz w:val="23"/>
                <w:szCs w:val="23"/>
                <w:color w:val="auto"/>
                <w:w w:val="95"/>
                <w:vertAlign w:val="superscript"/>
              </w:rPr>
              <w:t>(8)</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4,382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3"/>
        </w:trPr>
        <w:tc>
          <w:tcPr>
            <w:tcW w:w="2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Western Wear Retail</w:t>
            </w:r>
          </w:p>
        </w:tc>
        <w:tc>
          <w:tcPr>
            <w:tcW w:w="40" w:type="dxa"/>
            <w:vAlign w:val="bottom"/>
          </w:tcPr>
          <w:p>
            <w:pPr>
              <w:spacing w:after="0"/>
              <w:rPr>
                <w:sz w:val="15"/>
                <w:szCs w:val="15"/>
                <w:color w:val="auto"/>
              </w:rPr>
            </w:pPr>
          </w:p>
        </w:tc>
        <w:tc>
          <w:tcPr>
            <w:tcW w:w="2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381</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1,171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Brock Holdings III,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Second Lien Debt (10%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1,171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+ 8.25%, 1.75%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Industrial Specialty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Due 3/16/18)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4,881</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4,881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Brunswick Bowling Products,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5"/>
              </w:rPr>
              <w:t>First Lien Debt (8% Cash (1 month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4,881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4,881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LIBOR + 6.0%, 2%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Bowling Products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5/22/20)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Brunswick Bowling Products,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First Lien Debt (16.25%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+ 14.25%, 2%</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Bowling Products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Floor), Due 5/22/20)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6,983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6,983</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6,983</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58"/>
        </w:trPr>
        <w:tc>
          <w:tcPr>
            <w:tcW w:w="2340" w:type="dxa"/>
            <w:vAlign w:val="bottom"/>
          </w:tcPr>
          <w:p>
            <w:pPr>
              <w:ind w:left="20"/>
              <w:spacing w:after="0" w:line="159" w:lineRule="exact"/>
              <w:rPr>
                <w:sz w:val="20"/>
                <w:szCs w:val="20"/>
                <w:color w:val="auto"/>
              </w:rPr>
            </w:pPr>
            <w:r>
              <w:rPr>
                <w:rFonts w:ascii="Arial" w:cs="Arial" w:eastAsia="Arial" w:hAnsi="Arial"/>
                <w:sz w:val="14"/>
                <w:szCs w:val="14"/>
                <w:color w:val="auto"/>
              </w:rPr>
              <w:t>Brunswick Bowling Products, Inc.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1"/>
              </w:rPr>
              <w:t>Preferred Shares (2,966 shares, 8%</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Bowling Products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PIK)</w:t>
            </w:r>
            <w:r>
              <w:rPr>
                <w:rFonts w:ascii="Arial" w:cs="Arial" w:eastAsia="Arial" w:hAnsi="Arial"/>
                <w:sz w:val="22"/>
                <w:szCs w:val="22"/>
                <w:color w:val="auto"/>
                <w:vertAlign w:val="superscript"/>
              </w:rPr>
              <w:t>(6)</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3,118</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3,141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Burke America Parts Group,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(9.5%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12,101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Home Repair Parts Manufacturer</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4/30/20)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4,868</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4,868</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7"/>
        </w:trPr>
        <w:tc>
          <w:tcPr>
            <w:tcW w:w="2340" w:type="dxa"/>
            <w:vAlign w:val="bottom"/>
          </w:tcPr>
          <w:p>
            <w:pPr>
              <w:ind w:left="20"/>
              <w:spacing w:after="0"/>
              <w:rPr>
                <w:sz w:val="20"/>
                <w:szCs w:val="20"/>
                <w:color w:val="auto"/>
              </w:rPr>
            </w:pPr>
            <w:r>
              <w:rPr>
                <w:rFonts w:ascii="Arial" w:cs="Arial" w:eastAsia="Arial" w:hAnsi="Arial"/>
                <w:sz w:val="14"/>
                <w:szCs w:val="14"/>
                <w:color w:val="auto"/>
              </w:rPr>
              <w:t>Burke America Parts Group, LLC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Home Repair Parts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Membership Units (14 units)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533</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Caregiver Services, Inc.</w:t>
            </w:r>
          </w:p>
        </w:tc>
        <w:tc>
          <w:tcPr>
            <w:tcW w:w="40" w:type="dxa"/>
            <w:vAlign w:val="bottom"/>
          </w:tcPr>
          <w:p>
            <w:pPr>
              <w:spacing w:after="0"/>
              <w:rPr>
                <w:sz w:val="12"/>
                <w:szCs w:val="12"/>
                <w:color w:val="auto"/>
              </w:rPr>
            </w:pPr>
          </w:p>
        </w:tc>
        <w:tc>
          <w:tcPr>
            <w:tcW w:w="2280" w:type="dxa"/>
            <w:vAlign w:val="bottom"/>
            <w:vMerge w:val="restart"/>
          </w:tcPr>
          <w:p>
            <w:pPr>
              <w:ind w:left="80"/>
              <w:spacing w:after="0"/>
              <w:rPr>
                <w:sz w:val="20"/>
                <w:szCs w:val="20"/>
                <w:color w:val="auto"/>
              </w:rPr>
            </w:pPr>
            <w:r>
              <w:rPr>
                <w:rFonts w:ascii="Arial" w:cs="Arial" w:eastAsia="Arial" w:hAnsi="Arial"/>
                <w:sz w:val="14"/>
                <w:szCs w:val="14"/>
                <w:color w:val="auto"/>
              </w:rPr>
              <w:t>In-Home Healthcare Services</w:t>
            </w: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Common Stock (293,186 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4,873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5,401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258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4"/>
                <w:szCs w:val="14"/>
                <w:color w:val="auto"/>
              </w:rPr>
              <w:t>223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28"/>
              <w:spacing w:after="0" w:line="123"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8"/>
        </w:trPr>
        <w:tc>
          <w:tcPr>
            <w:tcW w:w="2340" w:type="dxa"/>
            <w:vAlign w:val="bottom"/>
          </w:tcPr>
          <w:p>
            <w:pPr>
              <w:ind w:left="20"/>
              <w:spacing w:after="0" w:line="159" w:lineRule="exact"/>
              <w:rPr>
                <w:sz w:val="20"/>
                <w:szCs w:val="20"/>
                <w:color w:val="auto"/>
              </w:rPr>
            </w:pPr>
            <w:r>
              <w:rPr>
                <w:rFonts w:ascii="Arial" w:cs="Arial" w:eastAsia="Arial" w:hAnsi="Arial"/>
                <w:sz w:val="14"/>
                <w:szCs w:val="14"/>
                <w:color w:val="auto"/>
              </w:rPr>
              <w:t>Caregiver Services, Inc.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5"/>
              </w:rPr>
              <w:t>Common Stock Warrants (655,908</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In-Home Healthcare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units)</w:t>
            </w:r>
            <w:r>
              <w:rPr>
                <w:rFonts w:ascii="Arial" w:cs="Arial" w:eastAsia="Arial" w:hAnsi="Arial"/>
                <w:sz w:val="22"/>
                <w:szCs w:val="22"/>
                <w:color w:val="auto"/>
                <w:vertAlign w:val="superscript"/>
              </w:rPr>
              <w:t>(7)</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264</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498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Cedar Electronics Holding Corp.</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Consumer Electronics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12/26/20)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28,300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28,300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28,300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Community Choice Financial,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(14%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28,300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28,300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month LIBOR + 13%, 1% Floor),</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Financial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Due 3/27/17)</w:t>
            </w:r>
            <w:r>
              <w:rPr>
                <w:rFonts w:ascii="Arial" w:cs="Arial" w:eastAsia="Arial" w:hAnsi="Arial"/>
                <w:sz w:val="22"/>
                <w:szCs w:val="22"/>
                <w:color w:val="auto"/>
                <w:vertAlign w:val="superscript"/>
              </w:rPr>
              <w:t>(8)(11)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17,161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17,161</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17,161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17,161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17,161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16585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108585</wp:posOffset>
            </wp:positionV>
            <wp:extent cx="616585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24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20" w:type="dxa"/>
            <w:vAlign w:val="bottom"/>
          </w:tcPr>
          <w:p>
            <w:pPr>
              <w:jc w:val="center"/>
              <w:ind w:left="137"/>
              <w:spacing w:after="0"/>
              <w:rPr>
                <w:sz w:val="20"/>
                <w:szCs w:val="20"/>
                <w:color w:val="auto"/>
              </w:rPr>
            </w:pPr>
            <w:r>
              <w:rPr>
                <w:rFonts w:ascii="Arial" w:cs="Arial" w:eastAsia="Arial" w:hAnsi="Arial"/>
                <w:sz w:val="13"/>
                <w:szCs w:val="13"/>
                <w:b w:val="1"/>
                <w:bCs w:val="1"/>
                <w:color w:val="auto"/>
                <w:w w:val="90"/>
              </w:rPr>
              <w:t>Principal</w:t>
            </w:r>
          </w:p>
        </w:tc>
        <w:tc>
          <w:tcPr>
            <w:tcW w:w="580" w:type="dxa"/>
            <w:vAlign w:val="bottom"/>
          </w:tcPr>
          <w:p>
            <w:pPr>
              <w:spacing w:after="0"/>
              <w:rPr>
                <w:sz w:val="13"/>
                <w:szCs w:val="13"/>
                <w:color w:val="auto"/>
              </w:rPr>
            </w:pPr>
          </w:p>
        </w:tc>
        <w:tc>
          <w:tcPr>
            <w:tcW w:w="1420" w:type="dxa"/>
            <w:vAlign w:val="bottom"/>
          </w:tcPr>
          <w:p>
            <w:pPr>
              <w:ind w:left="100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040" w:type="dxa"/>
            <w:vAlign w:val="bottom"/>
            <w:vMerge w:val="continue"/>
          </w:tcPr>
          <w:p>
            <w:pPr>
              <w:spacing w:after="0"/>
              <w:rPr>
                <w:sz w:val="13"/>
                <w:szCs w:val="13"/>
                <w:color w:val="auto"/>
              </w:rPr>
            </w:pPr>
          </w:p>
        </w:tc>
        <w:tc>
          <w:tcPr>
            <w:tcW w:w="2460" w:type="dxa"/>
            <w:vAlign w:val="bottom"/>
          </w:tcPr>
          <w:p>
            <w:pPr>
              <w:ind w:left="1240"/>
              <w:spacing w:after="0"/>
              <w:rPr>
                <w:sz w:val="20"/>
                <w:szCs w:val="20"/>
                <w:color w:val="auto"/>
              </w:rPr>
            </w:pPr>
            <w:r>
              <w:rPr>
                <w:rFonts w:ascii="Arial" w:cs="Arial" w:eastAsia="Arial" w:hAnsi="Arial"/>
                <w:sz w:val="13"/>
                <w:szCs w:val="13"/>
                <w:b w:val="1"/>
                <w:bCs w:val="1"/>
                <w:color w:val="auto"/>
              </w:rPr>
              <w:t>Industry</w:t>
            </w:r>
          </w:p>
        </w:tc>
        <w:tc>
          <w:tcPr>
            <w:tcW w:w="2140" w:type="dxa"/>
            <w:vAlign w:val="bottom"/>
          </w:tcPr>
          <w:p>
            <w:pPr>
              <w:ind w:left="760"/>
              <w:spacing w:after="0"/>
              <w:rPr>
                <w:sz w:val="20"/>
                <w:szCs w:val="20"/>
                <w:color w:val="auto"/>
              </w:rPr>
            </w:pPr>
            <w:r>
              <w:rPr>
                <w:rFonts w:ascii="Arial" w:cs="Arial" w:eastAsia="Arial" w:hAnsi="Arial"/>
                <w:sz w:val="13"/>
                <w:szCs w:val="13"/>
                <w:b w:val="1"/>
                <w:bCs w:val="1"/>
                <w:color w:val="auto"/>
              </w:rPr>
              <w:t>Type of Investment</w:t>
            </w:r>
          </w:p>
        </w:tc>
        <w:tc>
          <w:tcPr>
            <w:tcW w:w="1020" w:type="dxa"/>
            <w:vAlign w:val="bottom"/>
          </w:tcPr>
          <w:p>
            <w:pPr>
              <w:jc w:val="center"/>
              <w:ind w:left="117"/>
              <w:spacing w:after="0"/>
              <w:rPr>
                <w:sz w:val="20"/>
                <w:szCs w:val="20"/>
                <w:color w:val="auto"/>
              </w:rPr>
            </w:pPr>
            <w:r>
              <w:rPr>
                <w:rFonts w:ascii="Arial" w:cs="Arial" w:eastAsia="Arial" w:hAnsi="Arial"/>
                <w:sz w:val="13"/>
                <w:szCs w:val="13"/>
                <w:b w:val="1"/>
                <w:bCs w:val="1"/>
                <w:color w:val="auto"/>
                <w:w w:val="89"/>
              </w:rPr>
              <w:t>Amount</w:t>
            </w:r>
          </w:p>
        </w:tc>
        <w:tc>
          <w:tcPr>
            <w:tcW w:w="580" w:type="dxa"/>
            <w:vAlign w:val="bottom"/>
          </w:tcPr>
          <w:p>
            <w:pPr>
              <w:ind w:left="180"/>
              <w:spacing w:after="0"/>
              <w:rPr>
                <w:sz w:val="20"/>
                <w:szCs w:val="20"/>
                <w:color w:val="auto"/>
              </w:rPr>
            </w:pPr>
            <w:r>
              <w:rPr>
                <w:rFonts w:ascii="Arial" w:cs="Arial" w:eastAsia="Arial" w:hAnsi="Arial"/>
                <w:sz w:val="13"/>
                <w:szCs w:val="13"/>
                <w:b w:val="1"/>
                <w:bCs w:val="1"/>
                <w:color w:val="auto"/>
              </w:rPr>
              <w:t>Cost</w:t>
            </w:r>
          </w:p>
        </w:tc>
        <w:tc>
          <w:tcPr>
            <w:tcW w:w="1420" w:type="dxa"/>
            <w:vAlign w:val="bottom"/>
          </w:tcPr>
          <w:p>
            <w:pPr>
              <w:ind w:left="160"/>
              <w:spacing w:after="0"/>
              <w:rPr>
                <w:sz w:val="20"/>
                <w:szCs w:val="20"/>
                <w:color w:val="auto"/>
              </w:rPr>
            </w:pPr>
            <w:r>
              <w:rPr>
                <w:rFonts w:ascii="Arial" w:cs="Arial" w:eastAsia="Arial" w:hAnsi="Arial"/>
                <w:sz w:val="13"/>
                <w:szCs w:val="13"/>
                <w:b w:val="1"/>
                <w:bCs w:val="1"/>
                <w:color w:val="auto"/>
                <w:w w:val="90"/>
              </w:rPr>
              <w:t>Fair Value  Net 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47510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rPr>
          <w:sz w:val="20"/>
          <w:szCs w:val="20"/>
          <w:color w:val="auto"/>
        </w:rPr>
      </w:pPr>
      <w:r>
        <w:rPr>
          <w:rFonts w:ascii="Arial" w:cs="Arial" w:eastAsia="Arial" w:hAnsi="Arial"/>
          <w:sz w:val="14"/>
          <w:szCs w:val="14"/>
          <w:color w:val="auto"/>
        </w:rPr>
        <w:t>Construction Partners, Inc.</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Corporate Visions,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Corporate Visions, Inc.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Crowley Holdings, Inc.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CSM Bakery Solutions, LLC</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DSW Homes, LLC</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color w:val="auto"/>
        </w:rPr>
        <w:t>Emerging Markets Communications,</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LLC</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Flavors Holdings,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Flavors Holdings, Inc.</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Group Cirque du Soleil, Inc.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Immersive Media Tactical Solutions,</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LLC</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Kelle’s Transport Service,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Kelle’s Transport Service,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Kelle’s Transport Service,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Maxim Crane Works, L.P.</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Medical Depot,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Medical Depot, Inc.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Merlin International,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2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Second Lien Debt (11.5% Cash,</w:t>
            </w: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Construction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6/12/20)</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12,500</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12,500</w:t>
            </w:r>
          </w:p>
        </w:tc>
        <w:tc>
          <w:tcPr>
            <w:tcW w:w="6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12,500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(9% Cash,</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2% PIK, Due 11/29/21)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15,941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15,941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15,941</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Common Stock (15,750 shares)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1,575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1,917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6"/>
              </w:rPr>
              <w:t>Series A Income Preferred Shares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17,858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6"/>
              </w:rPr>
              <w:t>(6,000 shares, 10% Cash, 2% PIK</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dividend)</w:t>
            </w:r>
            <w:r>
              <w:rPr>
                <w:rFonts w:ascii="Arial" w:cs="Arial" w:eastAsia="Arial" w:hAnsi="Arial"/>
                <w:sz w:val="22"/>
                <w:szCs w:val="22"/>
                <w:color w:val="auto"/>
                <w:vertAlign w:val="superscript"/>
              </w:rPr>
              <w:t>(6)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6,271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6,271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6"/>
              </w:rPr>
              <w:t>Second Lien Debt (8.75% Cash (1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6,271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6,271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+ 7.75%, 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Bakery Supplies Distributor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Due 8/7/22)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16,687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16,146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(12.61% Cash (3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16,687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16,146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Disaster Recovery Homebuilding</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9/24/18)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2,000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7"/>
              </w:rPr>
              <w:t>Second Lien Debt (10.625% Cash</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(1 month LIBOR + 9.625%, 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Satellite Communications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Due 7/1/22)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4,932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4,932</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(6.75% Cash (1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4,932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4,932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+ 5.75%, 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Food Product Manufacturer</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Floor), Due 4/3/20)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7,500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7,265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6,917</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Second Lien Debt (11% Cash (1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+ 10%, 1% Floor),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Food Product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10/3/21)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11,601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10,519</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6"/>
              </w:rPr>
              <w:t>Second Lien Debt (9.25% Cash (3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18,866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17,436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month LIBOR + 8.25%, 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80"/>
              <w:spacing w:after="0"/>
              <w:rPr>
                <w:sz w:val="20"/>
                <w:szCs w:val="20"/>
                <w:color w:val="auto"/>
              </w:rPr>
            </w:pPr>
            <w:r>
              <w:rPr>
                <w:rFonts w:ascii="Arial" w:cs="Arial" w:eastAsia="Arial" w:hAnsi="Arial"/>
                <w:sz w:val="14"/>
                <w:szCs w:val="14"/>
                <w:color w:val="auto"/>
              </w:rPr>
              <w:t>Entertainment</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Floor), Due 7/8/23)</w:t>
            </w:r>
            <w:r>
              <w:rPr>
                <w:rFonts w:ascii="Arial" w:cs="Arial" w:eastAsia="Arial" w:hAnsi="Arial"/>
                <w:sz w:val="22"/>
                <w:szCs w:val="22"/>
                <w:color w:val="auto"/>
                <w:vertAlign w:val="superscript"/>
              </w:rPr>
              <w:t>(8)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986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986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9"/>
              </w:rPr>
              <w:t>Subordinated Debt (Due 12/9/19)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80" w:type="dxa"/>
            <w:vAlign w:val="bottom"/>
          </w:tcPr>
          <w:p>
            <w:pPr>
              <w:ind w:left="80"/>
              <w:spacing w:after="0"/>
              <w:rPr>
                <w:sz w:val="20"/>
                <w:szCs w:val="20"/>
                <w:color w:val="auto"/>
              </w:rPr>
            </w:pPr>
            <w:r>
              <w:rPr>
                <w:rFonts w:ascii="Arial" w:cs="Arial" w:eastAsia="Arial" w:hAnsi="Arial"/>
                <w:sz w:val="14"/>
                <w:szCs w:val="14"/>
                <w:color w:val="auto"/>
              </w:rPr>
              <w:t>Specialty Defense Contractor</w:t>
            </w:r>
          </w:p>
        </w:tc>
        <w:tc>
          <w:tcPr>
            <w:tcW w:w="2220" w:type="dxa"/>
            <w:vAlign w:val="bottom"/>
            <w:gridSpan w:val="2"/>
          </w:tcPr>
          <w:p>
            <w:pPr>
              <w:ind w:left="140"/>
              <w:spacing w:after="0"/>
              <w:rPr>
                <w:sz w:val="20"/>
                <w:szCs w:val="20"/>
                <w:color w:val="auto"/>
              </w:rPr>
            </w:pPr>
            <w:r>
              <w:rPr>
                <w:rFonts w:ascii="Arial" w:cs="Arial" w:eastAsia="Arial" w:hAnsi="Arial"/>
                <w:sz w:val="12"/>
                <w:szCs w:val="12"/>
                <w:color w:val="auto"/>
              </w:rPr>
              <w:t>(14)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1,800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(14% Cash,</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3/31/19)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14,562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14,551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14,562</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9"/>
              </w:rPr>
              <w:t>Preferred Units (1,000 units, 10%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3,101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3,101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(15%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fully diluted)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3,310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3"/>
              </w:rPr>
              <w:t>Second Lien Debt (10.25% Cash (1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17,674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20,973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+ 9.25%, 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Crane Rental and Sales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Due 11/26/18)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5,032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5,032</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(14% Cash,</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5,032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5,032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9/27/20)</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14,667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14,667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14,667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C Convertible Preferred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Stock (740 shares)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1,333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8,345</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(12.5% Cash,</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23,012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IT Government Contracting</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12/16/19)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20,000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120" w:space="240"/>
            <w:col w:w="7719"/>
          </w:cols>
          <w:pgMar w:left="380" w:top="792" w:right="1440" w:bottom="1440" w:gutter="0" w:footer="0" w:header="0"/>
          <w:type w:val="continuous"/>
        </w:sectPr>
      </w:pPr>
    </w:p>
    <w:p>
      <w:pPr>
        <w:spacing w:after="0" w:line="326"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13" w:name="page114"/>
    <w:bookmarkEnd w:id="11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units/shares)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616585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20320</wp:posOffset>
            </wp:positionV>
            <wp:extent cx="616585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9"/>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34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23"/>
        </w:trPr>
        <w:tc>
          <w:tcPr>
            <w:tcW w:w="2340" w:type="dxa"/>
            <w:vAlign w:val="bottom"/>
          </w:tcPr>
          <w:p>
            <w:pPr>
              <w:ind w:left="20"/>
              <w:spacing w:after="0" w:line="123" w:lineRule="exact"/>
              <w:rPr>
                <w:sz w:val="20"/>
                <w:szCs w:val="20"/>
                <w:color w:val="auto"/>
              </w:rPr>
            </w:pPr>
            <w:r>
              <w:rPr>
                <w:rFonts w:ascii="Arial" w:cs="Arial" w:eastAsia="Arial" w:hAnsi="Arial"/>
                <w:sz w:val="14"/>
                <w:szCs w:val="14"/>
                <w:color w:val="auto"/>
              </w:rPr>
              <w:t>Nielsen &amp; Bainbridge, LLC</w:t>
            </w: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tcPr>
          <w:p>
            <w:pPr>
              <w:ind w:left="100"/>
              <w:spacing w:after="0" w:line="123" w:lineRule="exact"/>
              <w:rPr>
                <w:sz w:val="20"/>
                <w:szCs w:val="20"/>
                <w:color w:val="auto"/>
              </w:rPr>
            </w:pPr>
            <w:r>
              <w:rPr>
                <w:rFonts w:ascii="Arial" w:cs="Arial" w:eastAsia="Arial" w:hAnsi="Arial"/>
                <w:sz w:val="14"/>
                <w:szCs w:val="14"/>
                <w:color w:val="auto"/>
                <w:w w:val="93"/>
              </w:rPr>
              <w:t>Second Lien Debt (10.25% Cash (6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+ 9.25%,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Home Décor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Due 8/15/21)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14,816</w:t>
            </w:r>
          </w:p>
        </w:tc>
        <w:tc>
          <w:tcPr>
            <w:tcW w:w="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14,614</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Nth Degree,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(8.0% Cash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14,614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+ 7%, 1% Floor),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1% PIK, Due 12/14/20)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12,256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12,256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12,256</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Nth Degree,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First Lien Debt (12.5% Cash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w w:val="96"/>
              </w:rPr>
              <w:t>month LIBOR + 11.5%, 1% Floor),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2% PIK, Due 12/14/20)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9,009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9,009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9,009</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8"/>
        </w:trPr>
        <w:tc>
          <w:tcPr>
            <w:tcW w:w="2340" w:type="dxa"/>
            <w:vAlign w:val="bottom"/>
          </w:tcPr>
          <w:p>
            <w:pPr>
              <w:ind w:left="20"/>
              <w:spacing w:after="0" w:line="159" w:lineRule="exact"/>
              <w:rPr>
                <w:sz w:val="20"/>
                <w:szCs w:val="20"/>
                <w:color w:val="auto"/>
              </w:rPr>
            </w:pPr>
            <w:r>
              <w:rPr>
                <w:rFonts w:ascii="Arial" w:cs="Arial" w:eastAsia="Arial" w:hAnsi="Arial"/>
                <w:sz w:val="14"/>
                <w:szCs w:val="14"/>
                <w:color w:val="auto"/>
              </w:rPr>
              <w:t>Nth Degree, Inc.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Preferred Stock (10% PIK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dividend)</w:t>
            </w:r>
            <w:r>
              <w:rPr>
                <w:rFonts w:ascii="Arial" w:cs="Arial" w:eastAsia="Arial" w:hAnsi="Arial"/>
                <w:sz w:val="22"/>
                <w:szCs w:val="22"/>
                <w:color w:val="auto"/>
                <w:vertAlign w:val="superscript"/>
              </w:rPr>
              <w:t>(6)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3,015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3,015</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Portrait Innovations, Inc.</w:t>
            </w:r>
          </w:p>
        </w:tc>
        <w:tc>
          <w:tcPr>
            <w:tcW w:w="40" w:type="dxa"/>
            <w:vAlign w:val="bottom"/>
          </w:tcPr>
          <w:p>
            <w:pPr>
              <w:spacing w:after="0"/>
              <w:rPr>
                <w:sz w:val="12"/>
                <w:szCs w:val="12"/>
                <w:color w:val="auto"/>
              </w:rPr>
            </w:pPr>
          </w:p>
        </w:tc>
        <w:tc>
          <w:tcPr>
            <w:tcW w:w="2280" w:type="dxa"/>
            <w:vAlign w:val="bottom"/>
            <w:vMerge w:val="restart"/>
          </w:tcPr>
          <w:p>
            <w:pPr>
              <w:ind w:left="80"/>
              <w:spacing w:after="0"/>
              <w:rPr>
                <w:sz w:val="20"/>
                <w:szCs w:val="20"/>
                <w:color w:val="auto"/>
              </w:rPr>
            </w:pPr>
            <w:r>
              <w:rPr>
                <w:rFonts w:ascii="Arial" w:cs="Arial" w:eastAsia="Arial" w:hAnsi="Arial"/>
                <w:sz w:val="14"/>
                <w:szCs w:val="14"/>
                <w:color w:val="auto"/>
              </w:rPr>
              <w:t>Professional and Personal Digital</w:t>
            </w: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24,280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24,280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Imaging</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2/26/20)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15,000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w w:val="95"/>
              </w:rPr>
              <w:t>Sequoia Healthcare Management,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 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Healthcare Management</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PIK, due 7/17/19)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11,525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11,370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11,525</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Sierra Hamilton, LLC</w:t>
            </w:r>
          </w:p>
        </w:tc>
        <w:tc>
          <w:tcPr>
            <w:tcW w:w="40" w:type="dxa"/>
            <w:vAlign w:val="bottom"/>
          </w:tcPr>
          <w:p>
            <w:pPr>
              <w:spacing w:after="0"/>
              <w:rPr>
                <w:sz w:val="12"/>
                <w:szCs w:val="12"/>
                <w:color w:val="auto"/>
              </w:rPr>
            </w:pPr>
          </w:p>
        </w:tc>
        <w:tc>
          <w:tcPr>
            <w:tcW w:w="2280" w:type="dxa"/>
            <w:vAlign w:val="bottom"/>
            <w:vMerge w:val="restart"/>
          </w:tcPr>
          <w:p>
            <w:pPr>
              <w:ind w:left="80"/>
              <w:spacing w:after="0"/>
              <w:rPr>
                <w:sz w:val="20"/>
                <w:szCs w:val="20"/>
                <w:color w:val="auto"/>
              </w:rPr>
            </w:pPr>
            <w:r>
              <w:rPr>
                <w:rFonts w:ascii="Arial" w:cs="Arial" w:eastAsia="Arial" w:hAnsi="Arial"/>
                <w:sz w:val="14"/>
                <w:szCs w:val="14"/>
                <w:color w:val="auto"/>
              </w:rPr>
              <w:t>Oil &amp; Gas Engineering and</w:t>
            </w: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(12.25%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11,370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Consulting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12/15/18)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10,075</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Sparus Holdings,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10,075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3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Energy Services</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9/30/16)</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5,120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5,120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8"/>
        </w:trPr>
        <w:tc>
          <w:tcPr>
            <w:tcW w:w="2340" w:type="dxa"/>
            <w:vAlign w:val="bottom"/>
          </w:tcPr>
          <w:p>
            <w:pPr>
              <w:ind w:left="20"/>
              <w:spacing w:after="0" w:line="159" w:lineRule="exact"/>
              <w:rPr>
                <w:sz w:val="20"/>
                <w:szCs w:val="20"/>
                <w:color w:val="auto"/>
              </w:rPr>
            </w:pPr>
            <w:r>
              <w:rPr>
                <w:rFonts w:ascii="Arial" w:cs="Arial" w:eastAsia="Arial" w:hAnsi="Arial"/>
                <w:sz w:val="14"/>
                <w:szCs w:val="14"/>
                <w:color w:val="auto"/>
              </w:rPr>
              <w:t>Sparus Holdings, Inc.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Energy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Due 9/30/16)</w:t>
            </w:r>
            <w:r>
              <w:rPr>
                <w:rFonts w:ascii="Arial" w:cs="Arial" w:eastAsia="Arial" w:hAnsi="Arial"/>
                <w:sz w:val="22"/>
                <w:szCs w:val="22"/>
                <w:color w:val="auto"/>
                <w:vertAlign w:val="superscript"/>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5,380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5,380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5,380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Taylor Precision Products,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Series C Preferred Stock (379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Household Product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758</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Tenere,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(11% Cash, 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0.3</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3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Industrial Manufacturing</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PIK, Due 12/15/17)</w:t>
            </w:r>
            <w:r>
              <w:rPr>
                <w:rFonts w:ascii="Arial" w:cs="Arial" w:eastAsia="Arial" w:hAnsi="Arial"/>
                <w:sz w:val="22"/>
                <w:szCs w:val="22"/>
                <w:color w:val="auto"/>
                <w:vertAlign w:val="superscript"/>
              </w:rPr>
              <w:t>(9)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3,582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3,582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3,582</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U.S. Well Services,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(12.0% Cash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+ 11.5%, 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Due 5/2/19)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14,189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14,133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14,189</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Velum Global Credit Management,</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(15%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14,133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14,189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340" w:type="dxa"/>
            <w:vAlign w:val="bottom"/>
          </w:tcPr>
          <w:p>
            <w:pPr>
              <w:ind w:left="200"/>
              <w:spacing w:after="0"/>
              <w:rPr>
                <w:sz w:val="20"/>
                <w:szCs w:val="20"/>
                <w:color w:val="auto"/>
              </w:rPr>
            </w:pPr>
            <w:r>
              <w:rPr>
                <w:rFonts w:ascii="Arial" w:cs="Arial" w:eastAsia="Arial" w:hAnsi="Arial"/>
                <w:sz w:val="14"/>
                <w:szCs w:val="14"/>
                <w:color w:val="auto"/>
              </w:rPr>
              <w:t>LLC</w:t>
            </w:r>
          </w:p>
        </w:tc>
        <w:tc>
          <w:tcPr>
            <w:tcW w:w="40" w:type="dxa"/>
            <w:vAlign w:val="bottom"/>
          </w:tcPr>
          <w:p>
            <w:pPr>
              <w:spacing w:after="0"/>
              <w:rPr>
                <w:sz w:val="18"/>
                <w:szCs w:val="18"/>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Financial Services</w:t>
            </w:r>
          </w:p>
        </w:tc>
        <w:tc>
          <w:tcPr>
            <w:tcW w:w="40" w:type="dxa"/>
            <w:vAlign w:val="bottom"/>
          </w:tcPr>
          <w:p>
            <w:pPr>
              <w:spacing w:after="0"/>
              <w:rPr>
                <w:sz w:val="18"/>
                <w:szCs w:val="18"/>
                <w:color w:val="auto"/>
              </w:rPr>
            </w:pPr>
          </w:p>
        </w:tc>
        <w:tc>
          <w:tcPr>
            <w:tcW w:w="2180" w:type="dxa"/>
            <w:vAlign w:val="bottom"/>
          </w:tcPr>
          <w:p>
            <w:pPr>
              <w:ind w:left="100"/>
              <w:spacing w:after="0" w:line="208" w:lineRule="exact"/>
              <w:rPr>
                <w:sz w:val="20"/>
                <w:szCs w:val="20"/>
                <w:color w:val="auto"/>
              </w:rPr>
            </w:pPr>
            <w:r>
              <w:rPr>
                <w:rFonts w:ascii="Arial" w:cs="Arial" w:eastAsia="Arial" w:hAnsi="Arial"/>
                <w:sz w:val="14"/>
                <w:szCs w:val="14"/>
                <w:color w:val="auto"/>
              </w:rPr>
              <w:t>Due 12/31/17)</w:t>
            </w:r>
            <w:r>
              <w:rPr>
                <w:rFonts w:ascii="Arial" w:cs="Arial" w:eastAsia="Arial" w:hAnsi="Arial"/>
                <w:sz w:val="23"/>
                <w:szCs w:val="23"/>
                <w:color w:val="auto"/>
                <w:vertAlign w:val="superscript"/>
              </w:rPr>
              <w:t>(1)(8)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9,069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9,069</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Vology,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9"/>
              </w:rPr>
              <w:t>Subordinated Debt (15% Cash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+ 14%, 1% Floor),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Information Technology</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1/24/21)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8,000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Western Windows Systems,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(12.2%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3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Building Products</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7/31/20)</w:t>
            </w:r>
            <w:r>
              <w:rPr>
                <w:rFonts w:ascii="Arial" w:cs="Arial" w:eastAsia="Arial" w:hAnsi="Arial"/>
                <w:sz w:val="20"/>
                <w:szCs w:val="20"/>
                <w:color w:val="auto"/>
                <w:vertAlign w:val="superscript"/>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14,000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7"/>
        </w:trPr>
        <w:tc>
          <w:tcPr>
            <w:tcW w:w="2340" w:type="dxa"/>
            <w:vAlign w:val="bottom"/>
          </w:tcPr>
          <w:p>
            <w:pPr>
              <w:ind w:left="20"/>
              <w:spacing w:after="0"/>
              <w:rPr>
                <w:sz w:val="20"/>
                <w:szCs w:val="20"/>
                <w:color w:val="auto"/>
              </w:rPr>
            </w:pPr>
            <w:r>
              <w:rPr>
                <w:rFonts w:ascii="Arial" w:cs="Arial" w:eastAsia="Arial" w:hAnsi="Arial"/>
                <w:sz w:val="14"/>
                <w:szCs w:val="14"/>
                <w:color w:val="auto"/>
              </w:rPr>
              <w:t>Western Windows Systems, LLC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Building Products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Membership units (39,860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4,299</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4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 Total Non-control/non-affiliated investments</w:t>
            </w: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18,299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46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391,031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404,513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150.5</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829945</wp:posOffset>
            </wp:positionV>
            <wp:extent cx="147510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7510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923925</wp:posOffset>
            </wp:positionV>
            <wp:extent cx="147510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147510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71" w:lineRule="auto"/>
        <w:rPr>
          <w:sz w:val="20"/>
          <w:szCs w:val="20"/>
          <w:color w:val="auto"/>
        </w:rPr>
      </w:pPr>
      <w:r>
        <w:rPr>
          <w:rFonts w:ascii="Arial" w:cs="Arial" w:eastAsia="Arial" w:hAnsi="Arial"/>
          <w:sz w:val="13"/>
          <w:szCs w:val="13"/>
          <w:b w:val="1"/>
          <w:bCs w:val="1"/>
          <w:color w:val="auto"/>
        </w:rPr>
        <w:t xml:space="preserve">Affiliate investments – 43.6% </w:t>
      </w:r>
      <w:r>
        <w:rPr>
          <w:rFonts w:ascii="Arial" w:cs="Arial" w:eastAsia="Arial" w:hAnsi="Arial"/>
          <w:sz w:val="13"/>
          <w:szCs w:val="13"/>
          <w:color w:val="auto"/>
        </w:rPr>
        <w:t>Burgaflex Holdings, LLC</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Burgaflex Holdings,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Burgaflex Holdings, LLC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City Gear,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City Gear, LLC</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City Gear,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GA Communications,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GA Communications, Inc.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J&amp;J Produce Holdings, Inc.</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J&amp;J Produce Holdings, Inc.</w:t>
      </w:r>
    </w:p>
    <w:p>
      <w:pPr>
        <w:spacing w:after="0"/>
        <w:rPr>
          <w:sz w:val="20"/>
          <w:szCs w:val="20"/>
          <w:color w:val="auto"/>
        </w:rPr>
      </w:pPr>
      <w:r>
        <w:rPr>
          <w:rFonts w:ascii="Arial" w:cs="Arial" w:eastAsia="Arial" w:hAnsi="Arial"/>
          <w:sz w:val="14"/>
          <w:szCs w:val="14"/>
          <w:color w:val="auto"/>
        </w:rPr>
        <w:t>J&amp;J Produce Holdings, Inc.</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LJS Partners, LLC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MJC Holdings,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MMI Holdings,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MMI Holdings,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MMI Holdings,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MMI Holdings,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MTI Holdings,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MTI Holdings, LLC</w:t>
      </w:r>
    </w:p>
    <w:p>
      <w:pPr>
        <w:spacing w:after="0" w:line="312" w:lineRule="exact"/>
        <w:rPr>
          <w:sz w:val="20"/>
          <w:szCs w:val="20"/>
          <w:color w:val="auto"/>
        </w:rPr>
      </w:pPr>
    </w:p>
    <w:p>
      <w:pPr>
        <w:spacing w:after="0" w:line="594" w:lineRule="auto"/>
        <w:rPr>
          <w:sz w:val="20"/>
          <w:szCs w:val="20"/>
          <w:color w:val="auto"/>
        </w:rPr>
      </w:pPr>
      <w:r>
        <w:rPr>
          <w:rFonts w:ascii="Arial" w:cs="Arial" w:eastAsia="Arial" w:hAnsi="Arial"/>
          <w:sz w:val="13"/>
          <w:szCs w:val="13"/>
          <w:color w:val="auto"/>
        </w:rPr>
        <w:t>Source Capital ABUTEC, LLC Source Capital ABUTEC, LLC</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Source Capital Penray,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Source Capital Penray,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Source Capital Penray,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ind w:right="28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left="420" w:right="2899"/>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units/shares)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466534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6653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20320</wp:posOffset>
            </wp:positionV>
            <wp:extent cx="466534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272"/>
        </w:trPr>
        <w:tc>
          <w:tcPr>
            <w:tcW w:w="2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Subordinated Debt (14% Cash,</w:t>
            </w: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Automobile Part Manufacturer</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8/9/19)</w:t>
            </w:r>
          </w:p>
        </w:tc>
        <w:tc>
          <w:tcPr>
            <w:tcW w:w="720" w:type="dxa"/>
            <w:vAlign w:val="bottom"/>
            <w:gridSpan w:val="2"/>
          </w:tcPr>
          <w:p>
            <w:pPr>
              <w:jc w:val="right"/>
              <w:ind w:right="17"/>
              <w:spacing w:after="0" w:line="149" w:lineRule="exact"/>
              <w:rPr>
                <w:sz w:val="20"/>
                <w:szCs w:val="20"/>
                <w:color w:val="auto"/>
              </w:rPr>
            </w:pPr>
            <w:r>
              <w:rPr>
                <w:rFonts w:ascii="Arial" w:cs="Arial" w:eastAsia="Arial" w:hAnsi="Arial"/>
                <w:sz w:val="14"/>
                <w:szCs w:val="14"/>
                <w:color w:val="auto"/>
              </w:rPr>
              <w:t>$   3,000</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3,000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Automobile Part Manufacturer</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8/9/19)</w:t>
            </w:r>
          </w:p>
        </w:tc>
        <w:tc>
          <w:tcPr>
            <w:tcW w:w="720" w:type="dxa"/>
            <w:vAlign w:val="bottom"/>
            <w:gridSpan w:val="2"/>
          </w:tcPr>
          <w:p>
            <w:pPr>
              <w:jc w:val="right"/>
              <w:ind w:right="17"/>
              <w:spacing w:after="0" w:line="149" w:lineRule="exact"/>
              <w:rPr>
                <w:sz w:val="20"/>
                <w:szCs w:val="20"/>
                <w:color w:val="auto"/>
              </w:rPr>
            </w:pPr>
            <w:r>
              <w:rPr>
                <w:rFonts w:ascii="Arial" w:cs="Arial" w:eastAsia="Arial" w:hAnsi="Arial"/>
                <w:sz w:val="14"/>
                <w:szCs w:val="14"/>
                <w:color w:val="auto"/>
              </w:rPr>
              <w:t>5,828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5,828</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5,828</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Automobile Part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w w:val="94"/>
              </w:rPr>
              <w:t>Common Stock (1,253,198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1,504</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3,080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10,332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11,908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9/28/17)</w:t>
            </w:r>
            <w:r>
              <w:rPr>
                <w:rFonts w:ascii="Arial" w:cs="Arial" w:eastAsia="Arial" w:hAnsi="Arial"/>
                <w:sz w:val="20"/>
                <w:szCs w:val="20"/>
                <w:color w:val="auto"/>
                <w:vertAlign w:val="superscript"/>
              </w:rPr>
              <w:t>(1)</w:t>
            </w:r>
          </w:p>
        </w:tc>
        <w:tc>
          <w:tcPr>
            <w:tcW w:w="720" w:type="dxa"/>
            <w:vAlign w:val="bottom"/>
            <w:gridSpan w:val="2"/>
          </w:tcPr>
          <w:p>
            <w:pPr>
              <w:jc w:val="right"/>
              <w:ind w:right="17"/>
              <w:spacing w:after="0"/>
              <w:rPr>
                <w:sz w:val="20"/>
                <w:szCs w:val="20"/>
                <w:color w:val="auto"/>
              </w:rPr>
            </w:pPr>
            <w:r>
              <w:rPr>
                <w:rFonts w:ascii="Arial" w:cs="Arial" w:eastAsia="Arial" w:hAnsi="Arial"/>
                <w:sz w:val="14"/>
                <w:szCs w:val="14"/>
                <w:color w:val="auto"/>
              </w:rPr>
              <w:t>8,231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8,231</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8,231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(2.78% fully diluted, 9% Cash</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1,269</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1,269</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(11.38%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9,182</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8"/>
              </w:rPr>
              <w:t>Series A-1 Preferred Stock (1,998</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18,682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Advertising &amp; Marketing Services</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shares, 8% PIK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2,413</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2,764</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B-1 Common Stock</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Advertising &amp; Marketing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(200,000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1,162</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3,926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7/16/18)</w:t>
            </w:r>
            <w:r>
              <w:rPr>
                <w:rFonts w:ascii="Arial" w:cs="Arial" w:eastAsia="Arial" w:hAnsi="Arial"/>
                <w:sz w:val="20"/>
                <w:szCs w:val="20"/>
                <w:color w:val="auto"/>
                <w:vertAlign w:val="superscript"/>
              </w:rPr>
              <w:t>(13)</w:t>
            </w:r>
          </w:p>
        </w:tc>
        <w:tc>
          <w:tcPr>
            <w:tcW w:w="720" w:type="dxa"/>
            <w:vAlign w:val="bottom"/>
            <w:gridSpan w:val="2"/>
          </w:tcPr>
          <w:p>
            <w:pPr>
              <w:jc w:val="right"/>
              <w:ind w:right="17"/>
              <w:spacing w:after="0"/>
              <w:rPr>
                <w:sz w:val="20"/>
                <w:szCs w:val="20"/>
                <w:color w:val="auto"/>
              </w:rPr>
            </w:pPr>
            <w:r>
              <w:rPr>
                <w:rFonts w:ascii="Arial" w:cs="Arial" w:eastAsia="Arial" w:hAnsi="Arial"/>
                <w:sz w:val="14"/>
                <w:szCs w:val="14"/>
                <w:color w:val="auto"/>
              </w:rPr>
              <w:t>5,182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5,182</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5,182</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(8,182 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818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(4,506</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5,182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280" w:type="dxa"/>
            <w:vAlign w:val="bottom"/>
          </w:tcPr>
          <w:p>
            <w:pPr>
              <w:ind w:left="80"/>
              <w:spacing w:after="0" w:line="142" w:lineRule="exact"/>
              <w:rPr>
                <w:sz w:val="20"/>
                <w:szCs w:val="20"/>
                <w:color w:val="auto"/>
              </w:rPr>
            </w:pPr>
            <w:r>
              <w:rPr>
                <w:rFonts w:ascii="Arial" w:cs="Arial" w:eastAsia="Arial" w:hAnsi="Arial"/>
                <w:sz w:val="14"/>
                <w:szCs w:val="14"/>
                <w:color w:val="auto"/>
              </w:rPr>
              <w:t>QSR Franchisor</w:t>
            </w:r>
          </w:p>
        </w:tc>
        <w:tc>
          <w:tcPr>
            <w:tcW w:w="40" w:type="dxa"/>
            <w:vAlign w:val="bottom"/>
          </w:tcPr>
          <w:p>
            <w:pPr>
              <w:spacing w:after="0"/>
              <w:rPr>
                <w:sz w:val="12"/>
                <w:szCs w:val="12"/>
                <w:color w:val="auto"/>
              </w:rPr>
            </w:pPr>
          </w:p>
        </w:tc>
        <w:tc>
          <w:tcPr>
            <w:tcW w:w="2180" w:type="dxa"/>
            <w:vAlign w:val="bottom"/>
          </w:tcPr>
          <w:p>
            <w:pPr>
              <w:ind w:left="100"/>
              <w:spacing w:after="0" w:line="142" w:lineRule="exact"/>
              <w:rPr>
                <w:sz w:val="20"/>
                <w:szCs w:val="20"/>
                <w:color w:val="auto"/>
              </w:rPr>
            </w:pPr>
            <w:r>
              <w:rPr>
                <w:rFonts w:ascii="Arial" w:cs="Arial" w:eastAsia="Arial" w:hAnsi="Arial"/>
                <w:sz w:val="14"/>
                <w:szCs w:val="14"/>
                <w:color w:val="auto"/>
                <w:w w:val="94"/>
              </w:rPr>
              <w:t>Common Stock (1,500,000 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3,342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Series A Preferred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3,342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Specialty Clothing</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(2,000,000 units)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4,696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4,696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1/31/17)</w:t>
            </w:r>
            <w:r>
              <w:rPr>
                <w:rFonts w:ascii="Arial" w:cs="Arial" w:eastAsia="Arial" w:hAnsi="Arial"/>
                <w:sz w:val="20"/>
                <w:szCs w:val="20"/>
                <w:color w:val="auto"/>
                <w:vertAlign w:val="superscript"/>
              </w:rPr>
              <w:t>(1)</w:t>
            </w:r>
          </w:p>
        </w:tc>
        <w:tc>
          <w:tcPr>
            <w:tcW w:w="720" w:type="dxa"/>
            <w:vAlign w:val="bottom"/>
            <w:gridSpan w:val="2"/>
          </w:tcPr>
          <w:p>
            <w:pPr>
              <w:jc w:val="right"/>
              <w:ind w:right="17"/>
              <w:spacing w:after="0"/>
              <w:rPr>
                <w:sz w:val="20"/>
                <w:szCs w:val="20"/>
                <w:color w:val="auto"/>
              </w:rPr>
            </w:pPr>
            <w:r>
              <w:rPr>
                <w:rFonts w:ascii="Arial" w:cs="Arial" w:eastAsia="Arial" w:hAnsi="Arial"/>
                <w:sz w:val="14"/>
                <w:szCs w:val="14"/>
                <w:color w:val="auto"/>
              </w:rPr>
              <w:t>2,600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2,600</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2,600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Subordinated Debt (6% Cash,</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1/31/17)</w:t>
            </w:r>
            <w:r>
              <w:rPr>
                <w:rFonts w:ascii="Arial" w:cs="Arial" w:eastAsia="Arial" w:hAnsi="Arial"/>
                <w:sz w:val="20"/>
                <w:szCs w:val="20"/>
                <w:color w:val="auto"/>
                <w:vertAlign w:val="superscript"/>
              </w:rPr>
              <w:t>(1)</w:t>
            </w:r>
          </w:p>
        </w:tc>
        <w:tc>
          <w:tcPr>
            <w:tcW w:w="720" w:type="dxa"/>
            <w:vAlign w:val="bottom"/>
            <w:gridSpan w:val="2"/>
          </w:tcPr>
          <w:p>
            <w:pPr>
              <w:jc w:val="right"/>
              <w:ind w:right="17"/>
              <w:spacing w:after="0"/>
              <w:rPr>
                <w:sz w:val="20"/>
                <w:szCs w:val="20"/>
                <w:color w:val="auto"/>
              </w:rPr>
            </w:pPr>
            <w:r>
              <w:rPr>
                <w:rFonts w:ascii="Arial" w:cs="Arial" w:eastAsia="Arial" w:hAnsi="Arial"/>
                <w:sz w:val="14"/>
                <w:szCs w:val="14"/>
                <w:color w:val="auto"/>
              </w:rPr>
              <w:t>400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388</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400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Preferred Units (1,000 units, 6%</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1,216</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1,350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Membership Units (45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units)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319</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4,204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4,669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Retail Display &amp; Security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11/1/18)</w:t>
            </w:r>
          </w:p>
        </w:tc>
        <w:tc>
          <w:tcPr>
            <w:tcW w:w="720" w:type="dxa"/>
            <w:vAlign w:val="bottom"/>
            <w:gridSpan w:val="2"/>
          </w:tcPr>
          <w:p>
            <w:pPr>
              <w:jc w:val="right"/>
              <w:ind w:right="17"/>
              <w:spacing w:after="0" w:line="149" w:lineRule="exact"/>
              <w:rPr>
                <w:sz w:val="20"/>
                <w:szCs w:val="20"/>
                <w:color w:val="auto"/>
              </w:rPr>
            </w:pPr>
            <w:r>
              <w:rPr>
                <w:rFonts w:ascii="Arial" w:cs="Arial" w:eastAsia="Arial" w:hAnsi="Arial"/>
                <w:sz w:val="14"/>
                <w:szCs w:val="14"/>
                <w:color w:val="auto"/>
              </w:rPr>
              <w:t>8,000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8,000</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8,000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Units (2,000,000</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Retail Display &amp; Security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units)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13,917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 3%</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21,917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Due 12/28/17)</w:t>
            </w:r>
            <w:r>
              <w:rPr>
                <w:rFonts w:ascii="Arial" w:cs="Arial" w:eastAsia="Arial" w:hAnsi="Arial"/>
                <w:sz w:val="20"/>
                <w:szCs w:val="20"/>
                <w:color w:val="auto"/>
                <w:vertAlign w:val="superscript"/>
              </w:rPr>
              <w:t>(2)(12)</w:t>
            </w:r>
          </w:p>
        </w:tc>
        <w:tc>
          <w:tcPr>
            <w:tcW w:w="720" w:type="dxa"/>
            <w:vAlign w:val="bottom"/>
            <w:gridSpan w:val="2"/>
          </w:tcPr>
          <w:p>
            <w:pPr>
              <w:jc w:val="right"/>
              <w:ind w:right="17"/>
              <w:spacing w:after="0"/>
              <w:rPr>
                <w:sz w:val="20"/>
                <w:szCs w:val="20"/>
                <w:color w:val="auto"/>
              </w:rPr>
            </w:pPr>
            <w:r>
              <w:rPr>
                <w:rFonts w:ascii="Arial" w:cs="Arial" w:eastAsia="Arial" w:hAnsi="Arial"/>
                <w:sz w:val="14"/>
                <w:szCs w:val="14"/>
                <w:color w:val="auto"/>
              </w:rPr>
              <w:t>5,741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5,404</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2,247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(10.5%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1,240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6,644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2,247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w w:val="98"/>
              </w:rPr>
              <w:t>Automotive Chemicals &amp; Lubricants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2/17/17)</w:t>
            </w:r>
          </w:p>
        </w:tc>
        <w:tc>
          <w:tcPr>
            <w:tcW w:w="720" w:type="dxa"/>
            <w:vAlign w:val="bottom"/>
            <w:gridSpan w:val="2"/>
          </w:tcPr>
          <w:p>
            <w:pPr>
              <w:jc w:val="right"/>
              <w:ind w:right="17"/>
              <w:spacing w:after="0" w:line="149" w:lineRule="exact"/>
              <w:rPr>
                <w:sz w:val="20"/>
                <w:szCs w:val="20"/>
                <w:color w:val="auto"/>
              </w:rPr>
            </w:pPr>
            <w:r>
              <w:rPr>
                <w:rFonts w:ascii="Arial" w:cs="Arial" w:eastAsia="Arial" w:hAnsi="Arial"/>
                <w:sz w:val="14"/>
                <w:szCs w:val="14"/>
                <w:color w:val="auto"/>
              </w:rPr>
              <w:t>2,500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2,500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(6.65%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w w:val="98"/>
              </w:rPr>
              <w:t>Automotive Chemicals &amp; Lubricants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ownership)</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616</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Units (11.3%</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w w:val="98"/>
              </w:rPr>
              <w:t>Automotive Chemicals &amp; Lubricants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ownership)</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865</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3,981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105410</wp:posOffset>
            </wp:positionV>
            <wp:extent cx="6114415" cy="596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2">
            <w:col w:w="1800" w:space="560"/>
            <w:col w:w="7719"/>
          </w:cols>
          <w:pgMar w:left="380" w:top="792" w:right="1440"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left="3160"/>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units/shares)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-73025</wp:posOffset>
            </wp:positionV>
            <wp:extent cx="616585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616585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147510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Source Recycling, LLC</w:t>
      </w: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color w:val="auto"/>
        </w:rPr>
        <w:t>STX Healthcare Management Services,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STX Healthcare Management Services,</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w:t>
      </w:r>
    </w:p>
    <w:p>
      <w:pPr>
        <w:spacing w:after="0"/>
        <w:rPr>
          <w:sz w:val="20"/>
          <w:szCs w:val="20"/>
          <w:color w:val="auto"/>
        </w:rPr>
      </w:pPr>
      <w:r>
        <w:rPr>
          <w:rFonts w:ascii="Arial" w:cs="Arial" w:eastAsia="Arial" w:hAnsi="Arial"/>
          <w:sz w:val="12"/>
          <w:szCs w:val="12"/>
          <w:color w:val="auto"/>
        </w:rPr>
        <w:t>STX Healthcare Management Services,</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TCE Holdings,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TCE Holdings,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TCE Holdings, Inc.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 Total Affiliate investments</w:t>
      </w:r>
    </w:p>
    <w:p>
      <w:pPr>
        <w:spacing w:after="0" w:line="42" w:lineRule="exact"/>
        <w:rPr>
          <w:sz w:val="20"/>
          <w:szCs w:val="20"/>
          <w:color w:val="auto"/>
        </w:rPr>
      </w:pPr>
    </w:p>
    <w:p>
      <w:pPr>
        <w:ind w:right="320"/>
        <w:spacing w:after="0" w:line="297" w:lineRule="auto"/>
        <w:rPr>
          <w:sz w:val="20"/>
          <w:szCs w:val="20"/>
          <w:color w:val="auto"/>
        </w:rPr>
      </w:pPr>
      <w:r>
        <w:rPr>
          <w:rFonts w:ascii="Arial" w:cs="Arial" w:eastAsia="Arial" w:hAnsi="Arial"/>
          <w:sz w:val="13"/>
          <w:szCs w:val="13"/>
          <w:b w:val="1"/>
          <w:bCs w:val="1"/>
          <w:color w:val="auto"/>
        </w:rPr>
        <w:t xml:space="preserve">Control investments – 26.3% </w:t>
      </w:r>
      <w:r>
        <w:rPr>
          <w:rFonts w:ascii="Arial" w:cs="Arial" w:eastAsia="Arial" w:hAnsi="Arial"/>
          <w:sz w:val="13"/>
          <w:szCs w:val="13"/>
          <w:color w:val="auto"/>
        </w:rPr>
        <w:t>CableOrganizer Acquisition, LLC</w:t>
      </w:r>
    </w:p>
    <w:p>
      <w:pPr>
        <w:spacing w:after="0" w:line="80" w:lineRule="exact"/>
        <w:rPr>
          <w:sz w:val="20"/>
          <w:szCs w:val="20"/>
          <w:color w:val="auto"/>
        </w:rPr>
      </w:pPr>
    </w:p>
    <w:p>
      <w:pPr>
        <w:ind w:right="320"/>
        <w:spacing w:after="0" w:line="291" w:lineRule="auto"/>
        <w:rPr>
          <w:sz w:val="20"/>
          <w:szCs w:val="20"/>
          <w:color w:val="auto"/>
        </w:rPr>
      </w:pPr>
      <w:r>
        <w:rPr>
          <w:rFonts w:ascii="Arial" w:cs="Arial" w:eastAsia="Arial" w:hAnsi="Arial"/>
          <w:sz w:val="13"/>
          <w:szCs w:val="13"/>
          <w:color w:val="auto"/>
        </w:rPr>
        <w:t>CableOrganizer Acquisition, LLC CableOrganizer Acquisition, LLC</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Capitala Senior Liquid Loan Fund I,</w:t>
      </w:r>
    </w:p>
    <w:p>
      <w:pPr>
        <w:ind w:left="180"/>
        <w:spacing w:after="0"/>
        <w:rPr>
          <w:sz w:val="20"/>
          <w:szCs w:val="20"/>
          <w:color w:val="auto"/>
        </w:rPr>
      </w:pPr>
      <w:r>
        <w:rPr>
          <w:rFonts w:ascii="Arial" w:cs="Arial" w:eastAsia="Arial" w:hAnsi="Arial"/>
          <w:sz w:val="14"/>
          <w:szCs w:val="14"/>
          <w:color w:val="auto"/>
        </w:rPr>
        <w:t>LLC</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Micro Precision,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Micro Precision, LLC</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9"/>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tcPr>
          <w:p>
            <w:pPr>
              <w:ind w:left="100"/>
              <w:spacing w:after="0" w:line="133" w:lineRule="exact"/>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80"/>
              <w:spacing w:after="0"/>
              <w:rPr>
                <w:sz w:val="20"/>
                <w:szCs w:val="20"/>
                <w:color w:val="auto"/>
              </w:rPr>
            </w:pPr>
            <w:r>
              <w:rPr>
                <w:rFonts w:ascii="Arial" w:cs="Arial" w:eastAsia="Arial" w:hAnsi="Arial"/>
                <w:sz w:val="14"/>
                <w:szCs w:val="14"/>
                <w:color w:val="auto"/>
              </w:rPr>
              <w:t>Scrap Metal Recycler</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Due 9/2/16)</w:t>
            </w:r>
            <w:r>
              <w:rPr>
                <w:rFonts w:ascii="Arial" w:cs="Arial" w:eastAsia="Arial" w:hAnsi="Arial"/>
                <w:sz w:val="22"/>
                <w:szCs w:val="22"/>
                <w:color w:val="auto"/>
                <w:vertAlign w:val="superscript"/>
              </w:rPr>
              <w:t>(2)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5,000</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3,106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(12.5%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2280" w:type="dxa"/>
            <w:vAlign w:val="bottom"/>
          </w:tcPr>
          <w:p>
            <w:pPr>
              <w:ind w:left="80"/>
              <w:spacing w:after="0"/>
              <w:rPr>
                <w:sz w:val="20"/>
                <w:szCs w:val="20"/>
                <w:color w:val="auto"/>
              </w:rPr>
            </w:pPr>
            <w:r>
              <w:rPr>
                <w:rFonts w:ascii="Arial" w:cs="Arial" w:eastAsia="Arial" w:hAnsi="Arial"/>
                <w:sz w:val="14"/>
                <w:szCs w:val="14"/>
                <w:color w:val="auto"/>
              </w:rPr>
              <w:t>Dental Practice Management</w:t>
            </w:r>
          </w:p>
        </w:tc>
        <w:tc>
          <w:tcPr>
            <w:tcW w:w="40" w:type="dxa"/>
            <w:vAlign w:val="bottom"/>
          </w:tcPr>
          <w:p>
            <w:pPr>
              <w:spacing w:after="0"/>
              <w:rPr>
                <w:sz w:val="24"/>
                <w:szCs w:val="2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7/31/18)</w:t>
            </w:r>
            <w:r>
              <w:rPr>
                <w:rFonts w:ascii="Arial" w:cs="Arial" w:eastAsia="Arial" w:hAnsi="Arial"/>
                <w:sz w:val="23"/>
                <w:szCs w:val="23"/>
                <w:color w:val="auto"/>
                <w:vertAlign w:val="superscript"/>
              </w:rPr>
              <w:t>(1)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6,425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6,425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6,398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3"/>
        </w:trPr>
        <w:tc>
          <w:tcPr>
            <w:tcW w:w="2280" w:type="dxa"/>
            <w:vAlign w:val="bottom"/>
          </w:tcPr>
          <w:p>
            <w:pPr>
              <w:ind w:left="80"/>
              <w:spacing w:after="0"/>
              <w:rPr>
                <w:sz w:val="20"/>
                <w:szCs w:val="20"/>
                <w:color w:val="auto"/>
              </w:rPr>
            </w:pPr>
            <w:r>
              <w:rPr>
                <w:rFonts w:ascii="Arial" w:cs="Arial" w:eastAsia="Arial" w:hAnsi="Arial"/>
                <w:sz w:val="14"/>
                <w:szCs w:val="14"/>
                <w:color w:val="auto"/>
              </w:rPr>
              <w:t>Dental Practice Management</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w w:val="94"/>
              </w:rPr>
              <w:t>Common Stock (1,200,000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1,047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Dental Practice Management</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(1,154,254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1,007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4"/>
              </w:rPr>
              <w:t>Subordinated Debt (12% Cash, 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7,843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8,452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Due 2/1/19)</w:t>
            </w:r>
            <w:r>
              <w:rPr>
                <w:rFonts w:ascii="Arial" w:cs="Arial" w:eastAsia="Arial" w:hAnsi="Arial"/>
                <w:sz w:val="20"/>
                <w:szCs w:val="20"/>
                <w:color w:val="auto"/>
                <w:vertAlign w:val="superscript"/>
              </w:rPr>
              <w:t>(2)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13,718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13,649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8,368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4"/>
              </w:rPr>
              <w:t>Subordinated Debt (12% Cash, 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Due 2/1/19)</w:t>
            </w:r>
            <w:r>
              <w:rPr>
                <w:rFonts w:ascii="Arial" w:cs="Arial" w:eastAsia="Arial" w:hAnsi="Arial"/>
                <w:sz w:val="20"/>
                <w:szCs w:val="20"/>
                <w:color w:val="auto"/>
                <w:vertAlign w:val="superscript"/>
              </w:rPr>
              <w:t>(2)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10,931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10,876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6,668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Class A Common Stock (3,600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(15%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28,125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15,036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11/26/16)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471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471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1,047</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Subordinated Debt (0%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11/26/16)</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663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663</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Subordinated Debt (0%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11/26/16)</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Subordinated Debt (0%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11/26/16)</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3,563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3,563</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Subordinated Debt (0%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11/26/16)</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299</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Subordinated Debt (0%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11/26/16)</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2,750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2,750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Subordinated Debt (0%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11/26/16)</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243</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A-1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(255,102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178</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w w:val="94"/>
              </w:rPr>
              <w:t>Series A-3 Preferred Stock (88,194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w w:val="94"/>
              </w:rPr>
              <w:t>Series A-5 Preferred Stock (20,530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1,327</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(2,063,629 warrants)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3,452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99,290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117,350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 4%</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2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18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PIK, Due 5/24/18)</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11,025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11,025</w:t>
            </w:r>
          </w:p>
        </w:tc>
        <w:tc>
          <w:tcPr>
            <w:tcW w:w="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11,025</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w w:val="94"/>
              </w:rPr>
              <w:t>Common Stock (1,125,000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w w:val="95"/>
              </w:rPr>
              <w:t>Common Stock Warrants (570,000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Common Stock (80% ownership)</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11,038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80" w:type="dxa"/>
            <w:vAlign w:val="bottom"/>
          </w:tcPr>
          <w:p>
            <w:pPr>
              <w:ind w:left="80"/>
              <w:spacing w:after="0"/>
              <w:rPr>
                <w:sz w:val="20"/>
                <w:szCs w:val="20"/>
                <w:color w:val="auto"/>
              </w:rPr>
            </w:pPr>
            <w:r>
              <w:rPr>
                <w:rFonts w:ascii="Arial" w:cs="Arial" w:eastAsia="Arial" w:hAnsi="Arial"/>
                <w:sz w:val="14"/>
                <w:szCs w:val="14"/>
                <w:color w:val="auto"/>
              </w:rPr>
              <w:t>Investment Fund</w:t>
            </w:r>
          </w:p>
        </w:tc>
        <w:tc>
          <w:tcPr>
            <w:tcW w:w="2220" w:type="dxa"/>
            <w:vAlign w:val="bottom"/>
            <w:gridSpan w:val="2"/>
          </w:tcPr>
          <w:p>
            <w:pPr>
              <w:ind w:left="140"/>
              <w:spacing w:after="0"/>
              <w:rPr>
                <w:sz w:val="20"/>
                <w:szCs w:val="20"/>
                <w:color w:val="auto"/>
              </w:rPr>
            </w:pPr>
            <w:r>
              <w:rPr>
                <w:rFonts w:ascii="Arial" w:cs="Arial" w:eastAsia="Arial" w:hAnsi="Arial"/>
                <w:sz w:val="12"/>
                <w:szCs w:val="12"/>
                <w:color w:val="auto"/>
              </w:rPr>
              <w:t>(8)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17,867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17,867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9/16/16)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1,862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1,862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1,862</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w w:val="94"/>
              </w:rPr>
              <w:t>Subordinated Debt (14% Cash, 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80"/>
              <w:spacing w:after="0"/>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5"/>
                <w:szCs w:val="15"/>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PIK, Due 9/16/16)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3,830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3,830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3,830</w:t>
            </w:r>
          </w:p>
        </w:tc>
        <w:tc>
          <w:tcPr>
            <w:tcW w:w="680" w:type="dxa"/>
            <w:vAlign w:val="bottom"/>
            <w:gridSpan w:val="3"/>
          </w:tcPr>
          <w:p>
            <w:pPr>
              <w:jc w:val="right"/>
              <w:ind w:right="1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280" w:space="80"/>
            <w:col w:w="7719"/>
          </w:cols>
          <w:pgMar w:left="380" w:top="792" w:right="1440" w:bottom="1440" w:gutter="0" w:footer="0" w:header="0"/>
          <w:type w:val="continuous"/>
        </w:sectPr>
      </w:pPr>
    </w:p>
    <w:p>
      <w:pPr>
        <w:spacing w:after="0" w:line="311"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16" w:name="page117"/>
    <w:bookmarkEnd w:id="11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units/shares)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61658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20320</wp:posOffset>
            </wp:positionV>
            <wp:extent cx="616585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340" w:type="dxa"/>
            <w:vAlign w:val="bottom"/>
            <w:gridSpan w:val="3"/>
            <w:vMerge w:val="restart"/>
          </w:tcPr>
          <w:p>
            <w:pPr>
              <w:ind w:left="20"/>
              <w:spacing w:after="0"/>
              <w:rPr>
                <w:sz w:val="20"/>
                <w:szCs w:val="20"/>
                <w:color w:val="auto"/>
              </w:rPr>
            </w:pPr>
            <w:r>
              <w:rPr>
                <w:rFonts w:ascii="Arial" w:cs="Arial" w:eastAsia="Arial" w:hAnsi="Arial"/>
                <w:sz w:val="25"/>
                <w:szCs w:val="25"/>
                <w:b w:val="1"/>
                <w:bCs w:val="1"/>
                <w:color w:val="auto"/>
                <w:vertAlign w:val="subscript"/>
              </w:rPr>
              <w:t>Company</w:t>
            </w:r>
            <w:r>
              <w:rPr>
                <w:rFonts w:ascii="Arial" w:cs="Arial" w:eastAsia="Arial" w:hAnsi="Arial"/>
                <w:sz w:val="10"/>
                <w:szCs w:val="10"/>
                <w:b w:val="1"/>
                <w:bCs w:val="1"/>
                <w:color w:val="auto"/>
              </w:rPr>
              <w:t>(4),(5)</w:t>
            </w:r>
          </w:p>
        </w:tc>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68"/>
              <w:spacing w:after="0"/>
              <w:rPr>
                <w:sz w:val="20"/>
                <w:szCs w:val="20"/>
                <w:color w:val="auto"/>
              </w:rPr>
            </w:pPr>
            <w:r>
              <w:rPr>
                <w:rFonts w:ascii="Arial" w:cs="Arial" w:eastAsia="Arial" w:hAnsi="Arial"/>
                <w:sz w:val="13"/>
                <w:szCs w:val="13"/>
                <w:b w:val="1"/>
                <w:bCs w:val="1"/>
                <w:color w:val="auto"/>
                <w:w w:val="90"/>
              </w:rPr>
              <w:t>Principal</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3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Pr>
          <w:p>
            <w:pPr>
              <w:ind w:left="92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80" w:type="dxa"/>
            <w:vAlign w:val="bottom"/>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right"/>
              <w:ind w:right="208"/>
              <w:spacing w:after="0"/>
              <w:rPr>
                <w:sz w:val="20"/>
                <w:szCs w:val="20"/>
                <w:color w:val="auto"/>
              </w:rPr>
            </w:pPr>
            <w:r>
              <w:rPr>
                <w:rFonts w:ascii="Arial" w:cs="Arial" w:eastAsia="Arial" w:hAnsi="Arial"/>
                <w:sz w:val="13"/>
                <w:szCs w:val="13"/>
                <w:b w:val="1"/>
                <w:bCs w:val="1"/>
                <w:color w:val="auto"/>
                <w:w w:val="93"/>
              </w:rPr>
              <w:t>Amount</w:t>
            </w:r>
          </w:p>
        </w:tc>
        <w:tc>
          <w:tcPr>
            <w:tcW w:w="560" w:type="dxa"/>
            <w:vAlign w:val="bottom"/>
            <w:gridSpan w:val="3"/>
          </w:tcPr>
          <w:p>
            <w:pPr>
              <w:ind w:left="10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42"/>
        </w:trPr>
        <w:tc>
          <w:tcPr>
            <w:tcW w:w="23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2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2"/>
                <w:szCs w:val="12"/>
                <w:color w:val="auto"/>
              </w:rPr>
            </w:pPr>
          </w:p>
        </w:tc>
        <w:tc>
          <w:tcPr>
            <w:tcW w:w="21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color w:val="auto"/>
                <w:w w:val="96"/>
              </w:rPr>
              <w:t>Series A Preferred Units (47 units)</w:t>
            </w: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1,629</w:t>
            </w: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1,629</w:t>
            </w:r>
          </w:p>
        </w:tc>
        <w:tc>
          <w:tcPr>
            <w:tcW w:w="4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(15%, 2% PIK at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7,321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7,321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Company’s option,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10/30/20)</w:t>
            </w:r>
            <w:r>
              <w:rPr>
                <w:rFonts w:ascii="Arial" w:cs="Arial" w:eastAsia="Arial" w:hAnsi="Arial"/>
                <w:sz w:val="20"/>
                <w:szCs w:val="20"/>
                <w:color w:val="auto"/>
                <w:vertAlign w:val="superscript"/>
              </w:rPr>
              <w:t>(1)(10)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6,500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6,500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6,500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8"/>
        </w:trPr>
        <w:tc>
          <w:tcPr>
            <w:tcW w:w="23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Class A Preferred Stock (1,000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shares, 10% Cash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Common Stock (300,000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5,354</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4"/>
              </w:rPr>
              <w:t>Subordinated Debt (14% Cash, 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7,501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12,854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3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Due 12/19/16)</w:t>
            </w:r>
            <w:r>
              <w:rPr>
                <w:rFonts w:ascii="Arial" w:cs="Arial" w:eastAsia="Arial" w:hAnsi="Arial"/>
                <w:sz w:val="20"/>
                <w:szCs w:val="20"/>
                <w:color w:val="auto"/>
                <w:vertAlign w:val="superscript"/>
              </w:rPr>
              <w:t>(2)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8,539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8,448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4,425</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A Preferred Stock (32,782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3,278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B Preferred Stock (23,648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2,365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Common Stock (33,107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(10% Cash, 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14,124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4,425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PIK, Due 2/24/19)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15,780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15,780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15,780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(18,543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2,990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1,253</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(820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 Total Control investments</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18,770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17,088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3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79,866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70,593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INVESTMENTS – 220.4%</w:t>
            </w: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3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570,187</w:t>
            </w:r>
          </w:p>
        </w:tc>
        <w:tc>
          <w:tcPr>
            <w:tcW w:w="2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592,456</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220.4</w:t>
            </w: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hanging="27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117" w:lineRule="exact"/>
        <w:rPr>
          <w:rFonts w:ascii="Arial" w:cs="Arial" w:eastAsia="Arial" w:hAnsi="Arial"/>
          <w:sz w:val="18"/>
          <w:szCs w:val="18"/>
          <w:color w:val="auto"/>
        </w:rPr>
      </w:pPr>
    </w:p>
    <w:p>
      <w:pPr>
        <w:ind w:left="300" w:right="599" w:hanging="272"/>
        <w:spacing w:after="0" w:line="277" w:lineRule="auto"/>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debt investments are income producing, unless otherwise noted. Equity and warrant investments are non-income producing, unless otherwise noted.</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Percentages are based on net assets of $268,802 as of December 31, 2015.</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117" w:lineRule="exact"/>
        <w:rPr>
          <w:rFonts w:ascii="Arial" w:cs="Arial" w:eastAsia="Arial" w:hAnsi="Arial"/>
          <w:sz w:val="18"/>
          <w:szCs w:val="18"/>
          <w:color w:val="auto"/>
        </w:rPr>
      </w:pPr>
    </w:p>
    <w:p>
      <w:pPr>
        <w:ind w:left="300" w:right="599" w:hanging="272"/>
        <w:spacing w:after="0" w:line="259" w:lineRule="auto"/>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2015, 7.3% of the Company’s total assets were non-qualifying assets.</w:t>
      </w:r>
    </w:p>
    <w:p>
      <w:pPr>
        <w:spacing w:after="0" w:line="78" w:lineRule="exact"/>
        <w:rPr>
          <w:rFonts w:ascii="Arial" w:cs="Arial" w:eastAsia="Arial" w:hAnsi="Arial"/>
          <w:sz w:val="18"/>
          <w:szCs w:val="18"/>
          <w:color w:val="auto"/>
        </w:rPr>
      </w:pPr>
    </w:p>
    <w:p>
      <w:pPr>
        <w:ind w:left="300" w:hanging="27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117" w:lineRule="exact"/>
        <w:rPr>
          <w:rFonts w:ascii="Arial" w:cs="Arial" w:eastAsia="Arial" w:hAnsi="Arial"/>
          <w:sz w:val="18"/>
          <w:szCs w:val="18"/>
          <w:color w:val="auto"/>
        </w:rPr>
      </w:pPr>
    </w:p>
    <w:p>
      <w:pPr>
        <w:ind w:left="340" w:hanging="312"/>
        <w:spacing w:after="0"/>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investment has a $1.0 million unfunded commitment.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(11)The investment has a $2.8 million unfunded commitment.</w:t>
      </w:r>
    </w:p>
    <w:p>
      <w:pPr>
        <w:spacing w:after="0" w:line="117" w:lineRule="exact"/>
        <w:rPr>
          <w:sz w:val="20"/>
          <w:szCs w:val="20"/>
          <w:color w:val="auto"/>
        </w:rPr>
      </w:pPr>
    </w:p>
    <w:p>
      <w:pPr>
        <w:ind w:left="340" w:hanging="312"/>
        <w:spacing w:after="0"/>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Interest rate amended to 15% PIK through February 15, 2016.</w:t>
      </w:r>
    </w:p>
    <w:p>
      <w:pPr>
        <w:spacing w:after="0" w:line="128" w:lineRule="exact"/>
        <w:rPr>
          <w:rFonts w:ascii="Arial" w:cs="Arial" w:eastAsia="Arial" w:hAnsi="Arial"/>
          <w:sz w:val="17"/>
          <w:szCs w:val="17"/>
          <w:color w:val="auto"/>
        </w:rPr>
      </w:pPr>
    </w:p>
    <w:p>
      <w:pPr>
        <w:ind w:left="340" w:hanging="312"/>
        <w:spacing w:after="0"/>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Interest rate amended to 15% through June 30, 2016.</w:t>
      </w:r>
    </w:p>
    <w:p>
      <w:pPr>
        <w:spacing w:after="0" w:line="128" w:lineRule="exact"/>
        <w:rPr>
          <w:rFonts w:ascii="Arial" w:cs="Arial" w:eastAsia="Arial" w:hAnsi="Arial"/>
          <w:sz w:val="17"/>
          <w:szCs w:val="17"/>
          <w:color w:val="auto"/>
        </w:rPr>
      </w:pPr>
    </w:p>
    <w:p>
      <w:pPr>
        <w:ind w:left="340" w:right="579" w:hanging="312"/>
        <w:spacing w:after="0" w:line="308" w:lineRule="auto"/>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Interest rate was amended to zero. The Company is entitled to receive earn-out payments of up to $2.4 million in satisfaction of the debt.</w:t>
      </w:r>
    </w:p>
    <w:p>
      <w:pPr>
        <w:spacing w:after="0" w:line="200" w:lineRule="exact"/>
        <w:rPr>
          <w:sz w:val="20"/>
          <w:szCs w:val="20"/>
          <w:color w:val="auto"/>
        </w:rPr>
      </w:pPr>
    </w:p>
    <w:p>
      <w:pPr>
        <w:spacing w:after="0" w:line="27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left="40" w:right="719" w:firstLine="270"/>
        <w:spacing w:after="0" w:line="287" w:lineRule="auto"/>
        <w:rPr>
          <w:sz w:val="20"/>
          <w:szCs w:val="20"/>
          <w:color w:val="auto"/>
        </w:rPr>
      </w:pPr>
      <w:r>
        <w:rPr>
          <w:rFonts w:ascii="Arial" w:cs="Arial" w:eastAsia="Arial" w:hAnsi="Arial"/>
          <w:sz w:val="16"/>
          <w:szCs w:val="16"/>
          <w:color w:val="auto"/>
        </w:rPr>
        <w:t>Capitala Finance Corp. (“Capitala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is an “emerging growth company” within the meaning of the Jumpstart Our Business Startups Act of 2012 (the “JOBS Act”), and as such, is subject to reduced public company reporting requirements.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(the “Advisers Act”), and Capitala Advisors Corp. (the “Administrator”) provides the administrative services necessary for the Company to operate. For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65"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57"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the Company offers customized financing to business owners, management teams and financial sponsors for change of ownership transactions, recapitalizations, strategic acquisitions, business expansion and other growth initiatives. The Company invests in first lien, second lien and subordinated loans, and, to a lesser extent, equity securities issued by lower middle-market companies and traditional middle-market companies.</w:t>
      </w:r>
    </w:p>
    <w:p>
      <w:pPr>
        <w:spacing w:after="0" w:line="70" w:lineRule="exact"/>
        <w:rPr>
          <w:sz w:val="20"/>
          <w:szCs w:val="20"/>
          <w:color w:val="auto"/>
        </w:rPr>
      </w:pPr>
    </w:p>
    <w:p>
      <w:pPr>
        <w:ind w:left="40" w:right="699" w:firstLine="270"/>
        <w:spacing w:after="0" w:line="290"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is considered an investment company as defined in Accounting Standards Codification (“ASC”) Topic</w:t>
      </w:r>
    </w:p>
    <w:p>
      <w:pPr>
        <w:spacing w:after="0" w:line="35" w:lineRule="exact"/>
        <w:rPr>
          <w:sz w:val="20"/>
          <w:szCs w:val="20"/>
          <w:color w:val="auto"/>
        </w:rPr>
      </w:pPr>
    </w:p>
    <w:p>
      <w:pPr>
        <w:jc w:val="both"/>
        <w:ind w:left="40" w:right="599"/>
        <w:spacing w:after="0" w:line="255" w:lineRule="auto"/>
        <w:rPr>
          <w:sz w:val="20"/>
          <w:szCs w:val="20"/>
          <w:color w:val="auto"/>
        </w:rPr>
      </w:pPr>
      <w:r>
        <w:rPr>
          <w:rFonts w:ascii="Arial" w:cs="Arial" w:eastAsia="Arial" w:hAnsi="Arial"/>
          <w:sz w:val="18"/>
          <w:szCs w:val="18"/>
          <w:color w:val="auto"/>
        </w:rPr>
        <w:t xml:space="preserve">946 — </w:t>
      </w:r>
      <w:r>
        <w:rPr>
          <w:rFonts w:ascii="Arial" w:cs="Arial" w:eastAsia="Arial" w:hAnsi="Arial"/>
          <w:sz w:val="18"/>
          <w:szCs w:val="18"/>
          <w:i w:val="1"/>
          <w:iCs w:val="1"/>
          <w:color w:val="auto"/>
        </w:rPr>
        <w:t>Financial Services — Investment Companies</w:t>
      </w:r>
      <w:r>
        <w:rPr>
          <w:rFonts w:ascii="Arial" w:cs="Arial" w:eastAsia="Arial" w:hAnsi="Arial"/>
          <w:sz w:val="18"/>
          <w:szCs w:val="18"/>
          <w:color w:val="auto"/>
        </w:rPr>
        <w:t xml:space="preserve"> (“ASC 946”)</w:t>
      </w:r>
      <w:r>
        <w:rPr>
          <w:rFonts w:ascii="Arial" w:cs="Arial" w:eastAsia="Arial" w:hAnsi="Arial"/>
          <w:sz w:val="18"/>
          <w:szCs w:val="18"/>
          <w:i w:val="1"/>
          <w:iCs w:val="1"/>
          <w:color w:val="auto"/>
        </w:rPr>
        <w:t>.</w:t>
      </w:r>
      <w:r>
        <w:rPr>
          <w:rFonts w:ascii="Arial" w:cs="Arial" w:eastAsia="Arial" w:hAnsi="Arial"/>
          <w:sz w:val="18"/>
          <w:szCs w:val="18"/>
          <w:color w:val="auto"/>
        </w:rPr>
        <w:t xml:space="preserve"> The accompanying consolidated financial statements have been prepared on the accrual basis of accounting in conformity with U.S. generally accepted accounting principles (“U.S. GAAP”) and pursuant to the requirements for reporting</w:t>
      </w:r>
    </w:p>
    <w:p>
      <w:pPr>
        <w:spacing w:after="0" w:line="200" w:lineRule="exact"/>
        <w:rPr>
          <w:sz w:val="20"/>
          <w:szCs w:val="20"/>
          <w:color w:val="auto"/>
        </w:rPr>
      </w:pPr>
    </w:p>
    <w:p>
      <w:pPr>
        <w:spacing w:after="0" w:line="32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719"/>
        <w:spacing w:after="0" w:line="308" w:lineRule="auto"/>
        <w:rPr>
          <w:sz w:val="20"/>
          <w:szCs w:val="20"/>
          <w:color w:val="auto"/>
        </w:rPr>
      </w:pPr>
      <w:r>
        <w:rPr>
          <w:rFonts w:ascii="Arial" w:cs="Arial" w:eastAsia="Arial" w:hAnsi="Arial"/>
          <w:sz w:val="17"/>
          <w:szCs w:val="17"/>
          <w:color w:val="auto"/>
        </w:rPr>
        <w:t>on Form 10-K and Article 6 and Article 10 of Regulation S-X. The consolidated financial statements of the Company include the accounts of the Company and its wholly owned subsidiaries as described in the Formation Transactions above.</w:t>
      </w:r>
    </w:p>
    <w:p>
      <w:pPr>
        <w:spacing w:after="0" w:line="38"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The Company’s financial statements as of December 31, 2016 and 2015 are presented on a consolidated basis. The effects of all intercompany transactions between the Company and its consolidated subsidiaries (Fund II, Fund III, and the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50"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Certain reclassifications have been made in the sub-classification of debt investments as of December 31, 2015 and for the two years in the period then ended in order to conform to current presentation.</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left="40" w:right="739" w:firstLine="270"/>
        <w:spacing w:after="0" w:line="302"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Consolidation</w:t>
      </w:r>
    </w:p>
    <w:p>
      <w:pPr>
        <w:spacing w:after="0" w:line="121"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As provided under Regulation S-X and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subsidiaries in its consolidated financial statements. The Company did not consolidate its interest in Capitala Senior Liquid Loan Fund I, LLC (“CSLLF”) during the periods it was in existence because the investment was not considered a substantially wholly owned investment company subsidiary. Further, CSLLF was a joint venture for which shared power existed relating to the decisions that most significantly impacted the economic performance of the entity. See Note 4 to the consolidated financial statements for description of the Company’s investment in CSLLF.</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left="40" w:right="1019" w:firstLine="270"/>
        <w:spacing w:after="0" w:line="259"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(“FDIC”) insurance limits.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Classification</w:t>
      </w:r>
    </w:p>
    <w:p>
      <w:pPr>
        <w:spacing w:after="0" w:line="121"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699"/>
        <w:spacing w:after="0" w:line="297" w:lineRule="auto"/>
        <w:rPr>
          <w:sz w:val="20"/>
          <w:szCs w:val="20"/>
          <w:color w:val="auto"/>
        </w:rPr>
      </w:pPr>
      <w:r>
        <w:rPr>
          <w:rFonts w:ascii="Arial" w:cs="Arial" w:eastAsia="Arial" w:hAnsi="Arial"/>
          <w:sz w:val="16"/>
          <w:szCs w:val="16"/>
          <w:color w:val="auto"/>
        </w:rPr>
        <w:t>“Non-Control/Non-Affiliate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Valuation of Investments</w:t>
      </w:r>
    </w:p>
    <w:p>
      <w:pPr>
        <w:spacing w:after="0" w:line="121"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w:t>
      </w:r>
    </w:p>
    <w:p>
      <w:pPr>
        <w:spacing w:after="0" w:line="80" w:lineRule="exact"/>
        <w:rPr>
          <w:sz w:val="20"/>
          <w:szCs w:val="20"/>
          <w:color w:val="auto"/>
        </w:rPr>
      </w:pPr>
    </w:p>
    <w:p>
      <w:pPr>
        <w:ind w:left="40" w:right="699" w:firstLine="270"/>
        <w:spacing w:after="0" w:line="279" w:lineRule="auto"/>
        <w:rPr>
          <w:sz w:val="20"/>
          <w:szCs w:val="20"/>
          <w:color w:val="auto"/>
        </w:rPr>
      </w:pPr>
      <w:r>
        <w:rPr>
          <w:rFonts w:ascii="Arial" w:cs="Arial" w:eastAsia="Arial" w:hAnsi="Arial"/>
          <w:sz w:val="17"/>
          <w:szCs w:val="17"/>
          <w:color w:val="auto"/>
        </w:rPr>
        <w:t>In determining fair value, the Company’s board of directors (the “Board”) uses various valuation approaches, and engages a third-party valuation firm, which provides an independent valuation of certain investments.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63" w:lineRule="exact"/>
        <w:rPr>
          <w:sz w:val="20"/>
          <w:szCs w:val="20"/>
          <w:color w:val="auto"/>
        </w:rPr>
      </w:pPr>
    </w:p>
    <w:p>
      <w:pPr>
        <w:jc w:val="both"/>
        <w:ind w:left="40" w:right="719" w:firstLine="270"/>
        <w:spacing w:after="0" w:line="312" w:lineRule="auto"/>
        <w:rPr>
          <w:sz w:val="20"/>
          <w:szCs w:val="20"/>
          <w:color w:val="auto"/>
        </w:rPr>
      </w:pPr>
      <w:r>
        <w:rPr>
          <w:rFonts w:ascii="Arial" w:cs="Arial" w:eastAsia="Arial" w:hAnsi="Arial"/>
          <w:sz w:val="16"/>
          <w:szCs w:val="16"/>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39" w:lineRule="exact"/>
        <w:rPr>
          <w:sz w:val="20"/>
          <w:szCs w:val="20"/>
          <w:color w:val="auto"/>
        </w:rPr>
      </w:pPr>
    </w:p>
    <w:p>
      <w:pPr>
        <w:ind w:left="40" w:right="779" w:firstLine="270"/>
        <w:spacing w:after="0" w:line="287"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65" w:lineRule="exact"/>
        <w:rPr>
          <w:sz w:val="20"/>
          <w:szCs w:val="20"/>
          <w:color w:val="auto"/>
        </w:rPr>
      </w:pPr>
    </w:p>
    <w:p>
      <w:pPr>
        <w:ind w:left="40" w:right="679" w:firstLine="270"/>
        <w:spacing w:after="0" w:line="273" w:lineRule="auto"/>
        <w:rPr>
          <w:sz w:val="20"/>
          <w:szCs w:val="20"/>
          <w:color w:val="auto"/>
        </w:rPr>
      </w:pPr>
      <w:r>
        <w:rPr>
          <w:rFonts w:ascii="Arial" w:cs="Arial" w:eastAsia="Arial" w:hAnsi="Arial"/>
          <w:sz w:val="17"/>
          <w:szCs w:val="17"/>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200" w:lineRule="exact"/>
        <w:rPr>
          <w:sz w:val="20"/>
          <w:szCs w:val="20"/>
          <w:color w:val="auto"/>
        </w:rPr>
      </w:pPr>
    </w:p>
    <w:p>
      <w:pPr>
        <w:spacing w:after="0" w:line="3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In estimating fair value of portfolio investments, the Company starts with the cost basis of the investment, which includes original issue discount or premium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79"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As a practical expedient, the Company used the net asset value (“NAV”) as the basis for the fair value of its investment in CSLLF. CSLLF recorded its underlying investments at fair value on a daily basis utilizing pricing information from third-party sources. Management may perform model-based analytical valuations in instances where an investment is considered illiquid or for which pricing is not available from third-party sources.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valuation methodologies are utilized by the Company in estimating fair value and are summarized as follows: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Enterprise Value Waterfall Approach</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enterprise value waterfall approach is primarily utilized to value the Company’s equity securities, including warrants.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However, the Company may utilize the enterprise value waterfall approach to value certain debt securities.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Approach</w:t>
      </w:r>
    </w:p>
    <w:p>
      <w:pPr>
        <w:spacing w:after="0" w:line="117"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of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indicates that there is an additional level of uncertainty about collectability of cash flows.</w:t>
      </w:r>
    </w:p>
    <w:p>
      <w:pPr>
        <w:spacing w:after="0" w:line="200" w:lineRule="exact"/>
        <w:rPr>
          <w:sz w:val="20"/>
          <w:szCs w:val="20"/>
          <w:color w:val="auto"/>
        </w:rPr>
      </w:pPr>
    </w:p>
    <w:p>
      <w:pPr>
        <w:spacing w:after="0" w:line="3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Asset Approach</w:t>
      </w:r>
    </w:p>
    <w:p>
      <w:pPr>
        <w:spacing w:after="0" w:line="117" w:lineRule="exact"/>
        <w:rPr>
          <w:sz w:val="20"/>
          <w:szCs w:val="20"/>
          <w:color w:val="auto"/>
        </w:rPr>
      </w:pPr>
    </w:p>
    <w:p>
      <w:pPr>
        <w:jc w:val="both"/>
        <w:ind w:left="40" w:right="579" w:firstLine="270"/>
        <w:spacing w:after="0" w:line="264" w:lineRule="auto"/>
        <w:rPr>
          <w:sz w:val="20"/>
          <w:szCs w:val="20"/>
          <w:color w:val="auto"/>
        </w:rPr>
      </w:pPr>
      <w:r>
        <w:rPr>
          <w:rFonts w:ascii="Arial" w:cs="Arial" w:eastAsia="Arial" w:hAnsi="Arial"/>
          <w:sz w:val="18"/>
          <w:szCs w:val="18"/>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i w:val="1"/>
          <w:iCs w:val="1"/>
          <w:color w:val="auto"/>
        </w:rPr>
        <w:t xml:space="preserve">Interest income and paid-in-kind interest income: </w:t>
      </w:r>
      <w:r>
        <w:rPr>
          <w:rFonts w:ascii="Arial" w:cs="Arial" w:eastAsia="Arial" w:hAnsi="Arial"/>
          <w:sz w:val="18"/>
          <w:szCs w:val="18"/>
          <w:color w:val="auto"/>
        </w:rPr>
        <w:t>Interest income is recorded on the accrual basis to the extent that such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are expected to be collected. The Company has loans in the portfolio that contain a PIK provision. The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80" w:lineRule="exact"/>
        <w:rPr>
          <w:sz w:val="20"/>
          <w:szCs w:val="20"/>
          <w:color w:val="auto"/>
        </w:rPr>
      </w:pPr>
    </w:p>
    <w:p>
      <w:pPr>
        <w:ind w:left="40" w:right="579" w:firstLine="270"/>
        <w:spacing w:after="0" w:line="289"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Generally, when interest and/or principal payments on a loan become 90 days or more past due, or if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59"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i w:val="1"/>
          <w:iCs w:val="1"/>
          <w:color w:val="auto"/>
        </w:rPr>
        <w:t xml:space="preserve">Gains and losses on investment sales and paydowns: </w:t>
      </w:r>
      <w:r>
        <w:rPr>
          <w:rFonts w:ascii="Arial" w:cs="Arial" w:eastAsia="Arial" w:hAnsi="Arial"/>
          <w:sz w:val="18"/>
          <w:szCs w:val="18"/>
          <w:color w:val="auto"/>
        </w:rPr>
        <w:t>Realized gains and losses on investments are recognized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w:t>
      </w:r>
    </w:p>
    <w:p>
      <w:pPr>
        <w:spacing w:after="0" w:line="62" w:lineRule="exact"/>
        <w:rPr>
          <w:sz w:val="20"/>
          <w:szCs w:val="20"/>
          <w:color w:val="auto"/>
        </w:rPr>
      </w:pPr>
    </w:p>
    <w:p>
      <w:pPr>
        <w:ind w:left="40" w:right="519" w:firstLine="270"/>
        <w:spacing w:after="0" w:line="290" w:lineRule="auto"/>
        <w:rPr>
          <w:sz w:val="20"/>
          <w:szCs w:val="20"/>
          <w:color w:val="auto"/>
        </w:rPr>
      </w:pPr>
      <w:r>
        <w:rPr>
          <w:rFonts w:ascii="Arial" w:cs="Arial" w:eastAsia="Arial" w:hAnsi="Arial"/>
          <w:sz w:val="16"/>
          <w:szCs w:val="16"/>
          <w:i w:val="1"/>
          <w:iCs w:val="1"/>
          <w:color w:val="auto"/>
        </w:rPr>
        <w:t xml:space="preserve">Dividend income and paid-in-kind dividends: </w:t>
      </w:r>
      <w:r>
        <w:rPr>
          <w:rFonts w:ascii="Arial" w:cs="Arial" w:eastAsia="Arial" w:hAnsi="Arial"/>
          <w:sz w:val="16"/>
          <w:szCs w:val="16"/>
          <w:color w:val="auto"/>
        </w:rPr>
        <w:t>Dividend income is recognized on the date dividends are declared.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income may be 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58" w:lineRule="exact"/>
        <w:rPr>
          <w:sz w:val="20"/>
          <w:szCs w:val="20"/>
          <w:color w:val="auto"/>
        </w:rPr>
      </w:pPr>
    </w:p>
    <w:p>
      <w:pPr>
        <w:ind w:left="40" w:right="919" w:firstLine="270"/>
        <w:spacing w:after="0" w:line="264" w:lineRule="auto"/>
        <w:rPr>
          <w:sz w:val="20"/>
          <w:szCs w:val="20"/>
          <w:color w:val="auto"/>
        </w:rPr>
      </w:pPr>
      <w:r>
        <w:rPr>
          <w:rFonts w:ascii="Arial" w:cs="Arial" w:eastAsia="Arial" w:hAnsi="Arial"/>
          <w:sz w:val="18"/>
          <w:szCs w:val="18"/>
          <w:i w:val="1"/>
          <w:iCs w:val="1"/>
          <w:color w:val="auto"/>
        </w:rPr>
        <w:t xml:space="preserve">Original issue discount/premiums: </w:t>
      </w:r>
      <w:r>
        <w:rPr>
          <w:rFonts w:ascii="Arial" w:cs="Arial" w:eastAsia="Arial" w:hAnsi="Arial"/>
          <w:sz w:val="18"/>
          <w:szCs w:val="18"/>
          <w:color w:val="auto"/>
        </w:rPr>
        <w:t>Discounts/premiums received to par on loans purchased are capitalized and accreted or</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into income over the life of the loan. Any remaining discount/premium is accreted or amortized into income upon prepayment of the loan.</w:t>
      </w:r>
    </w:p>
    <w:p>
      <w:pPr>
        <w:spacing w:after="0" w:line="73"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fees associated with investments in portfolio companies are recognized as income when the investment transaction closes. Prepayment penalties received by the Company for debt instruments repaid prior to maturity date are recorded as income upon receipt.</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Loan Sales</w:t>
      </w:r>
    </w:p>
    <w:p>
      <w:pPr>
        <w:spacing w:after="0" w:line="121"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 xml:space="preserve">The Company follows the guidance in ASC Topic 860 — </w:t>
      </w:r>
      <w:r>
        <w:rPr>
          <w:rFonts w:ascii="Arial" w:cs="Arial" w:eastAsia="Arial" w:hAnsi="Arial"/>
          <w:sz w:val="18"/>
          <w:szCs w:val="18"/>
          <w:i w:val="1"/>
          <w:iCs w:val="1"/>
          <w:color w:val="auto"/>
        </w:rPr>
        <w:t>Transfers and Servicing</w:t>
      </w:r>
      <w:r>
        <w:rPr>
          <w:rFonts w:ascii="Arial" w:cs="Arial" w:eastAsia="Arial" w:hAnsi="Arial"/>
          <w:sz w:val="18"/>
          <w:szCs w:val="18"/>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40" w:right="679" w:firstLine="270"/>
        <w:spacing w:after="0" w:line="279" w:lineRule="auto"/>
        <w:rPr>
          <w:sz w:val="20"/>
          <w:szCs w:val="20"/>
          <w:color w:val="auto"/>
        </w:rPr>
      </w:pPr>
      <w:r>
        <w:rPr>
          <w:rFonts w:ascii="Arial" w:cs="Arial" w:eastAsia="Arial" w:hAnsi="Arial"/>
          <w:sz w:val="17"/>
          <w:szCs w:val="17"/>
          <w:color w:val="auto"/>
        </w:rPr>
        <w:t>General and administrative expenses are paid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Deferred Financing Fees</w:t>
      </w:r>
    </w:p>
    <w:p>
      <w:pPr>
        <w:spacing w:after="0" w:line="121"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40" w:right="679" w:firstLine="270"/>
        <w:spacing w:after="0" w:line="286" w:lineRule="auto"/>
        <w:rPr>
          <w:sz w:val="20"/>
          <w:szCs w:val="20"/>
          <w:color w:val="auto"/>
        </w:rPr>
      </w:pPr>
      <w:r>
        <w:rPr>
          <w:rFonts w:ascii="Arial" w:cs="Arial" w:eastAsia="Arial" w:hAnsi="Arial"/>
          <w:sz w:val="17"/>
          <w:szCs w:val="17"/>
          <w:color w:val="auto"/>
        </w:rPr>
        <w:t>As of December 31, 2016 and December 31, 2015, the Company had outstanding unfunded commitments related to debt investments in existing portfolio companies of $1.2 million (On-Site Fuel Services, Inc.) and $4.4 million ($0.6 million to Tenere, Inc, $1.0 million to Navis Holdings, Inc, and $2.8 million to Community Choice Financial Inc.), respectively.</w:t>
      </w:r>
    </w:p>
    <w:p>
      <w:pPr>
        <w:spacing w:after="0" w:line="57" w:lineRule="exact"/>
        <w:rPr>
          <w:sz w:val="20"/>
          <w:szCs w:val="20"/>
          <w:color w:val="auto"/>
        </w:rPr>
      </w:pPr>
    </w:p>
    <w:p>
      <w:pPr>
        <w:ind w:left="40" w:right="699" w:firstLine="270"/>
        <w:spacing w:after="0" w:line="264" w:lineRule="auto"/>
        <w:rPr>
          <w:sz w:val="20"/>
          <w:szCs w:val="20"/>
          <w:color w:val="auto"/>
        </w:rPr>
      </w:pPr>
      <w:r>
        <w:rPr>
          <w:rFonts w:ascii="Arial" w:cs="Arial" w:eastAsia="Arial" w:hAnsi="Arial"/>
          <w:sz w:val="18"/>
          <w:szCs w:val="18"/>
          <w:color w:val="auto"/>
        </w:rPr>
        <w:t>In the ordinary course of business, the Company may enter into contracts or agreements that contain indemnifications or warranties. Future events could occur that lead to the execution of these provisions against the Company. Based on its history and experience, management believes that the likelihood of such an event is remote.</w:t>
      </w:r>
    </w:p>
    <w:p>
      <w:pPr>
        <w:spacing w:after="0" w:line="73" w:lineRule="exact"/>
        <w:rPr>
          <w:sz w:val="20"/>
          <w:szCs w:val="20"/>
          <w:color w:val="auto"/>
        </w:rPr>
      </w:pPr>
    </w:p>
    <w:p>
      <w:pPr>
        <w:ind w:left="40" w:right="639" w:firstLine="270"/>
        <w:spacing w:after="0" w:line="272"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In management’s opinion, no direct losses with respect to litigation contingencies were probable as of December 31, 2016 and December 31, 2015. Management is of the opinion that the ultimate resolution of such claims will not materially affect the Company’s business, financial position, results of operations or liquidity. Furthermore, in management’s opinion, it is not possible to estimate a range of reasonably possible losses with respect to other litigation contingencies.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requirements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79" w:lineRule="exact"/>
        <w:rPr>
          <w:sz w:val="20"/>
          <w:szCs w:val="20"/>
          <w:color w:val="auto"/>
        </w:rPr>
      </w:pPr>
    </w:p>
    <w:p>
      <w:pPr>
        <w:jc w:val="both"/>
        <w:ind w:left="40" w:right="619" w:firstLine="270"/>
        <w:spacing w:after="0" w:line="302" w:lineRule="auto"/>
        <w:rPr>
          <w:sz w:val="20"/>
          <w:szCs w:val="20"/>
          <w:color w:val="auto"/>
        </w:rPr>
      </w:pPr>
      <w:r>
        <w:rPr>
          <w:rFonts w:ascii="Arial" w:cs="Arial" w:eastAsia="Arial" w:hAnsi="Arial"/>
          <w:sz w:val="16"/>
          <w:szCs w:val="16"/>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200" w:lineRule="exact"/>
        <w:rPr>
          <w:sz w:val="20"/>
          <w:szCs w:val="20"/>
          <w:color w:val="auto"/>
        </w:rPr>
      </w:pPr>
    </w:p>
    <w:p>
      <w:pPr>
        <w:spacing w:after="0" w:line="2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679" w:firstLine="270"/>
        <w:spacing w:after="0" w:line="297" w:lineRule="auto"/>
        <w:rPr>
          <w:sz w:val="20"/>
          <w:szCs w:val="20"/>
          <w:color w:val="auto"/>
        </w:rPr>
      </w:pPr>
      <w:r>
        <w:rPr>
          <w:rFonts w:ascii="Arial" w:cs="Arial" w:eastAsia="Arial" w:hAnsi="Arial"/>
          <w:sz w:val="16"/>
          <w:szCs w:val="16"/>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50"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 For income tax purposes, the Company has paid distributions on its common stock from ordinary income in the amount of $24.5 million, $25.1 million, and $18.3 million during the tax years ended August 31, 2016, 2015 and 2014, respectively.</w:t>
      </w:r>
    </w:p>
    <w:p>
      <w:pPr>
        <w:spacing w:after="0" w:line="61"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2016 and December 31, 2015, there were no uncertain tax positions.</w:t>
      </w:r>
    </w:p>
    <w:p>
      <w:pPr>
        <w:spacing w:after="0" w:line="70"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64"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73" w:lineRule="exact"/>
        <w:rPr>
          <w:sz w:val="20"/>
          <w:szCs w:val="20"/>
          <w:color w:val="auto"/>
        </w:rPr>
      </w:pPr>
    </w:p>
    <w:p>
      <w:pPr>
        <w:ind w:left="40" w:right="539" w:firstLine="270"/>
        <w:spacing w:after="0" w:line="302" w:lineRule="auto"/>
        <w:rPr>
          <w:sz w:val="20"/>
          <w:szCs w:val="20"/>
          <w:color w:val="auto"/>
        </w:rPr>
      </w:pPr>
      <w:r>
        <w:rPr>
          <w:rFonts w:ascii="Arial" w:cs="Arial" w:eastAsia="Arial" w:hAnsi="Arial"/>
          <w:sz w:val="16"/>
          <w:szCs w:val="16"/>
          <w:color w:val="auto"/>
        </w:rPr>
        <w:t>The Company’s activities since commencement of operations remain subject to examination by U.S. federal, state, and local tax authorities for the tax years ended August 31, 2016, 2015, and 2014. No interest expense or penalties have been assessed as of December 31, 2016 and 2015. If the Company were required to recognize interest and penalties, if any, related to unrecognized tax benefits this would be recognized as income tax expense in the consolidated statement of operations.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Distributions to common stockholders are recorded as payable on the declaration date. The amount to be paid out as a dividend is determined by the Board. Net capital gains, if any, are generally distributed at least annually, although we may decide to retain such capital gains for reinvestment.</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779" w:firstLine="270"/>
        <w:spacing w:after="0" w:line="257" w:lineRule="auto"/>
        <w:rPr>
          <w:sz w:val="20"/>
          <w:szCs w:val="20"/>
          <w:color w:val="auto"/>
        </w:rPr>
      </w:pPr>
      <w:r>
        <w:rPr>
          <w:rFonts w:ascii="Arial" w:cs="Arial" w:eastAsia="Arial" w:hAnsi="Arial"/>
          <w:sz w:val="18"/>
          <w:szCs w:val="18"/>
          <w:color w:val="auto"/>
        </w:rPr>
        <w:t>The Company has adopted an “opt out” dividend reinvestment plan (“DRIP”) for common stockholders. As a result, if the Company declares a cash dividend or other distribution, each stockholder that has not “opted out” of the DRIP will have its dividends automatically reinvested in additional shares of the Company’s common stock rather than receiving cash dividends. Stockholders who receive distributions in the form of shares of common stock will be subject to the same federal, state and local tax consequences as if they received cash distributions.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121" w:lineRule="exact"/>
        <w:rPr>
          <w:sz w:val="20"/>
          <w:szCs w:val="20"/>
          <w:color w:val="auto"/>
        </w:rPr>
      </w:pPr>
    </w:p>
    <w:p>
      <w:pPr>
        <w:ind w:left="40" w:right="639" w:firstLine="270"/>
        <w:spacing w:after="0" w:line="276" w:lineRule="auto"/>
        <w:rPr>
          <w:sz w:val="20"/>
          <w:szCs w:val="20"/>
          <w:color w:val="auto"/>
        </w:rPr>
      </w:pPr>
      <w:r>
        <w:rPr>
          <w:rFonts w:ascii="Arial" w:cs="Arial" w:eastAsia="Arial" w:hAnsi="Arial"/>
          <w:sz w:val="17"/>
          <w:szCs w:val="17"/>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64"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80"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62"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121" w:lineRule="exact"/>
        <w:rPr>
          <w:sz w:val="20"/>
          <w:szCs w:val="20"/>
          <w:color w:val="auto"/>
        </w:rPr>
      </w:pPr>
    </w:p>
    <w:p>
      <w:pPr>
        <w:ind w:left="40" w:right="659" w:firstLine="270"/>
        <w:spacing w:after="0" w:line="289" w:lineRule="auto"/>
        <w:rPr>
          <w:sz w:val="20"/>
          <w:szCs w:val="20"/>
          <w:color w:val="auto"/>
        </w:rPr>
      </w:pPr>
      <w:r>
        <w:rPr>
          <w:rFonts w:ascii="Arial" w:cs="Arial" w:eastAsia="Arial" w:hAnsi="Arial"/>
          <w:sz w:val="16"/>
          <w:szCs w:val="16"/>
          <w:color w:val="auto"/>
        </w:rPr>
        <w:t xml:space="preserve">In August, 2014, the Financial Accounting Standards Board (“FASB”) released Accounting Standards Update (“ASU”) 2014-15, </w:t>
      </w:r>
      <w:r>
        <w:rPr>
          <w:rFonts w:ascii="Arial" w:cs="Arial" w:eastAsia="Arial" w:hAnsi="Arial"/>
          <w:sz w:val="16"/>
          <w:szCs w:val="16"/>
          <w:i w:val="1"/>
          <w:iCs w:val="1"/>
          <w:color w:val="auto"/>
        </w:rPr>
        <w:t>Presentation of Financial Statements — Going Concern (Subtopic 205-40) (“ASU 2014-15”)</w:t>
      </w:r>
      <w:r>
        <w:rPr>
          <w:rFonts w:ascii="Arial" w:cs="Arial" w:eastAsia="Arial" w:hAnsi="Arial"/>
          <w:sz w:val="16"/>
          <w:szCs w:val="16"/>
          <w:color w:val="auto"/>
        </w:rPr>
        <w:t>. ASU 2014-15 requires the Company to evaluate whether there are conditions or events, considered in the aggregate, that raise substantial doubt about the entity’s ability to continue as a going concern within the one year period subsequent to the date that the financial statements are issued or within the one year period subsequent to the date that the financial statements are available to be issued. ASU 2014-15 becomes effective for fiscal periods ending after December 15, 2016; however, early adoption is permitted. Management has evaluated the Company’s ability to continue as a going concern under the guidance issued in ASU 2014-15 and believes that there are no conditions that raise substantial doubt about the Company’s ability to continue as a going concern. As such, additional disclosure is not required and the consolidated financial statements have been presented on the going concern basis of accounting.</w:t>
      </w:r>
    </w:p>
    <w:p>
      <w:pPr>
        <w:spacing w:after="0" w:line="59"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In April 2015, the FASB issued ASU No</w:t>
      </w:r>
      <w:r>
        <w:rPr>
          <w:rFonts w:ascii="Arial" w:cs="Arial" w:eastAsia="Arial" w:hAnsi="Arial"/>
          <w:sz w:val="16"/>
          <w:szCs w:val="16"/>
          <w:i w:val="1"/>
          <w:iCs w:val="1"/>
          <w:color w:val="auto"/>
        </w:rPr>
        <w:t>. 2015-03, Interest — Imputation of Interest (Subtopic 835-30):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Debt Issuance Costs </w:t>
      </w:r>
      <w:r>
        <w:rPr>
          <w:rFonts w:ascii="Arial" w:cs="Arial" w:eastAsia="Arial" w:hAnsi="Arial"/>
          <w:sz w:val="16"/>
          <w:szCs w:val="16"/>
          <w:color w:val="auto"/>
        </w:rPr>
        <w:t>(“ASU 2015-03”). ASU 2015-03 requires that debt issuance costs related to a recognized debt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be presented in the consolidated statements of assets and liabilities as a direct deduction from the carrying amount of that debt liability, consistent with debt discounts. The recognition and measurement guidance for debt issuance costs are not affected by the amendments in this ASU. ASU 2015-03 is effective for fiscal years that begin after December 15, 2015. Management elected to early adopt this standard as of October 1, 2015 and the required disclosures are presented in the consolidated</w:t>
      </w:r>
    </w:p>
    <w:p>
      <w:pPr>
        <w:spacing w:after="0" w:line="200" w:lineRule="exact"/>
        <w:rPr>
          <w:sz w:val="20"/>
          <w:szCs w:val="20"/>
          <w:color w:val="auto"/>
        </w:rPr>
      </w:pPr>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Recent Accounting Pronouncements – (continued)</w:t>
      </w:r>
    </w:p>
    <w:p>
      <w:pPr>
        <w:spacing w:after="0" w:line="121" w:lineRule="exact"/>
        <w:rPr>
          <w:sz w:val="20"/>
          <w:szCs w:val="20"/>
          <w:color w:val="auto"/>
        </w:rPr>
      </w:pPr>
    </w:p>
    <w:p>
      <w:pPr>
        <w:ind w:left="40" w:right="1099"/>
        <w:spacing w:after="0" w:line="277" w:lineRule="auto"/>
        <w:rPr>
          <w:sz w:val="20"/>
          <w:szCs w:val="20"/>
          <w:color w:val="auto"/>
        </w:rPr>
      </w:pPr>
      <w:r>
        <w:rPr>
          <w:rFonts w:ascii="Arial" w:cs="Arial" w:eastAsia="Arial" w:hAnsi="Arial"/>
          <w:sz w:val="18"/>
          <w:szCs w:val="18"/>
          <w:color w:val="auto"/>
        </w:rPr>
        <w:t>financial statements. The adoption of the provisions of ASU 2015-03 did not materially impact the Company’s consolidated financial position or results of operations.</w:t>
      </w:r>
    </w:p>
    <w:p>
      <w:pPr>
        <w:spacing w:after="0" w:line="62"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 xml:space="preserve">In May 2015, FASB issued ASU 2015-07, </w:t>
      </w:r>
      <w:r>
        <w:rPr>
          <w:rFonts w:ascii="Arial" w:cs="Arial" w:eastAsia="Arial" w:hAnsi="Arial"/>
          <w:sz w:val="18"/>
          <w:szCs w:val="18"/>
          <w:i w:val="1"/>
          <w:iCs w:val="1"/>
          <w:color w:val="auto"/>
        </w:rPr>
        <w:t>Fair Value Measurement (Topic 820) — Disclosures for Investments in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Entities That Calculate Net Asset Value per Share </w:t>
      </w:r>
      <w:r>
        <w:rPr>
          <w:rFonts w:ascii="Arial" w:cs="Arial" w:eastAsia="Arial" w:hAnsi="Arial"/>
          <w:sz w:val="18"/>
          <w:szCs w:val="18"/>
          <w:color w:val="auto"/>
        </w:rPr>
        <w:t>(“ASU 2015-07”). ASU 2015-07 permits a reporting entity, as a practical</w:t>
      </w:r>
      <w:r>
        <w:rPr>
          <w:rFonts w:ascii="Arial" w:cs="Arial" w:eastAsia="Arial" w:hAnsi="Arial"/>
          <w:sz w:val="18"/>
          <w:szCs w:val="18"/>
          <w:i w:val="1"/>
          <w:iCs w:val="1"/>
          <w:color w:val="auto"/>
        </w:rPr>
        <w:t xml:space="preserve"> </w:t>
      </w:r>
      <w:r>
        <w:rPr>
          <w:rFonts w:ascii="Arial" w:cs="Arial" w:eastAsia="Arial" w:hAnsi="Arial"/>
          <w:sz w:val="18"/>
          <w:szCs w:val="18"/>
          <w:color w:val="auto"/>
        </w:rPr>
        <w:t>expedient, to measure the fair value of certain investments using the net asset value per share of the investment and provides guidance on required disclosures for such investments. The standard is effective for interim and annual reporting periods in fiscal years that begin after December 15, 2015. The adoption of the provisions of ASU 2015-07 did not materially impact the Company’s consolidated financial position or results of operations.</w:t>
      </w:r>
    </w:p>
    <w:p>
      <w:pPr>
        <w:spacing w:after="0" w:line="85"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 xml:space="preserve">In January 2016, FASB issued ASU 2016-01, </w:t>
      </w:r>
      <w:r>
        <w:rPr>
          <w:rFonts w:ascii="Arial" w:cs="Arial" w:eastAsia="Arial" w:hAnsi="Arial"/>
          <w:sz w:val="17"/>
          <w:szCs w:val="17"/>
          <w:i w:val="1"/>
          <w:iCs w:val="1"/>
          <w:color w:val="auto"/>
        </w:rPr>
        <w:t>Financial Instruments — Overall (Subtopic 825-10): Recognition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Financial Assets and Financial Liabilities </w:t>
      </w:r>
      <w:r>
        <w:rPr>
          <w:rFonts w:ascii="Arial" w:cs="Arial" w:eastAsia="Arial" w:hAnsi="Arial"/>
          <w:sz w:val="17"/>
          <w:szCs w:val="17"/>
          <w:color w:val="auto"/>
        </w:rPr>
        <w:t>(“ASU 2016-01”). ASU 2016-01 retains many current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classification and measurement of financial instruments; however, it significantly revises an entity’s accounting related to (1) the classification and measurement of investments in equity securities and (2) the presentation of certain fair value changes for financial 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these changes will have on the Company’s consolidated financial position or results of operations.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121" w:lineRule="exact"/>
        <w:rPr>
          <w:sz w:val="20"/>
          <w:szCs w:val="20"/>
          <w:color w:val="auto"/>
        </w:rPr>
      </w:pPr>
    </w:p>
    <w:p>
      <w:pPr>
        <w:ind w:left="40" w:right="719" w:firstLine="270"/>
        <w:spacing w:after="0" w:line="272"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Both directly and through our subsidiaries that are licensed by the SBA under the SBIC Act, we offer customized financing to business owners, management teams and financial sponsors for change of ownership transactions, recapitalizations, strategic acquisitions, business expansion and other growth initiatives. We invest in first lien, second lien and subordinated loans. Most of our debt investments are coupled with equity interests, whether in the form of detachable “penny” warrants or equity co-investments made pari-passu with our borrowers’ financial sponsors. As of December 31, 2016, our portfolio consisted of investments in 53 portfolio companies with a fair value of approximately $541.6 million.</w:t>
      </w:r>
    </w:p>
    <w:p>
      <w:pPr>
        <w:spacing w:after="0" w:line="70"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In some cases, first lien loans may be subordinated, solely with respect to the payment of cash interest, to an asset based revolving credit facility.</w:t>
      </w:r>
    </w:p>
    <w:p>
      <w:pPr>
        <w:spacing w:after="0" w:line="80" w:lineRule="exact"/>
        <w:rPr>
          <w:sz w:val="20"/>
          <w:szCs w:val="20"/>
          <w:color w:val="auto"/>
        </w:rPr>
      </w:pPr>
    </w:p>
    <w:p>
      <w:pPr>
        <w:jc w:val="both"/>
        <w:ind w:left="40" w:right="559" w:firstLine="270"/>
        <w:spacing w:after="0" w:line="264"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us at the first lien lender’s discretion.</w:t>
      </w:r>
    </w:p>
    <w:p>
      <w:pPr>
        <w:spacing w:after="0" w:line="73"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In addition to first and second lien loans, the Company may also invest in subordinated loans. Subordinated loans typically have second lien loans on all or substantially all of the borrower’s assets, and unlike second lien loans, may be subject to the interruption of cash interest payments upon certain events of default, at the discretion of the first lien lender.</w:t>
      </w:r>
    </w:p>
    <w:p>
      <w:pPr>
        <w:spacing w:after="0" w:line="57"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During the year ended December 31, 2016, the Company made approximately $120.8 million of investments and had approximately $163.6 million in repayments and sales resulting in net repayments and sales of approximately $42.8 million for the year. During the year ended December 31, 2015, the Company made approximately $260.6 million of investments and had approximately $142.7 million in repayments and</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40" w:right="939"/>
        <w:spacing w:after="0" w:line="264" w:lineRule="auto"/>
        <w:rPr>
          <w:sz w:val="20"/>
          <w:szCs w:val="20"/>
          <w:color w:val="auto"/>
        </w:rPr>
      </w:pPr>
      <w:r>
        <w:rPr>
          <w:rFonts w:ascii="Arial" w:cs="Arial" w:eastAsia="Arial" w:hAnsi="Arial"/>
          <w:sz w:val="18"/>
          <w:szCs w:val="18"/>
          <w:color w:val="auto"/>
        </w:rPr>
        <w:t>sales resulting in net investments of approximately $117.9 million for the year. During the year ended December 31, 2014, the Company made approximately $216.3 million of investments and had approximately $80.2 million in repayments and sales resulting in net investments of approximately $136.1 million for the year.</w:t>
      </w:r>
    </w:p>
    <w:p>
      <w:pPr>
        <w:spacing w:after="0" w:line="73"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On August 31, 2016, the Company sold a portion of 14 securities across 10 portfolio companies to CapitalSouth Partners Florida Sidecar Fund II, L.P. (“FSC II”), including granting an option to acquire a portion of the Company’s equity investment in Eastport Holdings, LLC (the “Written Call Option”), in exchange for 100% of the partnership interests in FSC II. Concurrent with the sale of these assets to FSC II, the Company received cash consideration of $47.6 million from an affiliated third-party purchaser in exchange for 100% of the partnership interests of FSC II. These assets were sold to FSC II at their June 30, 2016 fair market values, resulting in a net realized gain of $0.1 million. The proceeds from the redemption of partnership interests in FSC II are included in gross repayments and sales of investments received for the period. The Company’s Board pre-approved this transaction pursuant to Section 57(f) of the 1940 Act.</w:t>
      </w:r>
    </w:p>
    <w:p>
      <w:pPr>
        <w:spacing w:after="0" w:line="7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79"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The Written Call Option granted FSC II the right to purchase up to 31.25% of the Company’s equity investment in Eastport Holdings, LLC. The Written Call Option has a strike price of $1.5 million and a termination date of August 31, 2018. The fair value of the Written Call Option, which has been treated as a derivative liability and is recorded in the financial statement line item Written Call Option at fair value in our consolidated statements of assets and liabilities, was approximately $2.7 million as of December 31, 2016. For purposes of determining the fair value of the Written Call Option, the Company calculated the difference in the fair value of the underlying equity investment in Eastport Holdings, LLC and the strike price of the Written Call Option, or intrinsic value. The time value of the Written Call Option as of December 31, 2016 was determined to be insignificant. The Written Call Option is classified as a Level 3 financial instrument. The Written Call Option was the only option contract granted by the Company during the year ended December 31, 2016, and the Written Call Option remained outstanding as of December 31, 2016.</w:t>
      </w:r>
    </w:p>
    <w:p>
      <w:pPr>
        <w:spacing w:after="0" w:line="59"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During the year ended December 31, 2016, the Company funded $2.8 million of previously committed capital to existing portfolio companies. During the year ended December 31, 2016, the Company funded $118.0 million of investments in portfolio companies for which it was not previously committed to fund. During the year ended December 31, 2015, the Company funded $52.4 million of previously committed capital to existing portfolio companies. During the year ended December 31, 2015, the Company funded $208.2 million of investments in portfolio companies for which it was not previously committed to fund. During the year ended December 31, 2014, the Company funded $1.5 million of previously committed capital to existing portfolio companies. During the year ended December 31, 2014, the Company funded $214.8 million of investments in portfolio companies for which it was not previously committed to fund.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year ended December 31, 2016, the Company did not lead any syndicates and did not assist any portfolio companies in obtaining indirect financing. During the year ended December 31, 2015, the Company assisted one company in securing financing from other sources as part of a loan syndication. During the year ended December 31, 2014, the Company assisted one portfolio company in securing financing from other sources.</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7" w:name="page128"/>
    <w:bookmarkEnd w:id="12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60" w:right="999" w:firstLine="270"/>
        <w:spacing w:after="0" w:line="277" w:lineRule="auto"/>
        <w:rPr>
          <w:sz w:val="20"/>
          <w:szCs w:val="20"/>
          <w:color w:val="auto"/>
        </w:rPr>
      </w:pPr>
      <w:r>
        <w:rPr>
          <w:rFonts w:ascii="Arial" w:cs="Arial" w:eastAsia="Arial" w:hAnsi="Arial"/>
          <w:sz w:val="18"/>
          <w:szCs w:val="18"/>
          <w:color w:val="auto"/>
        </w:rPr>
        <w:t>The composition of our investments as of December 31, 2016, at amortized cost and fair value were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1"/>
              </w:rPr>
              <w:t>Investments at</w:t>
            </w:r>
          </w:p>
        </w:tc>
        <w:tc>
          <w:tcPr>
            <w:tcW w:w="1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4"/>
                <w:szCs w:val="14"/>
                <w:color w:val="auto"/>
              </w:rPr>
            </w:pPr>
          </w:p>
        </w:tc>
        <w:tc>
          <w:tcPr>
            <w:tcW w:w="9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100" w:type="dxa"/>
            <w:vAlign w:val="bottom"/>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at Fair Value</w:t>
            </w:r>
          </w:p>
        </w:tc>
        <w:tc>
          <w:tcPr>
            <w:tcW w:w="8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Lien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244,647</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226,578</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Second Lien Debt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74,559</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71,483</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Subordinated Debt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148,849</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150,232</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Equity and Warrants</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45,721</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93,346</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513,776</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541,639</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999" w:firstLine="270"/>
        <w:spacing w:after="0" w:line="277" w:lineRule="auto"/>
        <w:rPr>
          <w:sz w:val="20"/>
          <w:szCs w:val="20"/>
          <w:color w:val="auto"/>
        </w:rPr>
      </w:pPr>
      <w:r>
        <w:rPr>
          <w:rFonts w:ascii="Arial" w:cs="Arial" w:eastAsia="Arial" w:hAnsi="Arial"/>
          <w:sz w:val="18"/>
          <w:szCs w:val="18"/>
          <w:color w:val="auto"/>
        </w:rPr>
        <w:t>The composition of our investments as of December 31, 2015, at amortized cost and fair value were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1"/>
              </w:rPr>
              <w:t>Investments at</w:t>
            </w:r>
          </w:p>
        </w:tc>
        <w:tc>
          <w:tcPr>
            <w:tcW w:w="1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4"/>
                <w:szCs w:val="14"/>
                <w:color w:val="auto"/>
              </w:rPr>
            </w:pPr>
          </w:p>
        </w:tc>
        <w:tc>
          <w:tcPr>
            <w:tcW w:w="9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100" w:type="dxa"/>
            <w:vAlign w:val="bottom"/>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at Fair Value</w:t>
            </w:r>
          </w:p>
        </w:tc>
        <w:tc>
          <w:tcPr>
            <w:tcW w:w="8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Total portfolio</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Lien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207,957</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199,843</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Second Lien Debt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82,435</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80,610</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Subordinated Debt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205,480</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194,485</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Equity and Warrants</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54,315</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99,651</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Capitala Senior Liquid Loan Fund I, LLC</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17,867</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570,187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592,456</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559" w:firstLine="270"/>
        <w:spacing w:after="0" w:line="312" w:lineRule="auto"/>
        <w:rPr>
          <w:sz w:val="20"/>
          <w:szCs w:val="20"/>
          <w:color w:val="auto"/>
        </w:rPr>
      </w:pPr>
      <w:r>
        <w:rPr>
          <w:rFonts w:ascii="Arial" w:cs="Arial" w:eastAsia="Arial" w:hAnsi="Arial"/>
          <w:sz w:val="16"/>
          <w:szCs w:val="16"/>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39" w:lineRule="exact"/>
        <w:rPr>
          <w:sz w:val="20"/>
          <w:szCs w:val="20"/>
          <w:color w:val="auto"/>
        </w:rPr>
      </w:pPr>
    </w:p>
    <w:p>
      <w:pPr>
        <w:ind w:left="60" w:right="539" w:firstLine="270"/>
        <w:spacing w:after="0" w:line="257" w:lineRule="auto"/>
        <w:rPr>
          <w:sz w:val="20"/>
          <w:szCs w:val="20"/>
          <w:color w:val="auto"/>
        </w:rPr>
      </w:pPr>
      <w:r>
        <w:rPr>
          <w:rFonts w:ascii="Arial" w:cs="Arial" w:eastAsia="Arial" w:hAnsi="Arial"/>
          <w:sz w:val="18"/>
          <w:szCs w:val="18"/>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80" w:lineRule="exact"/>
        <w:rPr>
          <w:sz w:val="20"/>
          <w:szCs w:val="20"/>
          <w:color w:val="auto"/>
        </w:rPr>
      </w:pPr>
    </w:p>
    <w:p>
      <w:pPr>
        <w:ind w:left="60" w:right="539" w:firstLine="270"/>
        <w:spacing w:after="0" w:line="312" w:lineRule="auto"/>
        <w:rPr>
          <w:sz w:val="20"/>
          <w:szCs w:val="20"/>
          <w:color w:val="auto"/>
        </w:rPr>
      </w:pPr>
      <w:r>
        <w:rPr>
          <w:rFonts w:ascii="Arial" w:cs="Arial" w:eastAsia="Arial" w:hAnsi="Arial"/>
          <w:sz w:val="16"/>
          <w:szCs w:val="16"/>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39" w:lineRule="exact"/>
        <w:rPr>
          <w:sz w:val="20"/>
          <w:szCs w:val="20"/>
          <w:color w:val="auto"/>
        </w:rPr>
      </w:pPr>
    </w:p>
    <w:p>
      <w:pPr>
        <w:ind w:left="620" w:right="779" w:hanging="322"/>
        <w:spacing w:after="0" w:line="277" w:lineRule="auto"/>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the Company has the ability to access.</w:t>
      </w:r>
    </w:p>
    <w:p>
      <w:pPr>
        <w:spacing w:after="0" w:line="62" w:lineRule="exact"/>
        <w:rPr>
          <w:rFonts w:ascii="Arial" w:cs="Arial" w:eastAsia="Arial" w:hAnsi="Arial"/>
          <w:sz w:val="18"/>
          <w:szCs w:val="18"/>
          <w:color w:val="auto"/>
        </w:rPr>
      </w:pPr>
    </w:p>
    <w:p>
      <w:pPr>
        <w:ind w:left="620" w:right="919" w:hanging="322"/>
        <w:spacing w:after="0" w:line="277" w:lineRule="auto"/>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200" w:lineRule="exact"/>
        <w:rPr>
          <w:sz w:val="20"/>
          <w:szCs w:val="20"/>
          <w:color w:val="auto"/>
        </w:rPr>
      </w:pPr>
    </w:p>
    <w:p>
      <w:pPr>
        <w:spacing w:after="0" w:line="38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8" w:name="page129"/>
    <w:bookmarkEnd w:id="12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jc w:val="both"/>
        <w:ind w:left="60" w:right="579" w:firstLine="270"/>
        <w:spacing w:after="0" w:line="286" w:lineRule="auto"/>
        <w:rPr>
          <w:sz w:val="20"/>
          <w:szCs w:val="20"/>
          <w:color w:val="auto"/>
        </w:rPr>
      </w:pPr>
      <w:r>
        <w:rPr>
          <w:rFonts w:ascii="Arial" w:cs="Arial" w:eastAsia="Arial" w:hAnsi="Arial"/>
          <w:sz w:val="17"/>
          <w:szCs w:val="17"/>
          <w:color w:val="auto"/>
        </w:rPr>
        <w:t>In addition to using the above inputs in investment valuations, the Company continues to employ the valuation policy approved by the Board that is consistent with ASC 820 (see Note 2). Consistent with our Company’s valuation policy, we evaluate the source of inputs, including any markets in which our investments are trading, in determining fair value.</w:t>
      </w:r>
    </w:p>
    <w:p>
      <w:pPr>
        <w:spacing w:after="0" w:line="57" w:lineRule="exact"/>
        <w:rPr>
          <w:sz w:val="20"/>
          <w:szCs w:val="20"/>
          <w:color w:val="auto"/>
        </w:rPr>
      </w:pPr>
    </w:p>
    <w:p>
      <w:pPr>
        <w:ind w:left="60" w:right="739" w:firstLine="270"/>
        <w:spacing w:after="0" w:line="259" w:lineRule="auto"/>
        <w:rPr>
          <w:sz w:val="20"/>
          <w:szCs w:val="20"/>
          <w:color w:val="auto"/>
        </w:rPr>
      </w:pPr>
      <w:r>
        <w:rPr>
          <w:rFonts w:ascii="Arial" w:cs="Arial" w:eastAsia="Arial" w:hAnsi="Arial"/>
          <w:sz w:val="18"/>
          <w:szCs w:val="18"/>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79" w:lineRule="exact"/>
        <w:rPr>
          <w:sz w:val="20"/>
          <w:szCs w:val="20"/>
          <w:color w:val="auto"/>
        </w:rPr>
      </w:pPr>
    </w:p>
    <w:p>
      <w:pPr>
        <w:ind w:left="60" w:right="999" w:firstLine="270"/>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2016 (dollars in thousands), according to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7"/>
              </w:rPr>
              <w:t>Fair Value Measurements</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First Lien Debt</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226,578</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226,578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Lien Debt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71,483</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Subordinated Debt</w:t>
            </w:r>
          </w:p>
        </w:tc>
        <w:tc>
          <w:tcPr>
            <w:tcW w:w="1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150,232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150,232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Warrants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93,346</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541,639</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541,639</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1339" w:firstLine="270"/>
        <w:spacing w:after="0" w:line="277" w:lineRule="auto"/>
        <w:rPr>
          <w:sz w:val="20"/>
          <w:szCs w:val="20"/>
          <w:color w:val="auto"/>
        </w:rPr>
      </w:pPr>
      <w:r>
        <w:rPr>
          <w:rFonts w:ascii="Arial" w:cs="Arial" w:eastAsia="Arial" w:hAnsi="Arial"/>
          <w:sz w:val="18"/>
          <w:szCs w:val="18"/>
          <w:color w:val="auto"/>
        </w:rPr>
        <w:t>The following table presents fair value measurements of the Written Call Option as of December 31, 2016 (dollars in thousands), according to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8"/>
              </w:rPr>
              <w:t>Fair Value Measurements</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Written Call Option</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(2,736)</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(2,736)</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999" w:firstLine="270"/>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2015 (dollars in thousands), according to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0573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Fair Value Measurements</w:t>
            </w:r>
            <w:r>
              <w:rPr>
                <w:rFonts w:ascii="Arial" w:cs="Arial" w:eastAsia="Arial" w:hAnsi="Arial"/>
                <w:sz w:val="23"/>
                <w:szCs w:val="23"/>
                <w:b w:val="1"/>
                <w:bCs w:val="1"/>
                <w:color w:val="auto"/>
                <w:w w:val="91"/>
                <w:vertAlign w:val="superscript"/>
              </w:rPr>
              <w:t>(1)</w:t>
            </w: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160" w:type="dxa"/>
            <w:vAlign w:val="bottom"/>
            <w:gridSpan w:val="3"/>
            <w:vMerge w:val="restart"/>
          </w:tcPr>
          <w:p>
            <w:pPr>
              <w:ind w:left="20"/>
              <w:spacing w:after="0"/>
              <w:rPr>
                <w:sz w:val="20"/>
                <w:szCs w:val="20"/>
                <w:color w:val="auto"/>
              </w:rPr>
            </w:pPr>
            <w:r>
              <w:rPr>
                <w:rFonts w:ascii="Arial" w:cs="Arial" w:eastAsia="Arial" w:hAnsi="Arial"/>
                <w:sz w:val="18"/>
                <w:szCs w:val="18"/>
                <w:color w:val="auto"/>
              </w:rPr>
              <w:t>First Lien Debt</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60" w:type="dxa"/>
            <w:vAlign w:val="bottom"/>
            <w:gridSpan w:val="3"/>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199,843</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199,843</w:t>
            </w: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Second Lien Debt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80,610</w:t>
            </w:r>
          </w:p>
        </w:tc>
        <w:tc>
          <w:tcPr>
            <w:tcW w:w="0" w:type="dxa"/>
            <w:vAlign w:val="bottom"/>
          </w:tcPr>
          <w:p>
            <w:pPr>
              <w:spacing w:after="0"/>
              <w:rPr>
                <w:sz w:val="1"/>
                <w:szCs w:val="1"/>
                <w:color w:val="auto"/>
              </w:rPr>
            </w:pPr>
          </w:p>
        </w:tc>
      </w:tr>
      <w:tr>
        <w:trPr>
          <w:trHeight w:val="216"/>
        </w:trPr>
        <w:tc>
          <w:tcPr>
            <w:tcW w:w="4160" w:type="dxa"/>
            <w:vAlign w:val="bottom"/>
            <w:gridSpan w:val="3"/>
          </w:tcPr>
          <w:p>
            <w:pPr>
              <w:ind w:left="20"/>
              <w:spacing w:after="0"/>
              <w:rPr>
                <w:sz w:val="20"/>
                <w:szCs w:val="20"/>
                <w:color w:val="auto"/>
              </w:rPr>
            </w:pPr>
            <w:r>
              <w:rPr>
                <w:rFonts w:ascii="Arial" w:cs="Arial" w:eastAsia="Arial" w:hAnsi="Arial"/>
                <w:sz w:val="18"/>
                <w:szCs w:val="18"/>
                <w:color w:val="auto"/>
              </w:rPr>
              <w:t>Subordinated Debt</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194,485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194,485</w:t>
            </w: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and Warrants</w:t>
            </w: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98,480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99,651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573,418</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574,589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-368300</wp:posOffset>
            </wp:positionV>
            <wp:extent cx="5213985" cy="1803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4500" w:right="4859" w:hanging="4472"/>
        <w:spacing w:after="0" w:line="1064" w:lineRule="auto"/>
        <w:tabs>
          <w:tab w:leader="none" w:pos="299"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Excludes our $17.9 million investment in CSLLF, measured at NAV. 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-309880</wp:posOffset>
            </wp:positionV>
            <wp:extent cx="6114415" cy="596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9" w:name="page130"/>
    <w:bookmarkEnd w:id="12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year ended December 31, 2016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1"/>
              </w:rPr>
              <w:t>Second Lien</w:t>
            </w:r>
          </w:p>
        </w:tc>
        <w:tc>
          <w:tcPr>
            <w:tcW w:w="100" w:type="dxa"/>
            <w:vAlign w:val="bottom"/>
          </w:tcPr>
          <w:p>
            <w:pPr>
              <w:spacing w:after="0"/>
              <w:rPr>
                <w:sz w:val="14"/>
                <w:szCs w:val="14"/>
                <w:color w:val="auto"/>
              </w:rPr>
            </w:pPr>
          </w:p>
        </w:tc>
        <w:tc>
          <w:tcPr>
            <w:tcW w:w="9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9"/>
              </w:rPr>
              <w:t>Subordinated</w:t>
            </w:r>
          </w:p>
        </w:tc>
        <w:tc>
          <w:tcPr>
            <w:tcW w:w="1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199,843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194,485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$ 98,480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573,418</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Repayments/sales</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(35,823)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(71,527)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(22,410)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(142,510)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37,406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120,844</w:t>
            </w:r>
          </w:p>
        </w:tc>
        <w:tc>
          <w:tcPr>
            <w:tcW w:w="0" w:type="dxa"/>
            <w:vAlign w:val="bottom"/>
          </w:tcPr>
          <w:p>
            <w:pPr>
              <w:spacing w:after="0"/>
              <w:rPr>
                <w:sz w:val="1"/>
                <w:szCs w:val="1"/>
                <w:color w:val="auto"/>
              </w:rPr>
            </w:pPr>
          </w:p>
        </w:tc>
      </w:tr>
      <w:tr>
        <w:trPr>
          <w:trHeight w:val="202"/>
        </w:trPr>
        <w:tc>
          <w:tcPr>
            <w:tcW w:w="3160" w:type="dxa"/>
            <w:vAlign w:val="bottom"/>
          </w:tcPr>
          <w:p>
            <w:pPr>
              <w:ind w:left="20"/>
              <w:spacing w:after="0" w:line="201" w:lineRule="exact"/>
              <w:rPr>
                <w:sz w:val="20"/>
                <w:szCs w:val="20"/>
                <w:color w:val="auto"/>
              </w:rPr>
            </w:pPr>
            <w:r>
              <w:rPr>
                <w:rFonts w:ascii="Arial" w:cs="Arial" w:eastAsia="Arial" w:hAnsi="Arial"/>
                <w:sz w:val="18"/>
                <w:szCs w:val="18"/>
                <w:color w:val="auto"/>
              </w:rPr>
              <w:t>Payment in-kind interest and dividends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accrued</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596</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original issue discount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2,219</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Realized gain (loss) from investments</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(25,325)</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7,078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(23,439)</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Net unrealized appreciation (depreciation)</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 investments</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8"/>
                <w:szCs w:val="18"/>
                <w:color w:val="auto"/>
              </w:rPr>
              <w:t>Balance as of December 31, 2016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226,578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71,483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150,232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$ 93,346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541,639</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Written Call Option that use Level 3 inputs for the year ended December 31, 2016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167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Written Call</w:t>
            </w:r>
          </w:p>
        </w:tc>
      </w:tr>
      <w:tr>
        <w:trPr>
          <w:trHeight w:val="171"/>
        </w:trPr>
        <w:tc>
          <w:tcPr>
            <w:tcW w:w="6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Option</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Net unrealized depreciation on Written Call Option</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(2,716)</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Written Call Option</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r>
      <w:tr>
        <w:trPr>
          <w:trHeight w:val="20"/>
        </w:trPr>
        <w:tc>
          <w:tcPr>
            <w:tcW w:w="6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8"/>
                <w:szCs w:val="18"/>
                <w:color w:val="auto"/>
              </w:rPr>
              <w:t>Balance as of December 31, 2016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(2,736)</w:t>
            </w:r>
          </w:p>
        </w:tc>
      </w:tr>
      <w:tr>
        <w:trPr>
          <w:trHeight w:val="21"/>
        </w:trPr>
        <w:tc>
          <w:tcPr>
            <w:tcW w:w="6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year ended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First Lien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8"/>
              </w:rPr>
              <w:t>Second Lien</w:t>
            </w:r>
          </w:p>
        </w:tc>
        <w:tc>
          <w:tcPr>
            <w:tcW w:w="100" w:type="dxa"/>
            <w:vAlign w:val="bottom"/>
          </w:tcPr>
          <w:p>
            <w:pPr>
              <w:spacing w:after="0"/>
              <w:rPr>
                <w:sz w:val="14"/>
                <w:szCs w:val="14"/>
                <w:color w:val="auto"/>
              </w:rPr>
            </w:pPr>
          </w:p>
        </w:tc>
        <w:tc>
          <w:tcPr>
            <w:tcW w:w="9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7"/>
              </w:rPr>
              <w:t>Subordinated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as of January 1, 2015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78,678</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155,722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100,803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469,417</w:t>
            </w:r>
          </w:p>
        </w:tc>
        <w:tc>
          <w:tcPr>
            <w:tcW w:w="0" w:type="dxa"/>
            <w:vAlign w:val="bottom"/>
          </w:tcPr>
          <w:p>
            <w:pPr>
              <w:spacing w:after="0"/>
              <w:rPr>
                <w:sz w:val="1"/>
                <w:szCs w:val="1"/>
                <w:color w:val="auto"/>
              </w:rPr>
            </w:pPr>
          </w:p>
        </w:tc>
      </w:tr>
      <w:tr>
        <w:trPr>
          <w:trHeight w:val="216"/>
        </w:trPr>
        <w:tc>
          <w:tcPr>
            <w:tcW w:w="3140" w:type="dxa"/>
            <w:vAlign w:val="bottom"/>
            <w:gridSpan w:val="3"/>
          </w:tcPr>
          <w:p>
            <w:pPr>
              <w:ind w:left="20"/>
              <w:spacing w:after="0"/>
              <w:rPr>
                <w:sz w:val="20"/>
                <w:szCs w:val="20"/>
                <w:color w:val="auto"/>
              </w:rPr>
            </w:pPr>
            <w:r>
              <w:rPr>
                <w:rFonts w:ascii="Arial" w:cs="Arial" w:eastAsia="Arial" w:hAnsi="Arial"/>
                <w:sz w:val="18"/>
                <w:szCs w:val="18"/>
                <w:color w:val="auto"/>
              </w:rPr>
              <w:t>Repayments/sales</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(38,694)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(31,785)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(129,729)</w:t>
            </w: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103,043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240,640</w:t>
            </w:r>
          </w:p>
        </w:tc>
        <w:tc>
          <w:tcPr>
            <w:tcW w:w="0" w:type="dxa"/>
            <w:vAlign w:val="bottom"/>
          </w:tcPr>
          <w:p>
            <w:pPr>
              <w:spacing w:after="0"/>
              <w:rPr>
                <w:sz w:val="1"/>
                <w:szCs w:val="1"/>
                <w:color w:val="auto"/>
              </w:rPr>
            </w:pPr>
          </w:p>
        </w:tc>
      </w:tr>
      <w:tr>
        <w:trPr>
          <w:trHeight w:val="202"/>
        </w:trPr>
        <w:tc>
          <w:tcPr>
            <w:tcW w:w="31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Payment in-kind interest and dividends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accrued</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Accretion of original issue discount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3140" w:type="dxa"/>
            <w:vAlign w:val="bottom"/>
            <w:gridSpan w:val="3"/>
          </w:tcPr>
          <w:p>
            <w:pPr>
              <w:ind w:left="20"/>
              <w:spacing w:after="0"/>
              <w:rPr>
                <w:sz w:val="20"/>
                <w:szCs w:val="20"/>
                <w:color w:val="auto"/>
              </w:rPr>
            </w:pPr>
            <w:r>
              <w:rPr>
                <w:rFonts w:ascii="Arial" w:cs="Arial" w:eastAsia="Arial" w:hAnsi="Arial"/>
                <w:sz w:val="18"/>
                <w:szCs w:val="18"/>
                <w:color w:val="auto"/>
              </w:rPr>
              <w:t>Realized gain (loss) from investments</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(3,990)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(15,321)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02"/>
        </w:trPr>
        <w:tc>
          <w:tcPr>
            <w:tcW w:w="314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2"/>
              </w:rPr>
              <w:t>Net unrealized appreciation (depreciation)</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 investments</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gridSpan w:val="3"/>
          </w:tcPr>
          <w:p>
            <w:pPr>
              <w:ind w:left="20"/>
              <w:spacing w:after="0"/>
              <w:rPr>
                <w:sz w:val="20"/>
                <w:szCs w:val="20"/>
                <w:color w:val="auto"/>
              </w:rPr>
            </w:pPr>
            <w:r>
              <w:rPr>
                <w:rFonts w:ascii="Arial" w:cs="Arial" w:eastAsia="Arial" w:hAnsi="Arial"/>
                <w:sz w:val="18"/>
                <w:szCs w:val="18"/>
                <w:color w:val="auto"/>
              </w:rPr>
              <w:t>Balance as of December 31, 2015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199,843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80,610</w:t>
            </w: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194,485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98,480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573,418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-368300</wp:posOffset>
            </wp:positionV>
            <wp:extent cx="5213985" cy="1803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Excludes our $17.9 million investment in CSLLF, measured at NAV.</w:t>
      </w:r>
    </w:p>
    <w:p>
      <w:pPr>
        <w:spacing w:after="0" w:line="117" w:lineRule="exact"/>
        <w:rPr>
          <w:sz w:val="20"/>
          <w:szCs w:val="20"/>
          <w:color w:val="auto"/>
        </w:rPr>
      </w:pPr>
    </w:p>
    <w:p>
      <w:pPr>
        <w:ind w:left="60" w:right="959" w:firstLine="270"/>
        <w:spacing w:after="0" w:line="264" w:lineRule="auto"/>
        <w:rPr>
          <w:sz w:val="20"/>
          <w:szCs w:val="20"/>
          <w:color w:val="auto"/>
        </w:rPr>
      </w:pPr>
      <w:r>
        <w:rPr>
          <w:rFonts w:ascii="Arial" w:cs="Arial" w:eastAsia="Arial" w:hAnsi="Arial"/>
          <w:sz w:val="18"/>
          <w:szCs w:val="18"/>
          <w:color w:val="auto"/>
        </w:rPr>
        <w:t>The net change in unrealized appreciation (depreciation) on investments held as of December 31, 2016 and 2015 was $3.9 million and $(5.0) million, respectively, and is included in net unrealized appreciation (depreciation) on investments in the consolidated statements of operations.</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and (liabilities) as of December 31, 2016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0903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142875</wp:posOffset>
            </wp:positionV>
            <wp:extent cx="620903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60" w:type="dxa"/>
            <w:vAlign w:val="bottom"/>
          </w:tcPr>
          <w:p>
            <w:pPr>
              <w:spacing w:after="0"/>
              <w:rPr>
                <w:sz w:val="14"/>
                <w:szCs w:val="14"/>
                <w:color w:val="auto"/>
              </w:rPr>
            </w:pPr>
          </w:p>
        </w:tc>
        <w:tc>
          <w:tcPr>
            <w:tcW w:w="13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Valuation Approach</w:t>
            </w:r>
          </w:p>
        </w:tc>
        <w:tc>
          <w:tcPr>
            <w:tcW w:w="40" w:type="dxa"/>
            <w:vAlign w:val="bottom"/>
          </w:tcPr>
          <w:p>
            <w:pPr>
              <w:spacing w:after="0"/>
              <w:rPr>
                <w:sz w:val="14"/>
                <w:szCs w:val="14"/>
                <w:color w:val="auto"/>
              </w:rPr>
            </w:pPr>
          </w:p>
        </w:tc>
        <w:tc>
          <w:tcPr>
            <w:tcW w:w="19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Unobservable Input</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171"/>
        </w:trPr>
        <w:tc>
          <w:tcPr>
            <w:tcW w:w="1900" w:type="dxa"/>
            <w:vAlign w:val="bottom"/>
            <w:vMerge w:val="restart"/>
          </w:tcPr>
          <w:p>
            <w:pPr>
              <w:spacing w:after="0"/>
              <w:rPr>
                <w:sz w:val="20"/>
                <w:szCs w:val="20"/>
                <w:color w:val="auto"/>
              </w:rPr>
            </w:pPr>
            <w:r>
              <w:rPr>
                <w:rFonts w:ascii="Arial" w:cs="Arial" w:eastAsia="Arial" w:hAnsi="Arial"/>
                <w:sz w:val="18"/>
                <w:szCs w:val="18"/>
                <w:color w:val="auto"/>
              </w:rPr>
              <w:t>First lien debt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00" w:type="dxa"/>
            <w:vAlign w:val="bottom"/>
            <w:vMerge w:val="continue"/>
          </w:tcPr>
          <w:p>
            <w:pPr>
              <w:spacing w:after="0"/>
              <w:rPr>
                <w:sz w:val="16"/>
                <w:szCs w:val="16"/>
                <w:color w:val="auto"/>
              </w:rPr>
            </w:pP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90"/>
              </w:rPr>
              <w:t>$173.3</w:t>
            </w:r>
          </w:p>
        </w:tc>
        <w:tc>
          <w:tcPr>
            <w:tcW w:w="60" w:type="dxa"/>
            <w:vAlign w:val="bottom"/>
          </w:tcPr>
          <w:p>
            <w:pPr>
              <w:spacing w:after="0"/>
              <w:rPr>
                <w:sz w:val="16"/>
                <w:szCs w:val="16"/>
                <w:color w:val="auto"/>
              </w:rPr>
            </w:pPr>
          </w:p>
        </w:tc>
        <w:tc>
          <w:tcPr>
            <w:tcW w:w="1360" w:type="dxa"/>
            <w:vAlign w:val="bottom"/>
          </w:tcPr>
          <w:p>
            <w:pPr>
              <w:ind w:left="80"/>
              <w:spacing w:after="0" w:line="195" w:lineRule="exact"/>
              <w:rPr>
                <w:sz w:val="20"/>
                <w:szCs w:val="20"/>
                <w:color w:val="auto"/>
              </w:rPr>
            </w:pPr>
            <w:r>
              <w:rPr>
                <w:rFonts w:ascii="Arial" w:cs="Arial" w:eastAsia="Arial" w:hAnsi="Arial"/>
                <w:sz w:val="18"/>
                <w:szCs w:val="18"/>
                <w:color w:val="auto"/>
              </w:rPr>
              <w:t>Income</w:t>
            </w:r>
          </w:p>
        </w:tc>
        <w:tc>
          <w:tcPr>
            <w:tcW w:w="40" w:type="dxa"/>
            <w:vAlign w:val="bottom"/>
          </w:tcPr>
          <w:p>
            <w:pPr>
              <w:spacing w:after="0"/>
              <w:rPr>
                <w:sz w:val="16"/>
                <w:szCs w:val="16"/>
                <w:color w:val="auto"/>
              </w:rPr>
            </w:pPr>
          </w:p>
        </w:tc>
        <w:tc>
          <w:tcPr>
            <w:tcW w:w="1920" w:type="dxa"/>
            <w:vAlign w:val="bottom"/>
          </w:tcPr>
          <w:p>
            <w:pPr>
              <w:ind w:left="80"/>
              <w:spacing w:after="0" w:line="195" w:lineRule="exact"/>
              <w:rPr>
                <w:sz w:val="20"/>
                <w:szCs w:val="20"/>
                <w:color w:val="auto"/>
              </w:rPr>
            </w:pPr>
            <w:r>
              <w:rPr>
                <w:rFonts w:ascii="Arial" w:cs="Arial" w:eastAsia="Arial" w:hAnsi="Arial"/>
                <w:sz w:val="18"/>
                <w:szCs w:val="18"/>
                <w:color w:val="auto"/>
                <w:w w:val="93"/>
              </w:rPr>
              <w:t>Required Rate of Return</w:t>
            </w:r>
          </w:p>
        </w:tc>
        <w:tc>
          <w:tcPr>
            <w:tcW w:w="60" w:type="dxa"/>
            <w:vAlign w:val="bottom"/>
          </w:tcPr>
          <w:p>
            <w:pPr>
              <w:spacing w:after="0"/>
              <w:rPr>
                <w:sz w:val="16"/>
                <w:szCs w:val="16"/>
                <w:color w:val="auto"/>
              </w:rPr>
            </w:pPr>
          </w:p>
        </w:tc>
        <w:tc>
          <w:tcPr>
            <w:tcW w:w="3500" w:type="dxa"/>
            <w:vAlign w:val="bottom"/>
            <w:gridSpan w:val="2"/>
          </w:tcPr>
          <w:p>
            <w:pPr>
              <w:ind w:left="80"/>
              <w:spacing w:after="0" w:line="195" w:lineRule="exact"/>
              <w:rPr>
                <w:sz w:val="20"/>
                <w:szCs w:val="20"/>
                <w:color w:val="auto"/>
              </w:rPr>
            </w:pPr>
            <w:r>
              <w:rPr>
                <w:rFonts w:ascii="Arial" w:cs="Arial" w:eastAsia="Arial" w:hAnsi="Arial"/>
                <w:sz w:val="18"/>
                <w:szCs w:val="18"/>
                <w:color w:val="auto"/>
              </w:rPr>
              <w:t>9.5% – 18.0% (14.2%)</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Leverage Ratio</w:t>
            </w:r>
          </w:p>
        </w:tc>
        <w:tc>
          <w:tcPr>
            <w:tcW w:w="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2.0x</w:t>
            </w:r>
          </w:p>
        </w:tc>
        <w:tc>
          <w:tcPr>
            <w:tcW w:w="3080" w:type="dxa"/>
            <w:vAlign w:val="bottom"/>
          </w:tcPr>
          <w:p>
            <w:pPr>
              <w:ind w:left="20"/>
              <w:spacing w:after="0"/>
              <w:rPr>
                <w:sz w:val="20"/>
                <w:szCs w:val="20"/>
                <w:color w:val="auto"/>
              </w:rPr>
            </w:pPr>
            <w:r>
              <w:rPr>
                <w:rFonts w:ascii="Arial" w:cs="Arial" w:eastAsia="Arial" w:hAnsi="Arial"/>
                <w:sz w:val="18"/>
                <w:szCs w:val="18"/>
                <w:color w:val="auto"/>
              </w:rPr>
              <w:t>– 6.4x (4.1x)</w:t>
            </w:r>
          </w:p>
        </w:tc>
        <w:tc>
          <w:tcPr>
            <w:tcW w:w="0" w:type="dxa"/>
            <w:vAlign w:val="bottom"/>
          </w:tcPr>
          <w:p>
            <w:pPr>
              <w:spacing w:after="0"/>
              <w:rPr>
                <w:sz w:val="1"/>
                <w:szCs w:val="1"/>
                <w:color w:val="auto"/>
              </w:rPr>
            </w:pPr>
          </w:p>
        </w:tc>
      </w:tr>
      <w:tr>
        <w:trPr>
          <w:trHeight w:val="230"/>
        </w:trPr>
        <w:tc>
          <w:tcPr>
            <w:tcW w:w="1900" w:type="dxa"/>
            <w:vAlign w:val="bottom"/>
            <w:vMerge w:val="restart"/>
          </w:tcPr>
          <w:p>
            <w:pPr>
              <w:spacing w:after="0"/>
              <w:rPr>
                <w:sz w:val="20"/>
                <w:szCs w:val="20"/>
                <w:color w:val="auto"/>
              </w:rPr>
            </w:pPr>
            <w:r>
              <w:rPr>
                <w:rFonts w:ascii="Arial" w:cs="Arial" w:eastAsia="Arial" w:hAnsi="Arial"/>
                <w:sz w:val="18"/>
                <w:szCs w:val="18"/>
                <w:color w:val="auto"/>
              </w:rPr>
              <w:t>First lien debt</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vMerge w:val="restart"/>
          </w:tcPr>
          <w:p>
            <w:pPr>
              <w:ind w:left="80"/>
              <w:spacing w:after="0"/>
              <w:rPr>
                <w:sz w:val="20"/>
                <w:szCs w:val="20"/>
                <w:color w:val="auto"/>
              </w:rPr>
            </w:pPr>
            <w:r>
              <w:rPr>
                <w:rFonts w:ascii="Arial" w:cs="Arial" w:eastAsia="Arial" w:hAnsi="Arial"/>
                <w:sz w:val="18"/>
                <w:szCs w:val="18"/>
                <w:color w:val="auto"/>
                <w:w w:val="94"/>
              </w:rPr>
              <w:t>Enterprise Value</w:t>
            </w:r>
          </w:p>
        </w:tc>
        <w:tc>
          <w:tcPr>
            <w:tcW w:w="40" w:type="dxa"/>
            <w:vAlign w:val="bottom"/>
          </w:tcPr>
          <w:p>
            <w:pPr>
              <w:spacing w:after="0"/>
              <w:rPr>
                <w:sz w:val="20"/>
                <w:szCs w:val="20"/>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20"/>
                <w:szCs w:val="20"/>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w w:val="99"/>
              </w:rPr>
              <w:t>$1.8 million – $166.0 million ($24.1 million)</w:t>
            </w:r>
          </w:p>
        </w:tc>
        <w:tc>
          <w:tcPr>
            <w:tcW w:w="0" w:type="dxa"/>
            <w:vAlign w:val="bottom"/>
          </w:tcPr>
          <w:p>
            <w:pPr>
              <w:spacing w:after="0"/>
              <w:rPr>
                <w:sz w:val="1"/>
                <w:szCs w:val="1"/>
                <w:color w:val="auto"/>
              </w:rPr>
            </w:pPr>
          </w:p>
        </w:tc>
      </w:tr>
      <w:tr>
        <w:trPr>
          <w:trHeight w:val="203"/>
        </w:trPr>
        <w:tc>
          <w:tcPr>
            <w:tcW w:w="1900" w:type="dxa"/>
            <w:vAlign w:val="bottom"/>
            <w:vMerge w:val="continue"/>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88"/>
              </w:rPr>
              <w:t>$53.3</w:t>
            </w:r>
          </w:p>
        </w:tc>
        <w:tc>
          <w:tcPr>
            <w:tcW w:w="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tcPr>
          <w:p>
            <w:pPr>
              <w:ind w:left="80"/>
              <w:spacing w:after="0" w:line="202" w:lineRule="exact"/>
              <w:rPr>
                <w:sz w:val="20"/>
                <w:szCs w:val="20"/>
                <w:color w:val="auto"/>
              </w:rPr>
            </w:pPr>
            <w:r>
              <w:rPr>
                <w:rFonts w:ascii="Arial" w:cs="Arial" w:eastAsia="Arial" w:hAnsi="Arial"/>
                <w:sz w:val="18"/>
                <w:szCs w:val="18"/>
                <w:color w:val="auto"/>
              </w:rPr>
              <w:t>EBITDA Multiple</w:t>
            </w:r>
          </w:p>
        </w:tc>
        <w:tc>
          <w:tcPr>
            <w:tcW w:w="60" w:type="dxa"/>
            <w:vAlign w:val="bottom"/>
          </w:tcPr>
          <w:p>
            <w:pPr>
              <w:spacing w:after="0"/>
              <w:rPr>
                <w:sz w:val="17"/>
                <w:szCs w:val="17"/>
                <w:color w:val="auto"/>
              </w:rPr>
            </w:pPr>
          </w:p>
        </w:tc>
        <w:tc>
          <w:tcPr>
            <w:tcW w:w="420" w:type="dxa"/>
            <w:vAlign w:val="bottom"/>
          </w:tcPr>
          <w:p>
            <w:pPr>
              <w:ind w:left="80"/>
              <w:spacing w:after="0" w:line="202" w:lineRule="exact"/>
              <w:rPr>
                <w:sz w:val="20"/>
                <w:szCs w:val="20"/>
                <w:color w:val="auto"/>
              </w:rPr>
            </w:pPr>
            <w:r>
              <w:rPr>
                <w:rFonts w:ascii="Arial" w:cs="Arial" w:eastAsia="Arial" w:hAnsi="Arial"/>
                <w:sz w:val="18"/>
                <w:szCs w:val="18"/>
                <w:color w:val="auto"/>
                <w:w w:val="93"/>
              </w:rPr>
              <w:t>4.5x</w:t>
            </w:r>
          </w:p>
        </w:tc>
        <w:tc>
          <w:tcPr>
            <w:tcW w:w="3080" w:type="dxa"/>
            <w:vAlign w:val="bottom"/>
          </w:tcPr>
          <w:p>
            <w:pPr>
              <w:ind w:left="20"/>
              <w:spacing w:after="0" w:line="202" w:lineRule="exact"/>
              <w:rPr>
                <w:sz w:val="20"/>
                <w:szCs w:val="20"/>
                <w:color w:val="auto"/>
              </w:rPr>
            </w:pPr>
            <w:r>
              <w:rPr>
                <w:rFonts w:ascii="Arial" w:cs="Arial" w:eastAsia="Arial" w:hAnsi="Arial"/>
                <w:sz w:val="18"/>
                <w:szCs w:val="18"/>
                <w:color w:val="auto"/>
              </w:rPr>
              <w:t>– 9.0x (6.3x)</w:t>
            </w:r>
          </w:p>
        </w:tc>
        <w:tc>
          <w:tcPr>
            <w:tcW w:w="0" w:type="dxa"/>
            <w:vAlign w:val="bottom"/>
          </w:tcPr>
          <w:p>
            <w:pPr>
              <w:spacing w:after="0"/>
              <w:rPr>
                <w:sz w:val="1"/>
                <w:szCs w:val="1"/>
                <w:color w:val="auto"/>
              </w:rPr>
            </w:pPr>
          </w:p>
        </w:tc>
      </w:tr>
      <w:tr>
        <w:trPr>
          <w:trHeight w:val="219"/>
        </w:trPr>
        <w:tc>
          <w:tcPr>
            <w:tcW w:w="1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Waterfall and</w:t>
            </w:r>
          </w:p>
        </w:tc>
        <w:tc>
          <w:tcPr>
            <w:tcW w:w="40" w:type="dxa"/>
            <w:vAlign w:val="bottom"/>
          </w:tcPr>
          <w:p>
            <w:pPr>
              <w:spacing w:after="0"/>
              <w:rPr>
                <w:sz w:val="19"/>
                <w:szCs w:val="19"/>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19"/>
                <w:szCs w:val="19"/>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$2.5 million – $34.3 million ($13.1 million)</w:t>
            </w:r>
          </w:p>
        </w:tc>
        <w:tc>
          <w:tcPr>
            <w:tcW w:w="0" w:type="dxa"/>
            <w:vAlign w:val="bottom"/>
          </w:tcPr>
          <w:p>
            <w:pPr>
              <w:spacing w:after="0"/>
              <w:rPr>
                <w:sz w:val="1"/>
                <w:szCs w:val="1"/>
                <w:color w:val="auto"/>
              </w:rPr>
            </w:pPr>
          </w:p>
        </w:tc>
      </w:tr>
      <w:tr>
        <w:trPr>
          <w:trHeight w:val="253"/>
        </w:trPr>
        <w:tc>
          <w:tcPr>
            <w:tcW w:w="1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ind w:left="80"/>
              <w:spacing w:after="0" w:line="253" w:lineRule="exact"/>
              <w:rPr>
                <w:sz w:val="20"/>
                <w:szCs w:val="20"/>
                <w:color w:val="auto"/>
              </w:rPr>
            </w:pPr>
            <w:r>
              <w:rPr>
                <w:rFonts w:ascii="Arial" w:cs="Arial" w:eastAsia="Arial" w:hAnsi="Arial"/>
                <w:sz w:val="18"/>
                <w:szCs w:val="18"/>
                <w:color w:val="auto"/>
              </w:rPr>
              <w:t>Asset</w:t>
            </w:r>
            <w:r>
              <w:rPr>
                <w:rFonts w:ascii="Arial" w:cs="Arial" w:eastAsia="Arial" w:hAnsi="Arial"/>
                <w:sz w:val="29"/>
                <w:szCs w:val="29"/>
                <w:color w:val="auto"/>
                <w:vertAlign w:val="superscript"/>
              </w:rPr>
              <w:t>(1)</w:t>
            </w:r>
          </w:p>
        </w:tc>
        <w:tc>
          <w:tcPr>
            <w:tcW w:w="40" w:type="dxa"/>
            <w:vAlign w:val="bottom"/>
          </w:tcPr>
          <w:p>
            <w:pPr>
              <w:spacing w:after="0"/>
              <w:rPr>
                <w:sz w:val="21"/>
                <w:szCs w:val="21"/>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Revenue Multiple</w:t>
            </w:r>
          </w:p>
        </w:tc>
        <w:tc>
          <w:tcPr>
            <w:tcW w:w="60" w:type="dxa"/>
            <w:vAlign w:val="bottom"/>
          </w:tcPr>
          <w:p>
            <w:pPr>
              <w:spacing w:after="0"/>
              <w:rPr>
                <w:sz w:val="21"/>
                <w:szCs w:val="21"/>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0.3x</w:t>
            </w:r>
          </w:p>
        </w:tc>
        <w:tc>
          <w:tcPr>
            <w:tcW w:w="3080" w:type="dxa"/>
            <w:vAlign w:val="bottom"/>
          </w:tcPr>
          <w:p>
            <w:pPr>
              <w:ind w:left="20"/>
              <w:spacing w:after="0"/>
              <w:rPr>
                <w:sz w:val="20"/>
                <w:szCs w:val="20"/>
                <w:color w:val="auto"/>
              </w:rPr>
            </w:pPr>
            <w:r>
              <w:rPr>
                <w:rFonts w:ascii="Arial" w:cs="Arial" w:eastAsia="Arial" w:hAnsi="Arial"/>
                <w:sz w:val="18"/>
                <w:szCs w:val="18"/>
                <w:color w:val="auto"/>
              </w:rPr>
              <w:t>– 0.3x (0.3x)</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Revenue</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w w:val="99"/>
              </w:rPr>
              <w:t>$88.1 million – $88.1 million ($88.1 million)</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Second lien debt</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$71.5</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Income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w w:val="93"/>
              </w:rPr>
              <w:t>Required Rate of Return</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10.0% – 17.3% (13.3%)</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Leverage Ratio</w:t>
            </w:r>
          </w:p>
        </w:tc>
        <w:tc>
          <w:tcPr>
            <w:tcW w:w="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0.0x</w:t>
            </w:r>
          </w:p>
        </w:tc>
        <w:tc>
          <w:tcPr>
            <w:tcW w:w="3080" w:type="dxa"/>
            <w:vAlign w:val="bottom"/>
          </w:tcPr>
          <w:p>
            <w:pPr>
              <w:ind w:left="20"/>
              <w:spacing w:after="0"/>
              <w:rPr>
                <w:sz w:val="20"/>
                <w:szCs w:val="20"/>
                <w:color w:val="auto"/>
              </w:rPr>
            </w:pPr>
            <w:r>
              <w:rPr>
                <w:rFonts w:ascii="Arial" w:cs="Arial" w:eastAsia="Arial" w:hAnsi="Arial"/>
                <w:sz w:val="18"/>
                <w:szCs w:val="18"/>
                <w:color w:val="auto"/>
              </w:rPr>
              <w:t>– 7.5x (5.0x)</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w w:val="99"/>
              </w:rPr>
              <w:t>$8.1 million – $166.0 million ($76.5 million)</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Subordinated debt</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$114.6</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Income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w w:val="93"/>
              </w:rPr>
              <w:t>Required Rate of Return</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11.5% – 20.0% (13.6%)</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Leverage Ratio</w:t>
            </w:r>
          </w:p>
        </w:tc>
        <w:tc>
          <w:tcPr>
            <w:tcW w:w="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1.5x</w:t>
            </w:r>
          </w:p>
        </w:tc>
        <w:tc>
          <w:tcPr>
            <w:tcW w:w="3080" w:type="dxa"/>
            <w:vAlign w:val="bottom"/>
          </w:tcPr>
          <w:p>
            <w:pPr>
              <w:ind w:left="20"/>
              <w:spacing w:after="0"/>
              <w:rPr>
                <w:sz w:val="20"/>
                <w:szCs w:val="20"/>
                <w:color w:val="auto"/>
              </w:rPr>
            </w:pPr>
            <w:r>
              <w:rPr>
                <w:rFonts w:ascii="Arial" w:cs="Arial" w:eastAsia="Arial" w:hAnsi="Arial"/>
                <w:sz w:val="18"/>
                <w:szCs w:val="18"/>
                <w:color w:val="auto"/>
              </w:rPr>
              <w:t>– 6.7x (4.1x)</w:t>
            </w:r>
          </w:p>
        </w:tc>
        <w:tc>
          <w:tcPr>
            <w:tcW w:w="0" w:type="dxa"/>
            <w:vAlign w:val="bottom"/>
          </w:tcPr>
          <w:p>
            <w:pPr>
              <w:spacing w:after="0"/>
              <w:rPr>
                <w:sz w:val="1"/>
                <w:szCs w:val="1"/>
                <w:color w:val="auto"/>
              </w:rPr>
            </w:pPr>
          </w:p>
        </w:tc>
      </w:tr>
      <w:tr>
        <w:trPr>
          <w:trHeight w:val="230"/>
        </w:trPr>
        <w:tc>
          <w:tcPr>
            <w:tcW w:w="1900" w:type="dxa"/>
            <w:vAlign w:val="bottom"/>
            <w:vMerge w:val="restart"/>
          </w:tcPr>
          <w:p>
            <w:pPr>
              <w:spacing w:after="0"/>
              <w:rPr>
                <w:sz w:val="20"/>
                <w:szCs w:val="20"/>
                <w:color w:val="auto"/>
              </w:rPr>
            </w:pPr>
            <w:r>
              <w:rPr>
                <w:rFonts w:ascii="Arial" w:cs="Arial" w:eastAsia="Arial" w:hAnsi="Arial"/>
                <w:sz w:val="18"/>
                <w:szCs w:val="18"/>
                <w:color w:val="auto"/>
              </w:rPr>
              <w:t>Subordinated debt</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vMerge w:val="restart"/>
          </w:tcPr>
          <w:p>
            <w:pPr>
              <w:ind w:left="80"/>
              <w:spacing w:after="0"/>
              <w:rPr>
                <w:sz w:val="20"/>
                <w:szCs w:val="20"/>
                <w:color w:val="auto"/>
              </w:rPr>
            </w:pPr>
            <w:r>
              <w:rPr>
                <w:rFonts w:ascii="Arial" w:cs="Arial" w:eastAsia="Arial" w:hAnsi="Arial"/>
                <w:sz w:val="18"/>
                <w:szCs w:val="18"/>
                <w:color w:val="auto"/>
                <w:w w:val="94"/>
              </w:rPr>
              <w:t>Enterprise Value</w:t>
            </w:r>
          </w:p>
        </w:tc>
        <w:tc>
          <w:tcPr>
            <w:tcW w:w="40" w:type="dxa"/>
            <w:vAlign w:val="bottom"/>
          </w:tcPr>
          <w:p>
            <w:pPr>
              <w:spacing w:after="0"/>
              <w:rPr>
                <w:sz w:val="20"/>
                <w:szCs w:val="20"/>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20"/>
                <w:szCs w:val="20"/>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$2.0 million – $63.7 million ($21.4 million)</w:t>
            </w:r>
          </w:p>
        </w:tc>
        <w:tc>
          <w:tcPr>
            <w:tcW w:w="0" w:type="dxa"/>
            <w:vAlign w:val="bottom"/>
          </w:tcPr>
          <w:p>
            <w:pPr>
              <w:spacing w:after="0"/>
              <w:rPr>
                <w:sz w:val="1"/>
                <w:szCs w:val="1"/>
                <w:color w:val="auto"/>
              </w:rPr>
            </w:pPr>
          </w:p>
        </w:tc>
      </w:tr>
      <w:tr>
        <w:trPr>
          <w:trHeight w:val="203"/>
        </w:trPr>
        <w:tc>
          <w:tcPr>
            <w:tcW w:w="1900" w:type="dxa"/>
            <w:vAlign w:val="bottom"/>
            <w:vMerge w:val="continue"/>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88"/>
              </w:rPr>
              <w:t>$35.6</w:t>
            </w:r>
          </w:p>
        </w:tc>
        <w:tc>
          <w:tcPr>
            <w:tcW w:w="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tcPr>
          <w:p>
            <w:pPr>
              <w:ind w:left="80"/>
              <w:spacing w:after="0" w:line="202" w:lineRule="exact"/>
              <w:rPr>
                <w:sz w:val="20"/>
                <w:szCs w:val="20"/>
                <w:color w:val="auto"/>
              </w:rPr>
            </w:pPr>
            <w:r>
              <w:rPr>
                <w:rFonts w:ascii="Arial" w:cs="Arial" w:eastAsia="Arial" w:hAnsi="Arial"/>
                <w:sz w:val="18"/>
                <w:szCs w:val="18"/>
                <w:color w:val="auto"/>
              </w:rPr>
              <w:t>EBITDA Multiple</w:t>
            </w:r>
          </w:p>
        </w:tc>
        <w:tc>
          <w:tcPr>
            <w:tcW w:w="60" w:type="dxa"/>
            <w:vAlign w:val="bottom"/>
          </w:tcPr>
          <w:p>
            <w:pPr>
              <w:spacing w:after="0"/>
              <w:rPr>
                <w:sz w:val="17"/>
                <w:szCs w:val="17"/>
                <w:color w:val="auto"/>
              </w:rPr>
            </w:pPr>
          </w:p>
        </w:tc>
        <w:tc>
          <w:tcPr>
            <w:tcW w:w="420" w:type="dxa"/>
            <w:vAlign w:val="bottom"/>
          </w:tcPr>
          <w:p>
            <w:pPr>
              <w:ind w:left="80"/>
              <w:spacing w:after="0" w:line="202" w:lineRule="exact"/>
              <w:rPr>
                <w:sz w:val="20"/>
                <w:szCs w:val="20"/>
                <w:color w:val="auto"/>
              </w:rPr>
            </w:pPr>
            <w:r>
              <w:rPr>
                <w:rFonts w:ascii="Arial" w:cs="Arial" w:eastAsia="Arial" w:hAnsi="Arial"/>
                <w:sz w:val="18"/>
                <w:szCs w:val="18"/>
                <w:color w:val="auto"/>
                <w:w w:val="93"/>
              </w:rPr>
              <w:t>5.0x</w:t>
            </w:r>
          </w:p>
        </w:tc>
        <w:tc>
          <w:tcPr>
            <w:tcW w:w="3080" w:type="dxa"/>
            <w:vAlign w:val="bottom"/>
          </w:tcPr>
          <w:p>
            <w:pPr>
              <w:ind w:left="20"/>
              <w:spacing w:after="0" w:line="202" w:lineRule="exact"/>
              <w:rPr>
                <w:sz w:val="20"/>
                <w:szCs w:val="20"/>
                <w:color w:val="auto"/>
              </w:rPr>
            </w:pPr>
            <w:r>
              <w:rPr>
                <w:rFonts w:ascii="Arial" w:cs="Arial" w:eastAsia="Arial" w:hAnsi="Arial"/>
                <w:sz w:val="18"/>
                <w:szCs w:val="18"/>
                <w:color w:val="auto"/>
              </w:rPr>
              <w:t>– 8.7x (6.3x)</w:t>
            </w:r>
          </w:p>
        </w:tc>
        <w:tc>
          <w:tcPr>
            <w:tcW w:w="0" w:type="dxa"/>
            <w:vAlign w:val="bottom"/>
          </w:tcPr>
          <w:p>
            <w:pPr>
              <w:spacing w:after="0"/>
              <w:rPr>
                <w:sz w:val="1"/>
                <w:szCs w:val="1"/>
                <w:color w:val="auto"/>
              </w:rPr>
            </w:pPr>
          </w:p>
        </w:tc>
      </w:tr>
      <w:tr>
        <w:trPr>
          <w:trHeight w:val="219"/>
        </w:trPr>
        <w:tc>
          <w:tcPr>
            <w:tcW w:w="1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Waterfall and</w:t>
            </w:r>
          </w:p>
        </w:tc>
        <w:tc>
          <w:tcPr>
            <w:tcW w:w="40" w:type="dxa"/>
            <w:vAlign w:val="bottom"/>
          </w:tcPr>
          <w:p>
            <w:pPr>
              <w:spacing w:after="0"/>
              <w:rPr>
                <w:sz w:val="19"/>
                <w:szCs w:val="19"/>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19"/>
                <w:szCs w:val="19"/>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$1.8 million – $27.6 million ($15.7 million)</w:t>
            </w:r>
          </w:p>
        </w:tc>
        <w:tc>
          <w:tcPr>
            <w:tcW w:w="0" w:type="dxa"/>
            <w:vAlign w:val="bottom"/>
          </w:tcPr>
          <w:p>
            <w:pPr>
              <w:spacing w:after="0"/>
              <w:rPr>
                <w:sz w:val="1"/>
                <w:szCs w:val="1"/>
                <w:color w:val="auto"/>
              </w:rPr>
            </w:pPr>
          </w:p>
        </w:tc>
      </w:tr>
      <w:tr>
        <w:trPr>
          <w:trHeight w:val="253"/>
        </w:trPr>
        <w:tc>
          <w:tcPr>
            <w:tcW w:w="1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ind w:left="80"/>
              <w:spacing w:after="0" w:line="253" w:lineRule="exact"/>
              <w:rPr>
                <w:sz w:val="20"/>
                <w:szCs w:val="20"/>
                <w:color w:val="auto"/>
              </w:rPr>
            </w:pPr>
            <w:r>
              <w:rPr>
                <w:rFonts w:ascii="Arial" w:cs="Arial" w:eastAsia="Arial" w:hAnsi="Arial"/>
                <w:sz w:val="18"/>
                <w:szCs w:val="18"/>
                <w:color w:val="auto"/>
              </w:rPr>
              <w:t>Asset</w:t>
            </w:r>
            <w:r>
              <w:rPr>
                <w:rFonts w:ascii="Arial" w:cs="Arial" w:eastAsia="Arial" w:hAnsi="Arial"/>
                <w:sz w:val="29"/>
                <w:szCs w:val="29"/>
                <w:color w:val="auto"/>
                <w:vertAlign w:val="superscript"/>
              </w:rPr>
              <w:t>(1)</w:t>
            </w:r>
          </w:p>
        </w:tc>
        <w:tc>
          <w:tcPr>
            <w:tcW w:w="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Equity and warrants</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$93.3</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w w:val="94"/>
              </w:rPr>
              <w:t>Enterprise Value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EBITDA Multiple</w:t>
            </w:r>
          </w:p>
        </w:tc>
        <w:tc>
          <w:tcPr>
            <w:tcW w:w="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4.5x</w:t>
            </w:r>
          </w:p>
        </w:tc>
        <w:tc>
          <w:tcPr>
            <w:tcW w:w="3080" w:type="dxa"/>
            <w:vAlign w:val="bottom"/>
          </w:tcPr>
          <w:p>
            <w:pPr>
              <w:ind w:left="20"/>
              <w:spacing w:after="0"/>
              <w:rPr>
                <w:sz w:val="20"/>
                <w:szCs w:val="20"/>
                <w:color w:val="auto"/>
              </w:rPr>
            </w:pPr>
            <w:r>
              <w:rPr>
                <w:rFonts w:ascii="Arial" w:cs="Arial" w:eastAsia="Arial" w:hAnsi="Arial"/>
                <w:sz w:val="18"/>
                <w:szCs w:val="18"/>
                <w:color w:val="auto"/>
              </w:rPr>
              <w:t>– 12.2x (7.6x)</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Waterfall</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$1.8 million – $63.7 million ($17.5 million)</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Written Call Option</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$(2.7)</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w w:val="94"/>
              </w:rPr>
              <w:t>Enterprise Value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EBITDA Multiple</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6.25x – 6.25x (6.25x)</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Waterfall</w:t>
            </w:r>
          </w:p>
        </w:tc>
        <w:tc>
          <w:tcPr>
            <w:tcW w:w="40" w:type="dxa"/>
            <w:vAlign w:val="bottom"/>
          </w:tcPr>
          <w:p>
            <w:pPr>
              <w:spacing w:after="0"/>
              <w:rPr>
                <w:sz w:val="20"/>
                <w:szCs w:val="20"/>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20"/>
                <w:szCs w:val="20"/>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w w:val="99"/>
              </w:rPr>
              <w:t>$27.6 million – $27.6 million ($27.6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480" w:right="2219" w:hanging="4472"/>
        <w:spacing w:after="0" w:line="919" w:lineRule="auto"/>
        <w:tabs>
          <w:tab w:leader="none" w:pos="279" w:val="left"/>
        </w:tabs>
        <w:numPr>
          <w:ilvl w:val="0"/>
          <w:numId w:val="69"/>
        </w:numPr>
        <w:rPr>
          <w:rFonts w:ascii="Arial" w:cs="Arial" w:eastAsia="Arial" w:hAnsi="Arial"/>
          <w:sz w:val="18"/>
          <w:szCs w:val="18"/>
          <w:color w:val="auto"/>
        </w:rPr>
      </w:pPr>
      <w:r>
        <w:rPr>
          <w:rFonts w:ascii="Arial" w:cs="Arial" w:eastAsia="Arial" w:hAnsi="Arial"/>
          <w:sz w:val="18"/>
          <w:szCs w:val="18"/>
          <w:color w:val="auto"/>
        </w:rPr>
        <w:t>$2.5 million in subordinated debt and $2.6 million in first lien debt were valued using the asset approach. 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-280670</wp:posOffset>
            </wp:positionV>
            <wp:extent cx="6114415" cy="596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valuation techniques and significant unobservable inputs used in recurring Level 3 fair value measurements of assets as of</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2015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620014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168910</wp:posOffset>
            </wp:positionV>
            <wp:extent cx="620014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7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Fair Value</w:t>
            </w:r>
            <w:r>
              <w:rPr>
                <w:rFonts w:ascii="Arial" w:cs="Arial" w:eastAsia="Arial" w:hAnsi="Arial"/>
                <w:sz w:val="23"/>
                <w:szCs w:val="23"/>
                <w:b w:val="1"/>
                <w:bCs w:val="1"/>
                <w:color w:val="auto"/>
                <w:w w:val="91"/>
                <w:vertAlign w:val="superscript"/>
              </w:rPr>
              <w:t>(2)</w:t>
            </w:r>
          </w:p>
        </w:tc>
        <w:tc>
          <w:tcPr>
            <w:tcW w:w="40" w:type="dxa"/>
            <w:vAlign w:val="bottom"/>
          </w:tcPr>
          <w:p>
            <w:pPr>
              <w:spacing w:after="0"/>
              <w:rPr>
                <w:sz w:val="22"/>
                <w:szCs w:val="22"/>
                <w:color w:val="auto"/>
              </w:rPr>
            </w:pPr>
          </w:p>
        </w:tc>
        <w:tc>
          <w:tcPr>
            <w:tcW w:w="14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8"/>
              </w:rPr>
              <w:t>Valuation Approach</w:t>
            </w:r>
          </w:p>
        </w:tc>
        <w:tc>
          <w:tcPr>
            <w:tcW w:w="60" w:type="dxa"/>
            <w:vAlign w:val="bottom"/>
          </w:tcPr>
          <w:p>
            <w:pPr>
              <w:spacing w:after="0"/>
              <w:rPr>
                <w:sz w:val="22"/>
                <w:szCs w:val="22"/>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Unobservable Input</w:t>
            </w: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171"/>
        </w:trPr>
        <w:tc>
          <w:tcPr>
            <w:tcW w:w="1780" w:type="dxa"/>
            <w:vAlign w:val="bottom"/>
            <w:vMerge w:val="restart"/>
          </w:tcPr>
          <w:p>
            <w:pPr>
              <w:spacing w:after="0"/>
              <w:rPr>
                <w:sz w:val="20"/>
                <w:szCs w:val="20"/>
                <w:color w:val="auto"/>
              </w:rPr>
            </w:pPr>
            <w:r>
              <w:rPr>
                <w:rFonts w:ascii="Arial" w:cs="Arial" w:eastAsia="Arial" w:hAnsi="Arial"/>
                <w:sz w:val="18"/>
                <w:szCs w:val="18"/>
                <w:color w:val="auto"/>
              </w:rPr>
              <w:t>First lien debt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40" w:type="dxa"/>
            <w:vAlign w:val="bottom"/>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780" w:type="dxa"/>
            <w:vAlign w:val="bottom"/>
            <w:vMerge w:val="continue"/>
          </w:tcPr>
          <w:p>
            <w:pPr>
              <w:spacing w:after="0"/>
              <w:rPr>
                <w:sz w:val="16"/>
                <w:szCs w:val="16"/>
                <w:color w:val="auto"/>
              </w:rPr>
            </w:pP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87"/>
              </w:rPr>
              <w:t>$185.5</w:t>
            </w:r>
          </w:p>
        </w:tc>
        <w:tc>
          <w:tcPr>
            <w:tcW w:w="40" w:type="dxa"/>
            <w:vAlign w:val="bottom"/>
          </w:tcPr>
          <w:p>
            <w:pPr>
              <w:spacing w:after="0"/>
              <w:rPr>
                <w:sz w:val="16"/>
                <w:szCs w:val="16"/>
                <w:color w:val="auto"/>
              </w:rPr>
            </w:pPr>
          </w:p>
        </w:tc>
        <w:tc>
          <w:tcPr>
            <w:tcW w:w="1420" w:type="dxa"/>
            <w:vAlign w:val="bottom"/>
          </w:tcPr>
          <w:p>
            <w:pPr>
              <w:ind w:left="100"/>
              <w:spacing w:after="0" w:line="195" w:lineRule="exact"/>
              <w:rPr>
                <w:sz w:val="20"/>
                <w:szCs w:val="20"/>
                <w:color w:val="auto"/>
              </w:rPr>
            </w:pPr>
            <w:r>
              <w:rPr>
                <w:rFonts w:ascii="Arial" w:cs="Arial" w:eastAsia="Arial" w:hAnsi="Arial"/>
                <w:sz w:val="18"/>
                <w:szCs w:val="18"/>
                <w:color w:val="auto"/>
              </w:rPr>
              <w:t>Income</w:t>
            </w:r>
          </w:p>
        </w:tc>
        <w:tc>
          <w:tcPr>
            <w:tcW w:w="60" w:type="dxa"/>
            <w:vAlign w:val="bottom"/>
          </w:tcPr>
          <w:p>
            <w:pPr>
              <w:spacing w:after="0"/>
              <w:rPr>
                <w:sz w:val="16"/>
                <w:szCs w:val="16"/>
                <w:color w:val="auto"/>
              </w:rPr>
            </w:pPr>
          </w:p>
        </w:tc>
        <w:tc>
          <w:tcPr>
            <w:tcW w:w="1920" w:type="dxa"/>
            <w:vAlign w:val="bottom"/>
          </w:tcPr>
          <w:p>
            <w:pPr>
              <w:ind w:left="80"/>
              <w:spacing w:after="0" w:line="195" w:lineRule="exact"/>
              <w:rPr>
                <w:sz w:val="20"/>
                <w:szCs w:val="20"/>
                <w:color w:val="auto"/>
              </w:rPr>
            </w:pPr>
            <w:r>
              <w:rPr>
                <w:rFonts w:ascii="Arial" w:cs="Arial" w:eastAsia="Arial" w:hAnsi="Arial"/>
                <w:sz w:val="18"/>
                <w:szCs w:val="18"/>
                <w:color w:val="auto"/>
                <w:w w:val="93"/>
              </w:rPr>
              <w:t>Required Rate of Return</w:t>
            </w:r>
          </w:p>
        </w:tc>
        <w:tc>
          <w:tcPr>
            <w:tcW w:w="40" w:type="dxa"/>
            <w:vAlign w:val="bottom"/>
          </w:tcPr>
          <w:p>
            <w:pPr>
              <w:spacing w:after="0"/>
              <w:rPr>
                <w:sz w:val="16"/>
                <w:szCs w:val="16"/>
                <w:color w:val="auto"/>
              </w:rPr>
            </w:pPr>
          </w:p>
        </w:tc>
        <w:tc>
          <w:tcPr>
            <w:tcW w:w="358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8.0% – 60.0% (13.3%)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Leverage Ratio</w:t>
            </w:r>
          </w:p>
        </w:tc>
        <w:tc>
          <w:tcPr>
            <w:tcW w:w="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93"/>
              </w:rPr>
              <w:t>1.0x</w:t>
            </w:r>
          </w:p>
        </w:tc>
        <w:tc>
          <w:tcPr>
            <w:tcW w:w="3140" w:type="dxa"/>
            <w:vAlign w:val="bottom"/>
          </w:tcPr>
          <w:p>
            <w:pPr>
              <w:ind w:left="20"/>
              <w:spacing w:after="0"/>
              <w:rPr>
                <w:sz w:val="20"/>
                <w:szCs w:val="20"/>
                <w:color w:val="auto"/>
              </w:rPr>
            </w:pPr>
            <w:r>
              <w:rPr>
                <w:rFonts w:ascii="Arial" w:cs="Arial" w:eastAsia="Arial" w:hAnsi="Arial"/>
                <w:sz w:val="18"/>
                <w:szCs w:val="18"/>
                <w:color w:val="auto"/>
              </w:rPr>
              <w:t>– 6.2x (3.7x)</w:t>
            </w:r>
          </w:p>
        </w:tc>
        <w:tc>
          <w:tcPr>
            <w:tcW w:w="0" w:type="dxa"/>
            <w:vAlign w:val="bottom"/>
          </w:tcPr>
          <w:p>
            <w:pPr>
              <w:spacing w:after="0"/>
              <w:rPr>
                <w:sz w:val="1"/>
                <w:szCs w:val="1"/>
                <w:color w:val="auto"/>
              </w:rPr>
            </w:pPr>
          </w:p>
        </w:tc>
      </w:tr>
      <w:tr>
        <w:trPr>
          <w:trHeight w:val="230"/>
        </w:trPr>
        <w:tc>
          <w:tcPr>
            <w:tcW w:w="1780" w:type="dxa"/>
            <w:vAlign w:val="bottom"/>
            <w:vMerge w:val="restart"/>
          </w:tcPr>
          <w:p>
            <w:pPr>
              <w:spacing w:after="0"/>
              <w:rPr>
                <w:sz w:val="20"/>
                <w:szCs w:val="20"/>
                <w:color w:val="auto"/>
              </w:rPr>
            </w:pPr>
            <w:r>
              <w:rPr>
                <w:rFonts w:ascii="Arial" w:cs="Arial" w:eastAsia="Arial" w:hAnsi="Arial"/>
                <w:sz w:val="18"/>
                <w:szCs w:val="18"/>
                <w:color w:val="auto"/>
              </w:rPr>
              <w:t>First lien debt</w:t>
            </w: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vMerge w:val="restart"/>
          </w:tcPr>
          <w:p>
            <w:pPr>
              <w:ind w:left="100"/>
              <w:spacing w:after="0"/>
              <w:rPr>
                <w:sz w:val="20"/>
                <w:szCs w:val="20"/>
                <w:color w:val="auto"/>
              </w:rPr>
            </w:pPr>
            <w:r>
              <w:rPr>
                <w:rFonts w:ascii="Arial" w:cs="Arial" w:eastAsia="Arial" w:hAnsi="Arial"/>
                <w:sz w:val="18"/>
                <w:szCs w:val="18"/>
                <w:color w:val="auto"/>
                <w:w w:val="97"/>
              </w:rPr>
              <w:t>Enterprise Value</w:t>
            </w:r>
          </w:p>
        </w:tc>
        <w:tc>
          <w:tcPr>
            <w:tcW w:w="60" w:type="dxa"/>
            <w:vAlign w:val="bottom"/>
          </w:tcPr>
          <w:p>
            <w:pPr>
              <w:spacing w:after="0"/>
              <w:rPr>
                <w:sz w:val="20"/>
                <w:szCs w:val="20"/>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40" w:type="dxa"/>
            <w:vAlign w:val="bottom"/>
          </w:tcPr>
          <w:p>
            <w:pPr>
              <w:spacing w:after="0"/>
              <w:rPr>
                <w:sz w:val="20"/>
                <w:szCs w:val="20"/>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$2.0 million – $162.1 million ($27.7 million)</w:t>
            </w:r>
          </w:p>
        </w:tc>
        <w:tc>
          <w:tcPr>
            <w:tcW w:w="0" w:type="dxa"/>
            <w:vAlign w:val="bottom"/>
          </w:tcPr>
          <w:p>
            <w:pPr>
              <w:spacing w:after="0"/>
              <w:rPr>
                <w:sz w:val="1"/>
                <w:szCs w:val="1"/>
                <w:color w:val="auto"/>
              </w:rPr>
            </w:pPr>
          </w:p>
        </w:tc>
      </w:tr>
      <w:tr>
        <w:trPr>
          <w:trHeight w:val="203"/>
        </w:trPr>
        <w:tc>
          <w:tcPr>
            <w:tcW w:w="1780" w:type="dxa"/>
            <w:vAlign w:val="bottom"/>
            <w:vMerge w:val="continue"/>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88"/>
              </w:rPr>
              <w:t>$14.3</w:t>
            </w:r>
          </w:p>
        </w:tc>
        <w:tc>
          <w:tcPr>
            <w:tcW w:w="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920" w:type="dxa"/>
            <w:vAlign w:val="bottom"/>
          </w:tcPr>
          <w:p>
            <w:pPr>
              <w:ind w:left="80"/>
              <w:spacing w:after="0" w:line="202" w:lineRule="exact"/>
              <w:rPr>
                <w:sz w:val="20"/>
                <w:szCs w:val="20"/>
                <w:color w:val="auto"/>
              </w:rPr>
            </w:pPr>
            <w:r>
              <w:rPr>
                <w:rFonts w:ascii="Arial" w:cs="Arial" w:eastAsia="Arial" w:hAnsi="Arial"/>
                <w:sz w:val="18"/>
                <w:szCs w:val="18"/>
                <w:color w:val="auto"/>
              </w:rPr>
              <w:t>EBITDA Multiple</w:t>
            </w:r>
          </w:p>
        </w:tc>
        <w:tc>
          <w:tcPr>
            <w:tcW w:w="40" w:type="dxa"/>
            <w:vAlign w:val="bottom"/>
          </w:tcPr>
          <w:p>
            <w:pPr>
              <w:spacing w:after="0"/>
              <w:rPr>
                <w:sz w:val="17"/>
                <w:szCs w:val="17"/>
                <w:color w:val="auto"/>
              </w:rPr>
            </w:pPr>
          </w:p>
        </w:tc>
        <w:tc>
          <w:tcPr>
            <w:tcW w:w="440" w:type="dxa"/>
            <w:vAlign w:val="bottom"/>
          </w:tcPr>
          <w:p>
            <w:pPr>
              <w:ind w:left="100"/>
              <w:spacing w:after="0" w:line="202" w:lineRule="exact"/>
              <w:rPr>
                <w:sz w:val="20"/>
                <w:szCs w:val="20"/>
                <w:color w:val="auto"/>
              </w:rPr>
            </w:pPr>
            <w:r>
              <w:rPr>
                <w:rFonts w:ascii="Arial" w:cs="Arial" w:eastAsia="Arial" w:hAnsi="Arial"/>
                <w:sz w:val="18"/>
                <w:szCs w:val="18"/>
                <w:color w:val="auto"/>
                <w:w w:val="93"/>
              </w:rPr>
              <w:t>4.5x</w:t>
            </w:r>
          </w:p>
        </w:tc>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 4.5x (4.5x)</w:t>
            </w:r>
          </w:p>
        </w:tc>
        <w:tc>
          <w:tcPr>
            <w:tcW w:w="0" w:type="dxa"/>
            <w:vAlign w:val="bottom"/>
          </w:tcPr>
          <w:p>
            <w:pPr>
              <w:spacing w:after="0"/>
              <w:rPr>
                <w:sz w:val="1"/>
                <w:szCs w:val="1"/>
                <w:color w:val="auto"/>
              </w:rPr>
            </w:pPr>
          </w:p>
        </w:tc>
      </w:tr>
      <w:tr>
        <w:trPr>
          <w:trHeight w:val="219"/>
        </w:trPr>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Waterfall and</w:t>
            </w:r>
          </w:p>
        </w:tc>
        <w:tc>
          <w:tcPr>
            <w:tcW w:w="60" w:type="dxa"/>
            <w:vAlign w:val="bottom"/>
          </w:tcPr>
          <w:p>
            <w:pPr>
              <w:spacing w:after="0"/>
              <w:rPr>
                <w:sz w:val="19"/>
                <w:szCs w:val="19"/>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40" w:type="dxa"/>
            <w:vAlign w:val="bottom"/>
          </w:tcPr>
          <w:p>
            <w:pPr>
              <w:spacing w:after="0"/>
              <w:rPr>
                <w:sz w:val="19"/>
                <w:szCs w:val="19"/>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$13.5 million – $13.5 million ($13.5 million)</w:t>
            </w:r>
          </w:p>
        </w:tc>
        <w:tc>
          <w:tcPr>
            <w:tcW w:w="0" w:type="dxa"/>
            <w:vAlign w:val="bottom"/>
          </w:tcPr>
          <w:p>
            <w:pPr>
              <w:spacing w:after="0"/>
              <w:rPr>
                <w:sz w:val="1"/>
                <w:szCs w:val="1"/>
                <w:color w:val="auto"/>
              </w:rPr>
            </w:pPr>
          </w:p>
        </w:tc>
      </w:tr>
      <w:tr>
        <w:trPr>
          <w:trHeight w:val="253"/>
        </w:trPr>
        <w:tc>
          <w:tcPr>
            <w:tcW w:w="1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ind w:left="100"/>
              <w:spacing w:after="0" w:line="253" w:lineRule="exact"/>
              <w:rPr>
                <w:sz w:val="20"/>
                <w:szCs w:val="20"/>
                <w:color w:val="auto"/>
              </w:rPr>
            </w:pPr>
            <w:r>
              <w:rPr>
                <w:rFonts w:ascii="Arial" w:cs="Arial" w:eastAsia="Arial" w:hAnsi="Arial"/>
                <w:sz w:val="18"/>
                <w:szCs w:val="18"/>
                <w:color w:val="auto"/>
              </w:rPr>
              <w:t>Asset</w:t>
            </w:r>
            <w:r>
              <w:rPr>
                <w:rFonts w:ascii="Arial" w:cs="Arial" w:eastAsia="Arial" w:hAnsi="Arial"/>
                <w:sz w:val="29"/>
                <w:szCs w:val="29"/>
                <w:color w:val="auto"/>
                <w:vertAlign w:val="superscript"/>
              </w:rPr>
              <w:t>(1)</w:t>
            </w:r>
          </w:p>
        </w:tc>
        <w:tc>
          <w:tcPr>
            <w:tcW w:w="60" w:type="dxa"/>
            <w:vAlign w:val="bottom"/>
          </w:tcPr>
          <w:p>
            <w:pPr>
              <w:spacing w:after="0"/>
              <w:rPr>
                <w:sz w:val="21"/>
                <w:szCs w:val="21"/>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Revenue Multiple</w:t>
            </w:r>
          </w:p>
        </w:tc>
        <w:tc>
          <w:tcPr>
            <w:tcW w:w="4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93"/>
              </w:rPr>
              <w:t>3.5x</w:t>
            </w:r>
          </w:p>
        </w:tc>
        <w:tc>
          <w:tcPr>
            <w:tcW w:w="3140" w:type="dxa"/>
            <w:vAlign w:val="bottom"/>
          </w:tcPr>
          <w:p>
            <w:pPr>
              <w:ind w:left="20"/>
              <w:spacing w:after="0"/>
              <w:rPr>
                <w:sz w:val="20"/>
                <w:szCs w:val="20"/>
                <w:color w:val="auto"/>
              </w:rPr>
            </w:pPr>
            <w:r>
              <w:rPr>
                <w:rFonts w:ascii="Arial" w:cs="Arial" w:eastAsia="Arial" w:hAnsi="Arial"/>
                <w:sz w:val="18"/>
                <w:szCs w:val="18"/>
                <w:color w:val="auto"/>
              </w:rPr>
              <w:t>– 3.5x (3.5x)</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Revenue</w:t>
            </w:r>
          </w:p>
        </w:tc>
        <w:tc>
          <w:tcPr>
            <w:tcW w:w="4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$22.8 million – $22.8 million ($22.8 million)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Second lien debt</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$80.6</w:t>
            </w:r>
          </w:p>
        </w:tc>
        <w:tc>
          <w:tcPr>
            <w:tcW w:w="4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Income</w:t>
            </w:r>
          </w:p>
        </w:tc>
        <w:tc>
          <w:tcPr>
            <w:tcW w:w="6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w w:val="93"/>
              </w:rPr>
              <w:t>Required Rate of Return</w:t>
            </w:r>
          </w:p>
        </w:tc>
        <w:tc>
          <w:tcPr>
            <w:tcW w:w="4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9.3% – 15.3% (11.7%)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Leverage Ratio</w:t>
            </w:r>
          </w:p>
        </w:tc>
        <w:tc>
          <w:tcPr>
            <w:tcW w:w="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93"/>
              </w:rPr>
              <w:t>0.9x</w:t>
            </w:r>
          </w:p>
        </w:tc>
        <w:tc>
          <w:tcPr>
            <w:tcW w:w="3140" w:type="dxa"/>
            <w:vAlign w:val="bottom"/>
          </w:tcPr>
          <w:p>
            <w:pPr>
              <w:ind w:left="20"/>
              <w:spacing w:after="0"/>
              <w:rPr>
                <w:sz w:val="20"/>
                <w:szCs w:val="20"/>
                <w:color w:val="auto"/>
              </w:rPr>
            </w:pPr>
            <w:r>
              <w:rPr>
                <w:rFonts w:ascii="Arial" w:cs="Arial" w:eastAsia="Arial" w:hAnsi="Arial"/>
                <w:sz w:val="18"/>
                <w:szCs w:val="18"/>
                <w:color w:val="auto"/>
              </w:rPr>
              <w:t>– 5.4x (4.2x)</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4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w w:val="98"/>
              </w:rPr>
              <w:t>$12.8 million – $221.8 million ($98.0 million)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Subordinated debt</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$162.1</w:t>
            </w:r>
          </w:p>
        </w:tc>
        <w:tc>
          <w:tcPr>
            <w:tcW w:w="4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Income</w:t>
            </w:r>
          </w:p>
        </w:tc>
        <w:tc>
          <w:tcPr>
            <w:tcW w:w="6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w w:val="93"/>
              </w:rPr>
              <w:t>Required Rate of Return</w:t>
            </w:r>
          </w:p>
        </w:tc>
        <w:tc>
          <w:tcPr>
            <w:tcW w:w="4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11.0% – 15.0% (12.6%)</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Leverage Ratio</w:t>
            </w:r>
          </w:p>
        </w:tc>
        <w:tc>
          <w:tcPr>
            <w:tcW w:w="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93"/>
              </w:rPr>
              <w:t>0.6x</w:t>
            </w:r>
          </w:p>
        </w:tc>
        <w:tc>
          <w:tcPr>
            <w:tcW w:w="3140" w:type="dxa"/>
            <w:vAlign w:val="bottom"/>
          </w:tcPr>
          <w:p>
            <w:pPr>
              <w:ind w:left="20"/>
              <w:spacing w:after="0"/>
              <w:rPr>
                <w:sz w:val="20"/>
                <w:szCs w:val="20"/>
                <w:color w:val="auto"/>
              </w:rPr>
            </w:pPr>
            <w:r>
              <w:rPr>
                <w:rFonts w:ascii="Arial" w:cs="Arial" w:eastAsia="Arial" w:hAnsi="Arial"/>
                <w:sz w:val="18"/>
                <w:szCs w:val="18"/>
                <w:color w:val="auto"/>
              </w:rPr>
              <w:t>– 5.2x (3.0x)</w:t>
            </w:r>
          </w:p>
        </w:tc>
        <w:tc>
          <w:tcPr>
            <w:tcW w:w="0" w:type="dxa"/>
            <w:vAlign w:val="bottom"/>
          </w:tcPr>
          <w:p>
            <w:pPr>
              <w:spacing w:after="0"/>
              <w:rPr>
                <w:sz w:val="1"/>
                <w:szCs w:val="1"/>
                <w:color w:val="auto"/>
              </w:rPr>
            </w:pPr>
          </w:p>
        </w:tc>
      </w:tr>
      <w:tr>
        <w:trPr>
          <w:trHeight w:val="230"/>
        </w:trPr>
        <w:tc>
          <w:tcPr>
            <w:tcW w:w="1780" w:type="dxa"/>
            <w:vAlign w:val="bottom"/>
            <w:vMerge w:val="restart"/>
          </w:tcPr>
          <w:p>
            <w:pPr>
              <w:spacing w:after="0"/>
              <w:rPr>
                <w:sz w:val="20"/>
                <w:szCs w:val="20"/>
                <w:color w:val="auto"/>
              </w:rPr>
            </w:pPr>
            <w:r>
              <w:rPr>
                <w:rFonts w:ascii="Arial" w:cs="Arial" w:eastAsia="Arial" w:hAnsi="Arial"/>
                <w:sz w:val="18"/>
                <w:szCs w:val="18"/>
                <w:color w:val="auto"/>
              </w:rPr>
              <w:t>Subordinated debt</w:t>
            </w: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vMerge w:val="restart"/>
          </w:tcPr>
          <w:p>
            <w:pPr>
              <w:ind w:left="100"/>
              <w:spacing w:after="0"/>
              <w:rPr>
                <w:sz w:val="20"/>
                <w:szCs w:val="20"/>
                <w:color w:val="auto"/>
              </w:rPr>
            </w:pPr>
            <w:r>
              <w:rPr>
                <w:rFonts w:ascii="Arial" w:cs="Arial" w:eastAsia="Arial" w:hAnsi="Arial"/>
                <w:sz w:val="18"/>
                <w:szCs w:val="18"/>
                <w:color w:val="auto"/>
                <w:w w:val="97"/>
              </w:rPr>
              <w:t>Enterprise Value</w:t>
            </w:r>
          </w:p>
        </w:tc>
        <w:tc>
          <w:tcPr>
            <w:tcW w:w="60" w:type="dxa"/>
            <w:vAlign w:val="bottom"/>
          </w:tcPr>
          <w:p>
            <w:pPr>
              <w:spacing w:after="0"/>
              <w:rPr>
                <w:sz w:val="20"/>
                <w:szCs w:val="20"/>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40" w:type="dxa"/>
            <w:vAlign w:val="bottom"/>
          </w:tcPr>
          <w:p>
            <w:pPr>
              <w:spacing w:after="0"/>
              <w:rPr>
                <w:sz w:val="20"/>
                <w:szCs w:val="20"/>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$2.4 million – $69.8 million ($21.2 million)</w:t>
            </w:r>
          </w:p>
        </w:tc>
        <w:tc>
          <w:tcPr>
            <w:tcW w:w="0" w:type="dxa"/>
            <w:vAlign w:val="bottom"/>
          </w:tcPr>
          <w:p>
            <w:pPr>
              <w:spacing w:after="0"/>
              <w:rPr>
                <w:sz w:val="1"/>
                <w:szCs w:val="1"/>
                <w:color w:val="auto"/>
              </w:rPr>
            </w:pPr>
          </w:p>
        </w:tc>
      </w:tr>
      <w:tr>
        <w:trPr>
          <w:trHeight w:val="203"/>
        </w:trPr>
        <w:tc>
          <w:tcPr>
            <w:tcW w:w="1780" w:type="dxa"/>
            <w:vAlign w:val="bottom"/>
            <w:vMerge w:val="continue"/>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88"/>
              </w:rPr>
              <w:t>$32.4</w:t>
            </w:r>
          </w:p>
        </w:tc>
        <w:tc>
          <w:tcPr>
            <w:tcW w:w="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920" w:type="dxa"/>
            <w:vAlign w:val="bottom"/>
          </w:tcPr>
          <w:p>
            <w:pPr>
              <w:ind w:left="80"/>
              <w:spacing w:after="0" w:line="202" w:lineRule="exact"/>
              <w:rPr>
                <w:sz w:val="20"/>
                <w:szCs w:val="20"/>
                <w:color w:val="auto"/>
              </w:rPr>
            </w:pPr>
            <w:r>
              <w:rPr>
                <w:rFonts w:ascii="Arial" w:cs="Arial" w:eastAsia="Arial" w:hAnsi="Arial"/>
                <w:sz w:val="18"/>
                <w:szCs w:val="18"/>
                <w:color w:val="auto"/>
              </w:rPr>
              <w:t>EBITDA Multiple</w:t>
            </w:r>
          </w:p>
        </w:tc>
        <w:tc>
          <w:tcPr>
            <w:tcW w:w="40" w:type="dxa"/>
            <w:vAlign w:val="bottom"/>
          </w:tcPr>
          <w:p>
            <w:pPr>
              <w:spacing w:after="0"/>
              <w:rPr>
                <w:sz w:val="17"/>
                <w:szCs w:val="17"/>
                <w:color w:val="auto"/>
              </w:rPr>
            </w:pPr>
          </w:p>
        </w:tc>
        <w:tc>
          <w:tcPr>
            <w:tcW w:w="440" w:type="dxa"/>
            <w:vAlign w:val="bottom"/>
          </w:tcPr>
          <w:p>
            <w:pPr>
              <w:ind w:left="100"/>
              <w:spacing w:after="0" w:line="202" w:lineRule="exact"/>
              <w:rPr>
                <w:sz w:val="20"/>
                <w:szCs w:val="20"/>
                <w:color w:val="auto"/>
              </w:rPr>
            </w:pPr>
            <w:r>
              <w:rPr>
                <w:rFonts w:ascii="Arial" w:cs="Arial" w:eastAsia="Arial" w:hAnsi="Arial"/>
                <w:sz w:val="18"/>
                <w:szCs w:val="18"/>
                <w:color w:val="auto"/>
                <w:w w:val="93"/>
              </w:rPr>
              <w:t>6.0x</w:t>
            </w:r>
          </w:p>
        </w:tc>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 7.5x (7.5x)</w:t>
            </w:r>
          </w:p>
        </w:tc>
        <w:tc>
          <w:tcPr>
            <w:tcW w:w="0" w:type="dxa"/>
            <w:vAlign w:val="bottom"/>
          </w:tcPr>
          <w:p>
            <w:pPr>
              <w:spacing w:after="0"/>
              <w:rPr>
                <w:sz w:val="1"/>
                <w:szCs w:val="1"/>
                <w:color w:val="auto"/>
              </w:rPr>
            </w:pPr>
          </w:p>
        </w:tc>
      </w:tr>
      <w:tr>
        <w:trPr>
          <w:trHeight w:val="219"/>
        </w:trPr>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Waterfall and</w:t>
            </w:r>
          </w:p>
        </w:tc>
        <w:tc>
          <w:tcPr>
            <w:tcW w:w="60" w:type="dxa"/>
            <w:vAlign w:val="bottom"/>
          </w:tcPr>
          <w:p>
            <w:pPr>
              <w:spacing w:after="0"/>
              <w:rPr>
                <w:sz w:val="19"/>
                <w:szCs w:val="19"/>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40" w:type="dxa"/>
            <w:vAlign w:val="bottom"/>
          </w:tcPr>
          <w:p>
            <w:pPr>
              <w:spacing w:after="0"/>
              <w:rPr>
                <w:sz w:val="19"/>
                <w:szCs w:val="19"/>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$2.1 million – $5.4 million ($5.3 million)</w:t>
            </w:r>
          </w:p>
        </w:tc>
        <w:tc>
          <w:tcPr>
            <w:tcW w:w="0" w:type="dxa"/>
            <w:vAlign w:val="bottom"/>
          </w:tcPr>
          <w:p>
            <w:pPr>
              <w:spacing w:after="0"/>
              <w:rPr>
                <w:sz w:val="1"/>
                <w:szCs w:val="1"/>
                <w:color w:val="auto"/>
              </w:rPr>
            </w:pPr>
          </w:p>
        </w:tc>
      </w:tr>
      <w:tr>
        <w:trPr>
          <w:trHeight w:val="253"/>
        </w:trPr>
        <w:tc>
          <w:tcPr>
            <w:tcW w:w="1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ind w:left="100"/>
              <w:spacing w:after="0" w:line="253" w:lineRule="exact"/>
              <w:rPr>
                <w:sz w:val="20"/>
                <w:szCs w:val="20"/>
                <w:color w:val="auto"/>
              </w:rPr>
            </w:pPr>
            <w:r>
              <w:rPr>
                <w:rFonts w:ascii="Arial" w:cs="Arial" w:eastAsia="Arial" w:hAnsi="Arial"/>
                <w:sz w:val="18"/>
                <w:szCs w:val="18"/>
                <w:color w:val="auto"/>
              </w:rPr>
              <w:t>Asset</w:t>
            </w:r>
            <w:r>
              <w:rPr>
                <w:rFonts w:ascii="Arial" w:cs="Arial" w:eastAsia="Arial" w:hAnsi="Arial"/>
                <w:sz w:val="29"/>
                <w:szCs w:val="29"/>
                <w:color w:val="auto"/>
                <w:vertAlign w:val="superscript"/>
              </w:rPr>
              <w:t>(1)</w:t>
            </w:r>
          </w:p>
        </w:tc>
        <w:tc>
          <w:tcPr>
            <w:tcW w:w="60" w:type="dxa"/>
            <w:vAlign w:val="bottom"/>
          </w:tcPr>
          <w:p>
            <w:pPr>
              <w:spacing w:after="0"/>
              <w:rPr>
                <w:sz w:val="21"/>
                <w:szCs w:val="21"/>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Revenue Multiple</w:t>
            </w:r>
          </w:p>
        </w:tc>
        <w:tc>
          <w:tcPr>
            <w:tcW w:w="4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93"/>
              </w:rPr>
              <w:t>3.5x</w:t>
            </w:r>
          </w:p>
        </w:tc>
        <w:tc>
          <w:tcPr>
            <w:tcW w:w="3140" w:type="dxa"/>
            <w:vAlign w:val="bottom"/>
          </w:tcPr>
          <w:p>
            <w:pPr>
              <w:ind w:left="20"/>
              <w:spacing w:after="0"/>
              <w:rPr>
                <w:sz w:val="20"/>
                <w:szCs w:val="20"/>
                <w:color w:val="auto"/>
              </w:rPr>
            </w:pPr>
            <w:r>
              <w:rPr>
                <w:rFonts w:ascii="Arial" w:cs="Arial" w:eastAsia="Arial" w:hAnsi="Arial"/>
                <w:sz w:val="18"/>
                <w:szCs w:val="18"/>
                <w:color w:val="auto"/>
              </w:rPr>
              <w:t>– 3.5x (3.5x)</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Revenue</w:t>
            </w:r>
          </w:p>
        </w:tc>
        <w:tc>
          <w:tcPr>
            <w:tcW w:w="4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$22.8 million – $22.8 million ($22.8 million)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Equity and warrants</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12.0% – 12.0% (12.0%)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$6.3</w:t>
            </w:r>
          </w:p>
        </w:tc>
        <w:tc>
          <w:tcPr>
            <w:tcW w:w="4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Income</w:t>
            </w:r>
          </w:p>
        </w:tc>
        <w:tc>
          <w:tcPr>
            <w:tcW w:w="6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w w:val="93"/>
              </w:rPr>
              <w:t>Required Rate of Return</w:t>
            </w:r>
          </w:p>
        </w:tc>
        <w:tc>
          <w:tcPr>
            <w:tcW w:w="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93"/>
              </w:rPr>
              <w:t>2.0x</w:t>
            </w:r>
          </w:p>
        </w:tc>
        <w:tc>
          <w:tcPr>
            <w:tcW w:w="3140" w:type="dxa"/>
            <w:vAlign w:val="bottom"/>
          </w:tcPr>
          <w:p>
            <w:pPr>
              <w:ind w:left="20"/>
              <w:spacing w:after="0"/>
              <w:rPr>
                <w:sz w:val="20"/>
                <w:szCs w:val="20"/>
                <w:color w:val="auto"/>
              </w:rPr>
            </w:pPr>
            <w:r>
              <w:rPr>
                <w:rFonts w:ascii="Arial" w:cs="Arial" w:eastAsia="Arial" w:hAnsi="Arial"/>
                <w:sz w:val="18"/>
                <w:szCs w:val="18"/>
                <w:color w:val="auto"/>
              </w:rPr>
              <w:t>– 2.0x (2.0x)</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Leverage Ratio</w:t>
            </w:r>
          </w:p>
        </w:tc>
        <w:tc>
          <w:tcPr>
            <w:tcW w:w="4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$344.5 million – $344.5 million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4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($344.5 million)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Equity and warrants</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$92.2</w:t>
            </w:r>
          </w:p>
        </w:tc>
        <w:tc>
          <w:tcPr>
            <w:tcW w:w="4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w w:val="97"/>
              </w:rPr>
              <w:t>Enterprise Value</w:t>
            </w:r>
          </w:p>
        </w:tc>
        <w:tc>
          <w:tcPr>
            <w:tcW w:w="6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Revenue Multiple</w:t>
            </w:r>
          </w:p>
        </w:tc>
        <w:tc>
          <w:tcPr>
            <w:tcW w:w="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93"/>
              </w:rPr>
              <w:t>3.5x</w:t>
            </w:r>
          </w:p>
        </w:tc>
        <w:tc>
          <w:tcPr>
            <w:tcW w:w="3140" w:type="dxa"/>
            <w:vAlign w:val="bottom"/>
          </w:tcPr>
          <w:p>
            <w:pPr>
              <w:ind w:left="20"/>
              <w:spacing w:after="0"/>
              <w:rPr>
                <w:sz w:val="20"/>
                <w:szCs w:val="20"/>
                <w:color w:val="auto"/>
              </w:rPr>
            </w:pPr>
            <w:r>
              <w:rPr>
                <w:rFonts w:ascii="Arial" w:cs="Arial" w:eastAsia="Arial" w:hAnsi="Arial"/>
                <w:sz w:val="18"/>
                <w:szCs w:val="18"/>
                <w:color w:val="auto"/>
              </w:rPr>
              <w:t>– 3.5x (3.5x)</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Waterfall</w:t>
            </w:r>
          </w:p>
        </w:tc>
        <w:tc>
          <w:tcPr>
            <w:tcW w:w="6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Revenue Adjusted</w:t>
            </w:r>
          </w:p>
        </w:tc>
        <w:tc>
          <w:tcPr>
            <w:tcW w:w="4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$22.8 million – $22.8 million ($22.8 million)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EBITDA Multiple</w:t>
            </w:r>
          </w:p>
        </w:tc>
        <w:tc>
          <w:tcPr>
            <w:tcW w:w="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93"/>
              </w:rPr>
              <w:t>4.5x</w:t>
            </w:r>
          </w:p>
        </w:tc>
        <w:tc>
          <w:tcPr>
            <w:tcW w:w="3140" w:type="dxa"/>
            <w:vAlign w:val="bottom"/>
          </w:tcPr>
          <w:p>
            <w:pPr>
              <w:ind w:left="20"/>
              <w:spacing w:after="0"/>
              <w:rPr>
                <w:sz w:val="20"/>
                <w:szCs w:val="20"/>
                <w:color w:val="auto"/>
              </w:rPr>
            </w:pPr>
            <w:r>
              <w:rPr>
                <w:rFonts w:ascii="Arial" w:cs="Arial" w:eastAsia="Arial" w:hAnsi="Arial"/>
                <w:sz w:val="18"/>
                <w:szCs w:val="18"/>
                <w:color w:val="auto"/>
              </w:rPr>
              <w:t>– 11.0x (7.3x)</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40" w:type="dxa"/>
            <w:vAlign w:val="bottom"/>
          </w:tcPr>
          <w:p>
            <w:pPr>
              <w:spacing w:after="0"/>
              <w:rPr>
                <w:sz w:val="20"/>
                <w:szCs w:val="20"/>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$2.0 million – $69.8 million ($18.6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80" w:hanging="272"/>
        <w:spacing w:after="0"/>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$9.3 million in subordinated debt and $3.2 million in first lien debt were valued using the asset approach.</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Excludes our $17.9 million investment in CSLLF, measured at NAV.</w:t>
      </w:r>
    </w:p>
    <w:p>
      <w:pPr>
        <w:spacing w:after="0" w:line="117"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Capitala Senior Liquid Loan Fund I, LLC</w:t>
      </w:r>
    </w:p>
    <w:p>
      <w:pPr>
        <w:spacing w:after="0" w:line="117"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On March 24, 2015, Capitala and Trinity Universal Insurance Company (“Trinity”), a subsidiary of Kemper Corporation (“Kemper”), entered into a limited liability company agreement to co-manage CSLLF. The purpose and design of the joint venture was to invest primarily in broadly syndicated senior secured loans to larger middle-market companies, which were purchased on the secondary market. Capitala and Trinity have committed to provide $25.0 million of equity to CSLLF, with Capitala providing $20.0 million and Trinity providing $5.0 million, resulting in an 80%/20% economic ownership between the two parties. The board of directors and investment committee of CSLLF were split 50/50 between Trinity and Capitala, resulting in</w:t>
      </w:r>
    </w:p>
    <w:p>
      <w:pPr>
        <w:spacing w:after="0" w:line="200" w:lineRule="exact"/>
        <w:rPr>
          <w:sz w:val="20"/>
          <w:szCs w:val="20"/>
          <w:color w:val="auto"/>
        </w:rPr>
      </w:pPr>
    </w:p>
    <w:p>
      <w:pPr>
        <w:spacing w:after="0" w:line="3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40" w:right="579"/>
        <w:spacing w:after="0" w:line="264" w:lineRule="auto"/>
        <w:rPr>
          <w:sz w:val="20"/>
          <w:szCs w:val="20"/>
          <w:color w:val="auto"/>
        </w:rPr>
      </w:pPr>
      <w:r>
        <w:rPr>
          <w:rFonts w:ascii="Arial" w:cs="Arial" w:eastAsia="Arial" w:hAnsi="Arial"/>
          <w:sz w:val="18"/>
          <w:szCs w:val="18"/>
          <w:color w:val="auto"/>
        </w:rPr>
        <w:t>equal voting power between the two entities. In September 2016, the Company and Trinity elected to wind-down operations of CSLLF. During the fourth quarter of 2016, CSLLF sold all referenced assets underlying the total return swap (“TRS”) and declared final distributions, inclusive of dividends and return of capital, in December 2016.</w:t>
      </w:r>
    </w:p>
    <w:p>
      <w:pPr>
        <w:spacing w:after="0" w:line="73" w:lineRule="exact"/>
        <w:rPr>
          <w:sz w:val="20"/>
          <w:szCs w:val="20"/>
          <w:color w:val="auto"/>
        </w:rPr>
      </w:pPr>
    </w:p>
    <w:p>
      <w:pPr>
        <w:ind w:left="40" w:right="879" w:firstLine="270"/>
        <w:spacing w:after="0" w:line="259" w:lineRule="auto"/>
        <w:rPr>
          <w:sz w:val="20"/>
          <w:szCs w:val="20"/>
          <w:color w:val="auto"/>
        </w:rPr>
      </w:pPr>
      <w:r>
        <w:rPr>
          <w:rFonts w:ascii="Arial" w:cs="Arial" w:eastAsia="Arial" w:hAnsi="Arial"/>
          <w:sz w:val="18"/>
          <w:szCs w:val="18"/>
          <w:color w:val="auto"/>
        </w:rPr>
        <w:t>For the years ended December 31, 2016 and December 31, 2015, the Company received $1.8 million and $0.9 million, respectively, in dividend income from our equity interest in CSLLF. For the year ended December 31, 2016, CSLLF declared a return of capital distribution to the Company in the amount of $20.0 million, which included $19.9 million in cash received in December 2016 and $0.1 million to be paid in the first quarter of 2017.</w:t>
      </w:r>
    </w:p>
    <w:p>
      <w:pPr>
        <w:spacing w:after="0" w:line="79" w:lineRule="exact"/>
        <w:rPr>
          <w:sz w:val="20"/>
          <w:szCs w:val="20"/>
          <w:color w:val="auto"/>
        </w:rPr>
      </w:pPr>
    </w:p>
    <w:p>
      <w:pPr>
        <w:ind w:left="40" w:right="579" w:firstLine="270"/>
        <w:spacing w:after="0" w:line="302" w:lineRule="auto"/>
        <w:rPr>
          <w:sz w:val="20"/>
          <w:szCs w:val="20"/>
          <w:color w:val="auto"/>
        </w:rPr>
      </w:pPr>
      <w:r>
        <w:rPr>
          <w:rFonts w:ascii="Arial" w:cs="Arial" w:eastAsia="Arial" w:hAnsi="Arial"/>
          <w:sz w:val="16"/>
          <w:szCs w:val="16"/>
          <w:color w:val="auto"/>
        </w:rPr>
        <w:t>On March 27, 2015, CSLLF entered into a TRS with Bank of America, N.A. (“Bank of America”) that was indexed to a basket of senior secured loans purchased by CSLLF. CSLLF obtained the economic benefit of the loans underlying the TRS, including the net interest spread between the interest income generated by the underlying loans and the interest expense type payment under the TRS, the realized gain (loss) on liquidated loans, and the unrealized appreciation (depreciation) on the underlying loans.</w:t>
      </w:r>
    </w:p>
    <w:p>
      <w:pPr>
        <w:spacing w:after="0" w:line="46"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The terms of the TRS were governed by an ISDA 2002 Master Agreement, the Schedule thereto and Credit Support Annex to such Schedule, and the confirmation exchanged thereunder, between CSLLF and Bank of America, which collectively established the TRS, and are collectively referred to herein as the “TRS Agreement.” Pursuant to the terms of the TRS Agreement, CSLLF selected a portfolio of loans with a maximum market value (determined at the time each such loan becomes subject to the TRS) of $100,000,000, which is also referred to as the maximum notional amount of the TRS. Each individual loan, and the portfolio of loans taken as a whole, had to meet criteria described in the TRS Agreement. CSLLF received from Bank of America a periodic payment on set dates that is based upon any coupons, both earned and accrued, generated by the loans underlying the TRS, subject to limitations described in the TRS Agreement as well as any fees associated with the loans included in the portfolio. CSLLF paid to Bank of America interest at a rate equal to LIBOR plus 1.25% per annum; the LIBOR option paid by CSLLF is determined on an asset by asset basis such that the tenor of the LIBOR option (1 month, 3 month, etc.) matched the tenor of the underlying reference asset. In addition, upon the termination of any loan subject to the TRS or any repayment of the underlying reference asset, CSLLF either received from Bank of America, the appreciation in the value of such loan, or paid to Bank of America any depreciation in the value of such loan.</w:t>
      </w:r>
    </w:p>
    <w:p>
      <w:pPr>
        <w:spacing w:after="0" w:line="80"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CSLLF was required to pay an unused facility fee of 1.25% on any amount of unused facility under the minimum facility amount of $70,000,000 as outlined in the TRS Agreement. Such unused facility fees were not applied during the first 4 months and last 60 days of the term of the TRS. CSLLF also agreed to pay Bank of America customary fees and expenses in connection with the establishment and maintenance of the TRS.</w:t>
      </w:r>
    </w:p>
    <w:p>
      <w:pPr>
        <w:spacing w:after="0" w:line="79"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color w:val="auto"/>
        </w:rPr>
        <w:t>CSLLF was required to initially cash collateralize a specified percentage of each loan (generally 20% to 35% of the market value of senior secured loans) included under the TRS in accordance with margin requirements described in the TRS Agreement. As of December 31, 2016 and December 31, 2015, CSLLF has posted $0.0 million and $19.1 million, respectively, in collateral to Bank of America in relation to the TRS, which is recorded on CSLLF’s statements of assets and liabilities as cash held as collateral on total return swap. CSLLF may be required to post additional collateral as a result of a decline in the mark-to-market value of the portfolio of loans subject to the TRS. The $0.0 million and $19.1 million, respectively, in cash collateral represents CSLLF’s maximum credit exposure as of December 31, 2016 and December 31, 2015.</w:t>
      </w:r>
    </w:p>
    <w:p>
      <w:pPr>
        <w:spacing w:after="0" w:line="59"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In connection with the TRS, CSLLF has made customary representations and warranties and is required to comply with various covenants, reporting requirements and other customary requirements for similar transactions governed by an ISDA 2002 Master Agreement. As of December 31, 2016 and December 31, 2015, CSLLF is in compliance with regards to any covenants or requirements of the TRS.</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3" w:name="page134"/>
    <w:bookmarkEnd w:id="13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60" w:right="519" w:firstLine="270"/>
        <w:spacing w:after="0" w:line="257" w:lineRule="auto"/>
        <w:rPr>
          <w:sz w:val="20"/>
          <w:szCs w:val="20"/>
          <w:color w:val="auto"/>
        </w:rPr>
      </w:pPr>
      <w:r>
        <w:rPr>
          <w:rFonts w:ascii="Arial" w:cs="Arial" w:eastAsia="Arial" w:hAnsi="Arial"/>
          <w:sz w:val="18"/>
          <w:szCs w:val="18"/>
          <w:color w:val="auto"/>
        </w:rPr>
        <w:t>CSLLF’s receivable due on total return swap represents realized amounts from payments on underlying loans in the total return swap portfolio. At December 31, 2016 and December 31, 2015, the receivable due on total return swap was $0.1 million and $0.5 million, respectively, and is recorded on CSLLF’s statements of assets and liabilities below. CSLLF does not offset collateral posted in relation to the TRS with any unrealized appreciation or depreciation outstanding in the statements of assets and liabilities as of December 31, 2016 and December 31, 2015.</w:t>
      </w:r>
    </w:p>
    <w:p>
      <w:pPr>
        <w:spacing w:after="0" w:line="80" w:lineRule="exact"/>
        <w:rPr>
          <w:sz w:val="20"/>
          <w:szCs w:val="20"/>
          <w:color w:val="auto"/>
        </w:rPr>
      </w:pPr>
    </w:p>
    <w:p>
      <w:pPr>
        <w:jc w:val="both"/>
        <w:ind w:left="60" w:right="799" w:firstLine="270"/>
        <w:spacing w:after="0" w:line="259" w:lineRule="auto"/>
        <w:rPr>
          <w:sz w:val="20"/>
          <w:szCs w:val="20"/>
          <w:color w:val="auto"/>
        </w:rPr>
      </w:pPr>
      <w:r>
        <w:rPr>
          <w:rFonts w:ascii="Arial" w:cs="Arial" w:eastAsia="Arial" w:hAnsi="Arial"/>
          <w:sz w:val="18"/>
          <w:szCs w:val="18"/>
          <w:color w:val="auto"/>
        </w:rPr>
        <w:t>Transactions in TRS contracts during the year ended December 31, 2016 resulted in $2.3 million in realized gains and $2.8 million in unrealized appreciation which is recorded on CSLLF’s statements of operations below. Transactions in TRS contracts during the year ended December 31, 2015 resulted in $1.4 million in realized gains and $(2.8) million in unrealized depreciation which is recorded on CSLLF’s statements of operations below.</w:t>
      </w:r>
    </w:p>
    <w:p>
      <w:pPr>
        <w:spacing w:after="0" w:line="79" w:lineRule="exact"/>
        <w:rPr>
          <w:sz w:val="20"/>
          <w:szCs w:val="20"/>
          <w:color w:val="auto"/>
        </w:rPr>
      </w:pPr>
    </w:p>
    <w:p>
      <w:pPr>
        <w:ind w:left="60" w:right="539" w:firstLine="270"/>
        <w:spacing w:after="0" w:line="279" w:lineRule="auto"/>
        <w:rPr>
          <w:sz w:val="20"/>
          <w:szCs w:val="20"/>
          <w:color w:val="auto"/>
        </w:rPr>
      </w:pPr>
      <w:r>
        <w:rPr>
          <w:rFonts w:ascii="Arial" w:cs="Arial" w:eastAsia="Arial" w:hAnsi="Arial"/>
          <w:sz w:val="17"/>
          <w:szCs w:val="17"/>
          <w:color w:val="auto"/>
        </w:rPr>
        <w:t>CSLLF only held one derivative position and the derivative held was subject to a netting arrangement as of December 31, 2015. There were no derivative positions held as of December 31, 2016. The following table represents CSLLF’s gross and net amounts after offset under Master Agreements (“MA”) of the derivative assets and liabilities presented by the derivative type, net of the related collateral pledged by the CSLLF as of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5"/>
              <w:spacing w:after="0"/>
              <w:rPr>
                <w:sz w:val="20"/>
                <w:szCs w:val="20"/>
                <w:color w:val="auto"/>
              </w:rPr>
            </w:pPr>
            <w:r>
              <w:rPr>
                <w:rFonts w:ascii="Arial" w:cs="Arial" w:eastAsia="Arial" w:hAnsi="Arial"/>
                <w:sz w:val="14"/>
                <w:szCs w:val="14"/>
                <w:b w:val="1"/>
                <w:bCs w:val="1"/>
                <w:color w:val="auto"/>
                <w:w w:val="95"/>
              </w:rPr>
              <w:t>Net 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5"/>
              </w:rPr>
              <w:t>Net 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Gross Derivative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3"/>
              </w:rPr>
              <w:t>Cash</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Assets/(Liabilities)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5"/>
              </w:rPr>
              <w:t>Assets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7"/>
              </w:rPr>
              <w:t>Collateral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4"/>
              </w:rPr>
              <w:t>Assets/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Subject to MA</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Offset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Received</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7"/>
              </w:rPr>
              <w:t>(Liabilities)</w:t>
            </w:r>
          </w:p>
        </w:tc>
        <w:tc>
          <w:tcPr>
            <w:tcW w:w="0" w:type="dxa"/>
            <w:vAlign w:val="bottom"/>
          </w:tcPr>
          <w:p>
            <w:pPr>
              <w:spacing w:after="0"/>
              <w:rPr>
                <w:sz w:val="1"/>
                <w:szCs w:val="1"/>
                <w:color w:val="auto"/>
              </w:rPr>
            </w:pPr>
          </w:p>
        </w:tc>
      </w:tr>
      <w:tr>
        <w:trPr>
          <w:trHeight w:val="169"/>
        </w:trPr>
        <w:tc>
          <w:tcPr>
            <w:tcW w:w="2500" w:type="dxa"/>
            <w:vAlign w:val="bottom"/>
            <w:gridSpan w:val="3"/>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December 31, 2015</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500" w:type="dxa"/>
            <w:vAlign w:val="bottom"/>
            <w:gridSpan w:val="3"/>
          </w:tcPr>
          <w:p>
            <w:pPr>
              <w:ind w:left="20"/>
              <w:spacing w:after="0"/>
              <w:rPr>
                <w:sz w:val="20"/>
                <w:szCs w:val="20"/>
                <w:color w:val="auto"/>
              </w:rPr>
            </w:pPr>
            <w:r>
              <w:rPr>
                <w:rFonts w:ascii="Arial" w:cs="Arial" w:eastAsia="Arial" w:hAnsi="Arial"/>
                <w:sz w:val="18"/>
                <w:szCs w:val="18"/>
                <w:color w:val="auto"/>
              </w:rPr>
              <w:t>Total Return Swap</w:t>
            </w:r>
            <w:r>
              <w:rPr>
                <w:rFonts w:ascii="Arial" w:cs="Arial" w:eastAsia="Arial" w:hAnsi="Arial"/>
                <w:sz w:val="30"/>
                <w:szCs w:val="30"/>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9"/>
              <w:spacing w:after="0"/>
              <w:rPr>
                <w:sz w:val="20"/>
                <w:szCs w:val="20"/>
                <w:color w:val="auto"/>
              </w:rPr>
            </w:pPr>
            <w:r>
              <w:rPr>
                <w:rFonts w:ascii="Arial" w:cs="Arial" w:eastAsia="Arial" w:hAnsi="Arial"/>
                <w:sz w:val="18"/>
                <w:szCs w:val="18"/>
                <w:color w:val="auto"/>
              </w:rPr>
              <w:t>(2,828)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5"/>
              <w:spacing w:after="0"/>
              <w:rPr>
                <w:sz w:val="20"/>
                <w:szCs w:val="20"/>
                <w:color w:val="auto"/>
              </w:rPr>
            </w:pPr>
            <w:r>
              <w:rPr>
                <w:rFonts w:ascii="Arial" w:cs="Arial" w:eastAsia="Arial" w:hAnsi="Arial"/>
                <w:sz w:val="18"/>
                <w:szCs w:val="18"/>
                <w:color w:val="auto"/>
              </w:rPr>
              <w:t>(2,828)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3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64"/>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86995</wp:posOffset>
            </wp:positionV>
            <wp:extent cx="6172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99" w:lineRule="exact"/>
        <w:rPr>
          <w:sz w:val="20"/>
          <w:szCs w:val="20"/>
          <w:color w:val="auto"/>
        </w:rPr>
      </w:pPr>
    </w:p>
    <w:p>
      <w:pPr>
        <w:ind w:left="300" w:right="679" w:hanging="272"/>
        <w:spacing w:after="0" w:line="277"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Cash was posted for initial margin requirements for the total return swap as of December 31, 2015 and is reported on CSLLF’s statements of assets and liabilities as cash collateral on total return swap.</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represents the volume of the CSLLF’s derivative transactions during the years ended December 31, 2016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47510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For the year ended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For the year ended</w:t>
            </w: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5"/>
              </w:rPr>
              <w:t>December 31, 2016</w:t>
            </w:r>
          </w:p>
        </w:tc>
        <w:tc>
          <w:tcPr>
            <w:tcW w:w="160" w:type="dxa"/>
            <w:vAlign w:val="bottom"/>
          </w:tcPr>
          <w:p>
            <w:pPr>
              <w:spacing w:after="0"/>
              <w:rPr>
                <w:sz w:val="15"/>
                <w:szCs w:val="15"/>
                <w:color w:val="auto"/>
              </w:rPr>
            </w:pPr>
          </w:p>
        </w:tc>
        <w:tc>
          <w:tcPr>
            <w:tcW w:w="142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w w:val="97"/>
              </w:rPr>
              <w:t>December 31, 2015</w:t>
            </w:r>
            <w:r>
              <w:rPr>
                <w:rFonts w:ascii="Arial" w:cs="Arial" w:eastAsia="Arial" w:hAnsi="Arial"/>
                <w:sz w:val="20"/>
                <w:szCs w:val="20"/>
                <w:b w:val="1"/>
                <w:bCs w:val="1"/>
                <w:color w:val="auto"/>
                <w:w w:val="97"/>
                <w:vertAlign w:val="superscript"/>
              </w:rPr>
              <w:t>(1)</w:t>
            </w:r>
          </w:p>
        </w:tc>
      </w:tr>
      <w:tr>
        <w:trPr>
          <w:trHeight w:val="210"/>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Average notional par amount of contract</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56,681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61,306</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Average calculated from period of TRS inception, March 27, 2015 to December 31, 2015.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CSLLF’s portfolio of TRS reference assets as of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510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650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Senior secured loans</w:t>
            </w:r>
            <w:r>
              <w:rPr>
                <w:rFonts w:ascii="Arial" w:cs="Arial" w:eastAsia="Arial" w:hAnsi="Arial"/>
                <w:sz w:val="28"/>
                <w:szCs w:val="28"/>
                <w:color w:val="auto"/>
                <w:vertAlign w:val="superscript"/>
              </w:rPr>
              <w:t>(1)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8"/>
              </w:rPr>
              <w:t>81,201</w:t>
            </w:r>
          </w:p>
        </w:tc>
      </w:tr>
      <w:tr>
        <w:trPr>
          <w:trHeight w:val="216"/>
        </w:trPr>
        <w:tc>
          <w:tcPr>
            <w:tcW w:w="6500" w:type="dxa"/>
            <w:vAlign w:val="bottom"/>
            <w:gridSpan w:val="3"/>
          </w:tcPr>
          <w:p>
            <w:pPr>
              <w:ind w:left="20"/>
              <w:spacing w:after="0"/>
              <w:rPr>
                <w:sz w:val="20"/>
                <w:szCs w:val="20"/>
                <w:color w:val="auto"/>
              </w:rPr>
            </w:pPr>
            <w:r>
              <w:rPr>
                <w:rFonts w:ascii="Arial" w:cs="Arial" w:eastAsia="Arial" w:hAnsi="Arial"/>
                <w:sz w:val="18"/>
                <w:szCs w:val="18"/>
                <w:color w:val="auto"/>
              </w:rPr>
              <w:t>Weighted average current interest rate on senior secured loans</w:t>
            </w:r>
          </w:p>
        </w:tc>
        <w:tc>
          <w:tcPr>
            <w:tcW w:w="16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5.2%</w:t>
            </w:r>
          </w:p>
        </w:tc>
      </w:tr>
      <w:tr>
        <w:trPr>
          <w:trHeight w:val="216"/>
        </w:trPr>
        <w:tc>
          <w:tcPr>
            <w:tcW w:w="6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Number of borrowers in CSLLF</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45</w:t>
            </w:r>
          </w:p>
        </w:tc>
      </w:tr>
      <w:tr>
        <w:trPr>
          <w:trHeight w:val="257"/>
        </w:trPr>
        <w:tc>
          <w:tcPr>
            <w:tcW w:w="650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Largest portfolio company investment</w:t>
            </w:r>
            <w:r>
              <w:rPr>
                <w:rFonts w:ascii="Arial" w:cs="Arial" w:eastAsia="Arial" w:hAnsi="Arial"/>
                <w:sz w:val="29"/>
                <w:szCs w:val="29"/>
                <w:color w:val="auto"/>
                <w:vertAlign w:val="superscript"/>
              </w:rPr>
              <w:t>(1)</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2,985</w:t>
            </w:r>
          </w:p>
        </w:tc>
      </w:tr>
      <w:tr>
        <w:trPr>
          <w:trHeight w:val="257"/>
        </w:trPr>
        <w:tc>
          <w:tcPr>
            <w:tcW w:w="650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Total of five largest portfolio company investments</w:t>
            </w:r>
            <w:r>
              <w:rPr>
                <w:rFonts w:ascii="Arial" w:cs="Arial" w:eastAsia="Arial" w:hAnsi="Arial"/>
                <w:sz w:val="29"/>
                <w:szCs w:val="29"/>
                <w:color w:val="auto"/>
                <w:vertAlign w:val="superscript"/>
              </w:rPr>
              <w:t>(1)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8"/>
              </w:rPr>
              <w:t>13,424</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Based on principal amount outstanding at period end.</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4" w:name="page135"/>
    <w:bookmarkEnd w:id="13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TRS reference assets as of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614870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1487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118110</wp:posOffset>
            </wp:positionV>
            <wp:extent cx="614870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Current</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vMerge w:val="restart"/>
          </w:tcPr>
          <w:p>
            <w:pPr>
              <w:jc w:val="right"/>
              <w:ind w:right="105"/>
              <w:spacing w:after="0"/>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8"/>
              <w:spacing w:after="0"/>
              <w:rPr>
                <w:sz w:val="20"/>
                <w:szCs w:val="20"/>
                <w:color w:val="auto"/>
              </w:rPr>
            </w:pPr>
            <w:r>
              <w:rPr>
                <w:rFonts w:ascii="Arial" w:cs="Arial" w:eastAsia="Arial" w:hAnsi="Arial"/>
                <w:sz w:val="13"/>
                <w:szCs w:val="13"/>
                <w:b w:val="1"/>
                <w:bCs w:val="1"/>
                <w:color w:val="auto"/>
                <w:w w:val="88"/>
              </w:rPr>
              <w:t>Unrealized</w:t>
            </w: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Appreciation/</w:t>
            </w:r>
          </w:p>
        </w:tc>
        <w:tc>
          <w:tcPr>
            <w:tcW w:w="0" w:type="dxa"/>
            <w:vAlign w:val="bottom"/>
          </w:tcPr>
          <w:p>
            <w:pPr>
              <w:spacing w:after="0"/>
              <w:rPr>
                <w:sz w:val="1"/>
                <w:szCs w:val="1"/>
                <w:color w:val="auto"/>
              </w:rPr>
            </w:pPr>
          </w:p>
        </w:tc>
      </w:tr>
      <w:tr>
        <w:trPr>
          <w:trHeight w:val="105"/>
        </w:trPr>
        <w:tc>
          <w:tcPr>
            <w:tcW w:w="10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5"/>
              </w:rPr>
              <w:t>Portfolio Company</w:t>
            </w:r>
          </w:p>
        </w:tc>
        <w:tc>
          <w:tcPr>
            <w:tcW w:w="1020" w:type="dxa"/>
            <w:vAlign w:val="bottom"/>
          </w:tcPr>
          <w:p>
            <w:pPr>
              <w:jc w:val="right"/>
              <w:ind w:right="848"/>
              <w:spacing w:after="0" w:line="106" w:lineRule="exact"/>
              <w:rPr>
                <w:sz w:val="20"/>
                <w:szCs w:val="20"/>
                <w:color w:val="auto"/>
              </w:rPr>
            </w:pPr>
            <w:r>
              <w:rPr>
                <w:rFonts w:ascii="Arial" w:cs="Arial" w:eastAsia="Arial" w:hAnsi="Arial"/>
                <w:sz w:val="10"/>
                <w:szCs w:val="10"/>
                <w:b w:val="1"/>
                <w:bCs w:val="1"/>
                <w:color w:val="auto"/>
                <w:w w:val="81"/>
              </w:rPr>
              <w:t>(4)</w:t>
            </w:r>
          </w:p>
        </w:tc>
        <w:tc>
          <w:tcPr>
            <w:tcW w:w="40" w:type="dxa"/>
            <w:vAlign w:val="bottom"/>
          </w:tcPr>
          <w:p>
            <w:pPr>
              <w:spacing w:after="0"/>
              <w:rPr>
                <w:sz w:val="9"/>
                <w:szCs w:val="9"/>
                <w:color w:val="auto"/>
              </w:rPr>
            </w:pPr>
          </w:p>
        </w:tc>
        <w:tc>
          <w:tcPr>
            <w:tcW w:w="224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Business Description</w:t>
            </w:r>
          </w:p>
        </w:tc>
        <w:tc>
          <w:tcPr>
            <w:tcW w:w="40" w:type="dxa"/>
            <w:vAlign w:val="bottom"/>
          </w:tcPr>
          <w:p>
            <w:pPr>
              <w:spacing w:after="0"/>
              <w:rPr>
                <w:sz w:val="9"/>
                <w:szCs w:val="9"/>
                <w:color w:val="auto"/>
              </w:rPr>
            </w:pPr>
          </w:p>
        </w:tc>
        <w:tc>
          <w:tcPr>
            <w:tcW w:w="11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Maturity Date</w:t>
            </w:r>
          </w:p>
        </w:tc>
        <w:tc>
          <w:tcPr>
            <w:tcW w:w="4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Interest Rate</w:t>
            </w:r>
          </w:p>
        </w:tc>
        <w:tc>
          <w:tcPr>
            <w:tcW w:w="560" w:type="dxa"/>
            <w:vAlign w:val="bottom"/>
          </w:tcPr>
          <w:p>
            <w:pPr>
              <w:jc w:val="right"/>
              <w:ind w:right="268"/>
              <w:spacing w:after="0" w:line="106" w:lineRule="exact"/>
              <w:rPr>
                <w:sz w:val="20"/>
                <w:szCs w:val="20"/>
                <w:color w:val="auto"/>
              </w:rPr>
            </w:pPr>
            <w:r>
              <w:rPr>
                <w:rFonts w:ascii="Arial" w:cs="Arial" w:eastAsia="Arial" w:hAnsi="Arial"/>
                <w:sz w:val="10"/>
                <w:szCs w:val="10"/>
                <w:b w:val="1"/>
                <w:bCs w:val="1"/>
                <w:color w:val="auto"/>
                <w:w w:val="89"/>
              </w:rPr>
              <w:t>(2)(6)</w:t>
            </w:r>
          </w:p>
        </w:tc>
        <w:tc>
          <w:tcPr>
            <w:tcW w:w="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4"/>
              </w:rPr>
              <w:t>Principal</w:t>
            </w:r>
          </w:p>
        </w:tc>
        <w:tc>
          <w:tcPr>
            <w:tcW w:w="40" w:type="dxa"/>
            <w:vAlign w:val="bottom"/>
          </w:tcPr>
          <w:p>
            <w:pPr>
              <w:spacing w:after="0"/>
              <w:rPr>
                <w:sz w:val="9"/>
                <w:szCs w:val="9"/>
                <w:color w:val="auto"/>
              </w:rPr>
            </w:pPr>
          </w:p>
        </w:tc>
        <w:tc>
          <w:tcPr>
            <w:tcW w:w="5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Cost</w:t>
            </w:r>
          </w:p>
        </w:tc>
        <w:tc>
          <w:tcPr>
            <w:tcW w:w="620" w:type="dxa"/>
            <w:vAlign w:val="bottom"/>
            <w:gridSpan w:val="2"/>
          </w:tcPr>
          <w:p>
            <w:pPr>
              <w:jc w:val="right"/>
              <w:ind w:right="25"/>
              <w:spacing w:after="0" w:line="106" w:lineRule="exact"/>
              <w:rPr>
                <w:sz w:val="20"/>
                <w:szCs w:val="20"/>
                <w:color w:val="auto"/>
              </w:rPr>
            </w:pPr>
            <w:r>
              <w:rPr>
                <w:rFonts w:ascii="Arial" w:cs="Arial" w:eastAsia="Arial" w:hAnsi="Arial"/>
                <w:sz w:val="10"/>
                <w:szCs w:val="10"/>
                <w:b w:val="1"/>
                <w:bCs w:val="1"/>
                <w:color w:val="auto"/>
              </w:rPr>
              <w:t>(1)</w:t>
            </w: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40" w:type="dxa"/>
            <w:vAlign w:val="bottom"/>
            <w:tcBorders>
              <w:bottom w:val="single" w:sz="8" w:color="auto"/>
            </w:tcBorders>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240" w:type="dxa"/>
            <w:vAlign w:val="bottom"/>
            <w:tcBorders>
              <w:bottom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bottom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bottom w:val="single" w:sz="8" w:color="auto"/>
            </w:tcBorders>
          </w:tcPr>
          <w:p>
            <w:pPr>
              <w:jc w:val="right"/>
              <w:ind w:right="145"/>
              <w:spacing w:after="0" w:line="81" w:lineRule="exact"/>
              <w:rPr>
                <w:sz w:val="20"/>
                <w:szCs w:val="20"/>
                <w:color w:val="auto"/>
              </w:rPr>
            </w:pPr>
            <w:r>
              <w:rPr>
                <w:rFonts w:ascii="Arial" w:cs="Arial" w:eastAsia="Arial" w:hAnsi="Arial"/>
                <w:sz w:val="9"/>
                <w:szCs w:val="9"/>
                <w:b w:val="1"/>
                <w:bCs w:val="1"/>
                <w:color w:val="auto"/>
              </w:rPr>
              <w:t>Value</w:t>
            </w:r>
          </w:p>
        </w:tc>
        <w:tc>
          <w:tcPr>
            <w:tcW w:w="40" w:type="dxa"/>
            <w:vAlign w:val="bottom"/>
          </w:tcPr>
          <w:p>
            <w:pPr>
              <w:spacing w:after="0"/>
              <w:rPr>
                <w:sz w:val="7"/>
                <w:szCs w:val="7"/>
                <w:color w:val="auto"/>
              </w:rPr>
            </w:pPr>
          </w:p>
        </w:tc>
        <w:tc>
          <w:tcPr>
            <w:tcW w:w="780" w:type="dxa"/>
            <w:vAlign w:val="bottom"/>
            <w:tcBorders>
              <w:bottom w:val="single" w:sz="8" w:color="auto"/>
            </w:tcBorders>
            <w:gridSpan w:val="2"/>
          </w:tcPr>
          <w:p>
            <w:pPr>
              <w:jc w:val="center"/>
              <w:spacing w:after="0" w:line="81" w:lineRule="exact"/>
              <w:rPr>
                <w:sz w:val="20"/>
                <w:szCs w:val="20"/>
                <w:color w:val="auto"/>
              </w:rPr>
            </w:pPr>
            <w:r>
              <w:rPr>
                <w:rFonts w:ascii="Arial" w:cs="Arial" w:eastAsia="Arial" w:hAnsi="Arial"/>
                <w:sz w:val="9"/>
                <w:szCs w:val="9"/>
                <w:b w:val="1"/>
                <w:bCs w:val="1"/>
                <w:color w:val="auto"/>
              </w:rPr>
              <w:t>(Depreciation)</w:t>
            </w:r>
          </w:p>
        </w:tc>
        <w:tc>
          <w:tcPr>
            <w:tcW w:w="0" w:type="dxa"/>
            <w:vAlign w:val="bottom"/>
          </w:tcPr>
          <w:p>
            <w:pPr>
              <w:spacing w:after="0"/>
              <w:rPr>
                <w:sz w:val="1"/>
                <w:szCs w:val="1"/>
                <w:color w:val="auto"/>
              </w:rPr>
            </w:pPr>
          </w:p>
        </w:tc>
      </w:tr>
      <w:tr>
        <w:trPr>
          <w:trHeight w:val="123"/>
        </w:trPr>
        <w:tc>
          <w:tcPr>
            <w:tcW w:w="206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21st Century Oncology, Inc.</w:t>
            </w:r>
          </w:p>
        </w:tc>
        <w:tc>
          <w:tcPr>
            <w:tcW w:w="40" w:type="dxa"/>
            <w:vAlign w:val="bottom"/>
          </w:tcPr>
          <w:p>
            <w:pPr>
              <w:spacing w:after="0"/>
              <w:rPr>
                <w:sz w:val="10"/>
                <w:szCs w:val="10"/>
                <w:color w:val="auto"/>
              </w:rPr>
            </w:pPr>
          </w:p>
        </w:tc>
        <w:tc>
          <w:tcPr>
            <w:tcW w:w="2240" w:type="dxa"/>
            <w:vAlign w:val="bottom"/>
          </w:tcPr>
          <w:p>
            <w:pPr>
              <w:ind w:left="80"/>
              <w:spacing w:after="0" w:line="123"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6.5% (3 Month LIBOR</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60" w:type="dxa"/>
            <w:vAlign w:val="bottom"/>
            <w:gridSpan w:val="2"/>
            <w:vMerge w:val="restart"/>
          </w:tcPr>
          <w:p>
            <w:pPr>
              <w:ind w:left="20"/>
              <w:spacing w:after="0"/>
              <w:rPr>
                <w:sz w:val="20"/>
                <w:szCs w:val="20"/>
                <w:color w:val="auto"/>
              </w:rPr>
            </w:pPr>
            <w:r>
              <w:rPr>
                <w:rFonts w:ascii="Arial" w:cs="Arial" w:eastAsia="Arial" w:hAnsi="Arial"/>
                <w:sz w:val="14"/>
                <w:szCs w:val="14"/>
                <w:color w:val="auto"/>
              </w:rPr>
              <w:t>ABG Intermediate Holdings 2,</w:t>
            </w: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5"/>
                <w:szCs w:val="15"/>
                <w:color w:val="auto"/>
              </w:rPr>
            </w:pPr>
          </w:p>
        </w:tc>
        <w:tc>
          <w:tcPr>
            <w:tcW w:w="1140" w:type="dxa"/>
            <w:vAlign w:val="bottom"/>
          </w:tcPr>
          <w:p>
            <w:pPr>
              <w:ind w:left="80"/>
              <w:spacing w:after="0"/>
              <w:rPr>
                <w:sz w:val="20"/>
                <w:szCs w:val="20"/>
                <w:color w:val="auto"/>
              </w:rPr>
            </w:pPr>
            <w:r>
              <w:rPr>
                <w:rFonts w:ascii="Arial" w:cs="Arial" w:eastAsia="Arial" w:hAnsi="Arial"/>
                <w:sz w:val="14"/>
                <w:szCs w:val="14"/>
                <w:color w:val="auto"/>
              </w:rPr>
              <w:t>April, 2022</w:t>
            </w:r>
          </w:p>
        </w:tc>
        <w:tc>
          <w:tcPr>
            <w:tcW w:w="4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color w:val="auto"/>
              </w:rPr>
              <w:t>+ 5.5%, 1% floor)</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  1,990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$ 1,970</w:t>
            </w:r>
          </w:p>
        </w:tc>
        <w:tc>
          <w:tcPr>
            <w:tcW w:w="620" w:type="dxa"/>
            <w:vAlign w:val="bottom"/>
            <w:gridSpan w:val="2"/>
          </w:tcPr>
          <w:p>
            <w:pPr>
              <w:jc w:val="right"/>
              <w:ind w:right="5"/>
              <w:spacing w:after="0"/>
              <w:rPr>
                <w:sz w:val="20"/>
                <w:szCs w:val="20"/>
                <w:color w:val="auto"/>
              </w:rPr>
            </w:pPr>
            <w:r>
              <w:rPr>
                <w:rFonts w:ascii="Arial" w:cs="Arial" w:eastAsia="Arial" w:hAnsi="Arial"/>
                <w:sz w:val="14"/>
                <w:szCs w:val="14"/>
                <w:color w:val="auto"/>
              </w:rPr>
              <w:t>$  1,662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7"/>
        </w:trPr>
        <w:tc>
          <w:tcPr>
            <w:tcW w:w="20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7" w:lineRule="exact"/>
              <w:rPr>
                <w:sz w:val="20"/>
                <w:szCs w:val="20"/>
                <w:color w:val="auto"/>
              </w:rPr>
            </w:pPr>
            <w:r>
              <w:rPr>
                <w:rFonts w:ascii="Arial" w:cs="Arial" w:eastAsia="Arial" w:hAnsi="Arial"/>
                <w:sz w:val="14"/>
                <w:szCs w:val="14"/>
                <w:color w:val="auto"/>
              </w:rPr>
              <w:t>5.5%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Pr>
          <w:p>
            <w:pPr>
              <w:ind w:left="200"/>
              <w:spacing w:after="0" w:line="157" w:lineRule="exact"/>
              <w:rPr>
                <w:sz w:val="20"/>
                <w:szCs w:val="20"/>
                <w:color w:val="auto"/>
              </w:rPr>
            </w:pPr>
            <w:r>
              <w:rPr>
                <w:rFonts w:ascii="Arial" w:cs="Arial" w:eastAsia="Arial" w:hAnsi="Arial"/>
                <w:sz w:val="12"/>
                <w:szCs w:val="12"/>
                <w:color w:val="auto"/>
              </w:rPr>
              <w:t>LLC</w:t>
            </w:r>
            <w:r>
              <w:rPr>
                <w:rFonts w:ascii="Arial" w:cs="Arial" w:eastAsia="Arial" w:hAnsi="Arial"/>
                <w:sz w:val="18"/>
                <w:szCs w:val="18"/>
                <w:color w:val="auto"/>
                <w:vertAlign w:val="superscript"/>
              </w:rPr>
              <w:t>(5)</w:t>
            </w: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ind w:left="80"/>
              <w:spacing w:after="0" w:line="157" w:lineRule="exact"/>
              <w:rPr>
                <w:sz w:val="20"/>
                <w:szCs w:val="20"/>
                <w:color w:val="auto"/>
              </w:rPr>
            </w:pPr>
            <w:r>
              <w:rPr>
                <w:rFonts w:ascii="Arial" w:cs="Arial" w:eastAsia="Arial" w:hAnsi="Arial"/>
                <w:sz w:val="14"/>
                <w:szCs w:val="14"/>
                <w:color w:val="auto"/>
              </w:rPr>
              <w:t>Textiles and Leather</w:t>
            </w:r>
          </w:p>
        </w:tc>
        <w:tc>
          <w:tcPr>
            <w:tcW w:w="40" w:type="dxa"/>
            <w:vAlign w:val="bottom"/>
          </w:tcPr>
          <w:p>
            <w:pPr>
              <w:spacing w:after="0"/>
              <w:rPr>
                <w:sz w:val="13"/>
                <w:szCs w:val="13"/>
                <w:color w:val="auto"/>
              </w:rPr>
            </w:pPr>
          </w:p>
        </w:tc>
        <w:tc>
          <w:tcPr>
            <w:tcW w:w="1140" w:type="dxa"/>
            <w:vAlign w:val="bottom"/>
          </w:tcPr>
          <w:p>
            <w:pPr>
              <w:ind w:left="80"/>
              <w:spacing w:after="0" w:line="157" w:lineRule="exact"/>
              <w:rPr>
                <w:sz w:val="20"/>
                <w:szCs w:val="20"/>
                <w:color w:val="auto"/>
              </w:rPr>
            </w:pPr>
            <w:r>
              <w:rPr>
                <w:rFonts w:ascii="Arial" w:cs="Arial" w:eastAsia="Arial" w:hAnsi="Arial"/>
                <w:sz w:val="14"/>
                <w:szCs w:val="14"/>
                <w:color w:val="auto"/>
              </w:rPr>
              <w:t>May, 2021</w:t>
            </w:r>
          </w:p>
        </w:tc>
        <w:tc>
          <w:tcPr>
            <w:tcW w:w="40" w:type="dxa"/>
            <w:vAlign w:val="bottom"/>
          </w:tcPr>
          <w:p>
            <w:pPr>
              <w:spacing w:after="0"/>
              <w:rPr>
                <w:sz w:val="13"/>
                <w:szCs w:val="13"/>
                <w:color w:val="auto"/>
              </w:rPr>
            </w:pPr>
          </w:p>
        </w:tc>
        <w:tc>
          <w:tcPr>
            <w:tcW w:w="158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+ 4.5%, 1% floor)</w:t>
            </w:r>
          </w:p>
        </w:tc>
        <w:tc>
          <w:tcPr>
            <w:tcW w:w="6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1,733</w:t>
            </w:r>
          </w:p>
        </w:tc>
        <w:tc>
          <w:tcPr>
            <w:tcW w:w="5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1,715</w:t>
            </w:r>
          </w:p>
        </w:tc>
        <w:tc>
          <w:tcPr>
            <w:tcW w:w="620" w:type="dxa"/>
            <w:vAlign w:val="bottom"/>
            <w:gridSpan w:val="2"/>
          </w:tcPr>
          <w:p>
            <w:pPr>
              <w:jc w:val="right"/>
              <w:ind w:right="5"/>
              <w:spacing w:after="0" w:line="157" w:lineRule="exact"/>
              <w:rPr>
                <w:sz w:val="20"/>
                <w:szCs w:val="20"/>
                <w:color w:val="auto"/>
              </w:rPr>
            </w:pPr>
            <w:r>
              <w:rPr>
                <w:rFonts w:ascii="Arial" w:cs="Arial" w:eastAsia="Arial" w:hAnsi="Arial"/>
                <w:sz w:val="14"/>
                <w:szCs w:val="14"/>
                <w:color w:val="auto"/>
              </w:rPr>
              <w:t>1,698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American Rock Salt Company,</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Mining, Steel, Iron and Non</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4.75%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200"/>
              <w:spacing w:after="0" w:line="149" w:lineRule="exact"/>
              <w:rPr>
                <w:sz w:val="20"/>
                <w:szCs w:val="20"/>
                <w:color w:val="auto"/>
              </w:rPr>
            </w:pPr>
            <w:r>
              <w:rPr>
                <w:rFonts w:ascii="Arial" w:cs="Arial" w:eastAsia="Arial" w:hAnsi="Arial"/>
                <w:sz w:val="14"/>
                <w:szCs w:val="14"/>
                <w:color w:val="auto"/>
              </w:rPr>
              <w:t>LLC</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Precious Metals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May, 2021</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+ 3.75%,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1,985</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1,892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Anchor Glass Container Corp</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Containers, Packaging and Glass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July,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+ 3.5%,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482</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479</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479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Ardent Legacy Acquisitions, Inc.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August, 2021</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+ 5.5%,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Aspen Dental Management, Inc.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April,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1,493</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1,487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1040" w:type="dxa"/>
            <w:vAlign w:val="bottom"/>
          </w:tcPr>
          <w:p>
            <w:pPr>
              <w:ind w:left="20"/>
              <w:spacing w:after="0" w:line="149" w:lineRule="exact"/>
              <w:rPr>
                <w:sz w:val="20"/>
                <w:szCs w:val="20"/>
                <w:color w:val="auto"/>
              </w:rPr>
            </w:pPr>
            <w:r>
              <w:rPr>
                <w:rFonts w:ascii="Arial" w:cs="Arial" w:eastAsia="Arial" w:hAnsi="Arial"/>
                <w:sz w:val="14"/>
                <w:szCs w:val="14"/>
                <w:color w:val="auto"/>
              </w:rPr>
              <w:t>Asurion, LLC</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5.0%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Insurance</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August,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+ 4.0%,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2,239</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2,228</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2,043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Bass Pro Group,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4.0%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Retail Stores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June, 2020</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+ 3.25%, .75%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992</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989</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951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1040" w:type="dxa"/>
            <w:vAlign w:val="bottom"/>
          </w:tcPr>
          <w:p>
            <w:pPr>
              <w:ind w:left="20"/>
              <w:spacing w:after="0" w:line="149" w:lineRule="exact"/>
              <w:rPr>
                <w:sz w:val="20"/>
                <w:szCs w:val="20"/>
                <w:color w:val="auto"/>
              </w:rPr>
            </w:pPr>
            <w:r>
              <w:rPr>
                <w:rFonts w:ascii="Arial" w:cs="Arial" w:eastAsia="Arial" w:hAnsi="Arial"/>
                <w:sz w:val="14"/>
                <w:szCs w:val="14"/>
                <w:color w:val="auto"/>
              </w:rPr>
              <w:t>Belk, Inc.</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5.75% (1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Retail Stores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December,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+ 4.75%,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1,780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1,758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Bioplan USA,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5.75% (1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Diversified/Conglomerate Service</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w w:val="96"/>
              </w:rPr>
              <w:t>September, 2021</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+ 4.75%,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992</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843</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831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Blue Coat Systems,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4.5% (2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Electronics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May,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+ 3.5%,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1,928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Brock Holdings III,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6.0%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Buildings and Real Estate</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March, 2017</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+ 4.5%, 1.5%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1,488</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1,383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8"/>
              </w:rPr>
              <w:t>CDS U.S. Intermediate Holdings,</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5.0%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200"/>
              <w:spacing w:after="0" w:line="149" w:lineRule="exact"/>
              <w:rPr>
                <w:sz w:val="20"/>
                <w:szCs w:val="20"/>
                <w:color w:val="auto"/>
              </w:rPr>
            </w:pPr>
            <w:r>
              <w:rPr>
                <w:rFonts w:ascii="Arial" w:cs="Arial" w:eastAsia="Arial" w:hAnsi="Arial"/>
                <w:sz w:val="14"/>
                <w:szCs w:val="14"/>
                <w:color w:val="auto"/>
              </w:rPr>
              <w:t>Inc.</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5"/>
              </w:rPr>
              <w:t>Leisure, Amusement, Entertainment</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July,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+ 4.0%,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997</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940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3"/>
              </w:rPr>
              <w:t>Chelsea Petroleum Products I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5.25% (1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Oil &amp; Gas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October,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+ 4.25%,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485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4"/>
              </w:rPr>
              <w:t>Communications Sales &amp; Leasing,</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5.0% (1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200"/>
              <w:spacing w:after="0" w:line="149" w:lineRule="exact"/>
              <w:rPr>
                <w:sz w:val="20"/>
                <w:szCs w:val="20"/>
                <w:color w:val="auto"/>
              </w:rPr>
            </w:pPr>
            <w:r>
              <w:rPr>
                <w:rFonts w:ascii="Arial" w:cs="Arial" w:eastAsia="Arial" w:hAnsi="Arial"/>
                <w:sz w:val="14"/>
                <w:szCs w:val="14"/>
                <w:color w:val="auto"/>
              </w:rPr>
              <w:t>Inc.</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Finance</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October,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+ 4.0%,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1,838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Concordia Healthcare Corp</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5.25%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October, 2021</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+ 4.25%,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958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Convatec Healthcare E S.A.</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4.25% (6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June, 2020</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+ 3.25%,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1,988</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1,951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Emerging Markets</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6.75%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Communications, LLC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July, 2021</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+ 5.75%,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2,487</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2,332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Eresearch Technology, Inc.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6.0%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May,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+ 5.0%,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2,487</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2,434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Genoa Healthcare Group, LLC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May,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+ 3.5%,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1,930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Hostess Brands,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Beverage, Food and Tobacco</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August,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+ 3.5%,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1,983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IMG Worldwide,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5.25%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5"/>
              </w:rPr>
              <w:t>Leisure, Amusement, Entertainment</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May, 2021</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+ 4.25%,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1,953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Infiltrator Systems,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5.25%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Containers, Packaging and Glass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May,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+ 4.25%,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988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Informatica Corporation</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Electronics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August,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+ 3.5%,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2,494</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2,489</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2,394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Integra Telecom,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5.25%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August, 2020</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+ 4.25%,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2,977</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2,963</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2,873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JILL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6.0%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Retail Stores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May,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+ 5.0%, 1%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LPL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4.75% (2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Finance</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November,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+ 4.0%, .75% floor)</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1,485</w:t>
            </w:r>
          </w:p>
        </w:tc>
        <w:tc>
          <w:tcPr>
            <w:tcW w:w="62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1,466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1040" w:type="dxa"/>
            <w:vAlign w:val="bottom"/>
          </w:tcPr>
          <w:p>
            <w:pPr>
              <w:ind w:left="20"/>
              <w:spacing w:after="0" w:line="149" w:lineRule="exact"/>
              <w:rPr>
                <w:sz w:val="20"/>
                <w:szCs w:val="20"/>
                <w:color w:val="auto"/>
              </w:rPr>
            </w:pPr>
            <w:r>
              <w:rPr>
                <w:rFonts w:ascii="Arial" w:cs="Arial" w:eastAsia="Arial" w:hAnsi="Arial"/>
                <w:sz w:val="14"/>
                <w:szCs w:val="14"/>
                <w:color w:val="auto"/>
              </w:rPr>
              <w:t>LS Deco, LLC</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5.5% (3 Month LIBOR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Buildings and Real Estate</w:t>
            </w:r>
          </w:p>
        </w:tc>
        <w:tc>
          <w:tcPr>
            <w:tcW w:w="40" w:type="dxa"/>
            <w:vAlign w:val="bottom"/>
          </w:tcPr>
          <w:p>
            <w:pPr>
              <w:spacing w:after="0"/>
              <w:rPr>
                <w:sz w:val="15"/>
                <w:szCs w:val="15"/>
                <w:color w:val="auto"/>
              </w:rPr>
            </w:pPr>
          </w:p>
        </w:tc>
        <w:tc>
          <w:tcPr>
            <w:tcW w:w="1140" w:type="dxa"/>
            <w:vAlign w:val="bottom"/>
          </w:tcPr>
          <w:p>
            <w:pPr>
              <w:ind w:left="80"/>
              <w:spacing w:after="0"/>
              <w:rPr>
                <w:sz w:val="20"/>
                <w:szCs w:val="20"/>
                <w:color w:val="auto"/>
              </w:rPr>
            </w:pPr>
            <w:r>
              <w:rPr>
                <w:rFonts w:ascii="Arial" w:cs="Arial" w:eastAsia="Arial" w:hAnsi="Arial"/>
                <w:sz w:val="14"/>
                <w:szCs w:val="14"/>
                <w:color w:val="auto"/>
              </w:rPr>
              <w:t>May, 2022</w:t>
            </w:r>
          </w:p>
        </w:tc>
        <w:tc>
          <w:tcPr>
            <w:tcW w:w="4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color w:val="auto"/>
              </w:rPr>
              <w:t>+ 4.5%, 1% floor)</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1,375</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1,361</w:t>
            </w:r>
          </w:p>
        </w:tc>
        <w:tc>
          <w:tcPr>
            <w:tcW w:w="620" w:type="dxa"/>
            <w:vAlign w:val="bottom"/>
            <w:gridSpan w:val="2"/>
          </w:tcPr>
          <w:p>
            <w:pPr>
              <w:jc w:val="right"/>
              <w:ind w:right="5"/>
              <w:spacing w:after="0"/>
              <w:rPr>
                <w:sz w:val="20"/>
                <w:szCs w:val="20"/>
                <w:color w:val="auto"/>
              </w:rPr>
            </w:pPr>
            <w:r>
              <w:rPr>
                <w:rFonts w:ascii="Arial" w:cs="Arial" w:eastAsia="Arial" w:hAnsi="Arial"/>
                <w:sz w:val="14"/>
                <w:szCs w:val="14"/>
                <w:color w:val="auto"/>
              </w:rPr>
              <w:t>1,334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5" w:name="page136"/>
    <w:bookmarkEnd w:id="13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616585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52070</wp:posOffset>
            </wp:positionV>
            <wp:extent cx="616585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Current</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88"/>
              </w:rPr>
              <w:t>Unrealized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5"/>
            <w:vMerge w:val="restart"/>
          </w:tcPr>
          <w:p>
            <w:pPr>
              <w:jc w:val="right"/>
              <w:ind w:right="20"/>
              <w:spacing w:after="0"/>
              <w:rPr>
                <w:sz w:val="20"/>
                <w:szCs w:val="20"/>
                <w:color w:val="auto"/>
              </w:rPr>
            </w:pPr>
            <w:r>
              <w:rPr>
                <w:rFonts w:ascii="Arial" w:cs="Arial" w:eastAsia="Arial" w:hAnsi="Arial"/>
                <w:sz w:val="13"/>
                <w:szCs w:val="13"/>
                <w:b w:val="1"/>
                <w:bCs w:val="1"/>
                <w:color w:val="auto"/>
                <w:w w:val="89"/>
              </w:rPr>
              <w:t>Appreciation/</w:t>
            </w:r>
          </w:p>
        </w:tc>
        <w:tc>
          <w:tcPr>
            <w:tcW w:w="0" w:type="dxa"/>
            <w:vAlign w:val="bottom"/>
          </w:tcPr>
          <w:p>
            <w:pPr>
              <w:spacing w:after="0"/>
              <w:rPr>
                <w:sz w:val="1"/>
                <w:szCs w:val="1"/>
                <w:color w:val="auto"/>
              </w:rPr>
            </w:pPr>
          </w:p>
        </w:tc>
      </w:tr>
      <w:tr>
        <w:trPr>
          <w:trHeight w:val="105"/>
        </w:trPr>
        <w:tc>
          <w:tcPr>
            <w:tcW w:w="1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85"/>
              </w:rPr>
              <w:t>Portfolio Company</w:t>
            </w:r>
          </w:p>
        </w:tc>
        <w:tc>
          <w:tcPr>
            <w:tcW w:w="1020" w:type="dxa"/>
            <w:vAlign w:val="bottom"/>
          </w:tcPr>
          <w:p>
            <w:pPr>
              <w:jc w:val="right"/>
              <w:ind w:right="848"/>
              <w:spacing w:after="0" w:line="106" w:lineRule="exact"/>
              <w:rPr>
                <w:sz w:val="20"/>
                <w:szCs w:val="20"/>
                <w:color w:val="auto"/>
              </w:rPr>
            </w:pPr>
            <w:r>
              <w:rPr>
                <w:rFonts w:ascii="Arial" w:cs="Arial" w:eastAsia="Arial" w:hAnsi="Arial"/>
                <w:sz w:val="10"/>
                <w:szCs w:val="10"/>
                <w:b w:val="1"/>
                <w:bCs w:val="1"/>
                <w:color w:val="auto"/>
                <w:w w:val="81"/>
              </w:rPr>
              <w:t>(4)</w:t>
            </w:r>
          </w:p>
        </w:tc>
        <w:tc>
          <w:tcPr>
            <w:tcW w:w="40" w:type="dxa"/>
            <w:vAlign w:val="bottom"/>
          </w:tcPr>
          <w:p>
            <w:pPr>
              <w:spacing w:after="0"/>
              <w:rPr>
                <w:sz w:val="9"/>
                <w:szCs w:val="9"/>
                <w:color w:val="auto"/>
              </w:rPr>
            </w:pPr>
          </w:p>
        </w:tc>
        <w:tc>
          <w:tcPr>
            <w:tcW w:w="224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Business Description</w:t>
            </w:r>
          </w:p>
        </w:tc>
        <w:tc>
          <w:tcPr>
            <w:tcW w:w="40" w:type="dxa"/>
            <w:vAlign w:val="bottom"/>
          </w:tcPr>
          <w:p>
            <w:pPr>
              <w:spacing w:after="0"/>
              <w:rPr>
                <w:sz w:val="9"/>
                <w:szCs w:val="9"/>
                <w:color w:val="auto"/>
              </w:rPr>
            </w:pPr>
          </w:p>
        </w:tc>
        <w:tc>
          <w:tcPr>
            <w:tcW w:w="11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Maturity Date</w:t>
            </w:r>
          </w:p>
        </w:tc>
        <w:tc>
          <w:tcPr>
            <w:tcW w:w="4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Interest Rate</w:t>
            </w:r>
          </w:p>
        </w:tc>
        <w:tc>
          <w:tcPr>
            <w:tcW w:w="560" w:type="dxa"/>
            <w:vAlign w:val="bottom"/>
          </w:tcPr>
          <w:p>
            <w:pPr>
              <w:jc w:val="right"/>
              <w:ind w:right="255"/>
              <w:spacing w:after="0" w:line="106" w:lineRule="exact"/>
              <w:rPr>
                <w:sz w:val="20"/>
                <w:szCs w:val="20"/>
                <w:color w:val="auto"/>
              </w:rPr>
            </w:pPr>
            <w:r>
              <w:rPr>
                <w:rFonts w:ascii="Arial" w:cs="Arial" w:eastAsia="Arial" w:hAnsi="Arial"/>
                <w:sz w:val="10"/>
                <w:szCs w:val="10"/>
                <w:b w:val="1"/>
                <w:bCs w:val="1"/>
                <w:color w:val="auto"/>
                <w:w w:val="89"/>
              </w:rPr>
              <w:t>(2)(6)</w:t>
            </w:r>
          </w:p>
        </w:tc>
        <w:tc>
          <w:tcPr>
            <w:tcW w:w="40" w:type="dxa"/>
            <w:vAlign w:val="bottom"/>
          </w:tcPr>
          <w:p>
            <w:pPr>
              <w:spacing w:after="0"/>
              <w:rPr>
                <w:sz w:val="9"/>
                <w:szCs w:val="9"/>
                <w:color w:val="auto"/>
              </w:rPr>
            </w:pPr>
          </w:p>
        </w:tc>
        <w:tc>
          <w:tcPr>
            <w:tcW w:w="56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40" w:type="dxa"/>
            <w:vAlign w:val="bottom"/>
            <w:tcBorders>
              <w:bottom w:val="single" w:sz="8" w:color="auto"/>
            </w:tcBorders>
            <w:gridSpan w:val="3"/>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240" w:type="dxa"/>
            <w:vAlign w:val="bottom"/>
            <w:tcBorders>
              <w:bottom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Borders>
              <w:bottom w:val="single" w:sz="8" w:color="auto"/>
            </w:tcBorders>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jc w:val="right"/>
              <w:ind w:right="180"/>
              <w:spacing w:after="0" w:line="81" w:lineRule="exact"/>
              <w:rPr>
                <w:sz w:val="20"/>
                <w:szCs w:val="20"/>
                <w:color w:val="auto"/>
              </w:rPr>
            </w:pPr>
            <w:r>
              <w:rPr>
                <w:rFonts w:ascii="Arial" w:cs="Arial" w:eastAsia="Arial" w:hAnsi="Arial"/>
                <w:sz w:val="9"/>
                <w:szCs w:val="9"/>
                <w:b w:val="1"/>
                <w:bCs w:val="1"/>
                <w:color w:val="auto"/>
              </w:rPr>
              <w:t>Value</w:t>
            </w:r>
          </w:p>
        </w:tc>
        <w:tc>
          <w:tcPr>
            <w:tcW w:w="40" w:type="dxa"/>
            <w:vAlign w:val="bottom"/>
          </w:tcPr>
          <w:p>
            <w:pPr>
              <w:spacing w:after="0"/>
              <w:rPr>
                <w:sz w:val="7"/>
                <w:szCs w:val="7"/>
                <w:color w:val="auto"/>
              </w:rPr>
            </w:pPr>
          </w:p>
        </w:tc>
        <w:tc>
          <w:tcPr>
            <w:tcW w:w="780" w:type="dxa"/>
            <w:vAlign w:val="bottom"/>
            <w:tcBorders>
              <w:bottom w:val="single" w:sz="8" w:color="auto"/>
            </w:tcBorders>
            <w:gridSpan w:val="5"/>
          </w:tcPr>
          <w:p>
            <w:pPr>
              <w:jc w:val="right"/>
              <w:spacing w:after="0" w:line="81" w:lineRule="exact"/>
              <w:rPr>
                <w:sz w:val="20"/>
                <w:szCs w:val="20"/>
                <w:color w:val="auto"/>
              </w:rPr>
            </w:pPr>
            <w:r>
              <w:rPr>
                <w:rFonts w:ascii="Arial" w:cs="Arial" w:eastAsia="Arial" w:hAnsi="Arial"/>
                <w:sz w:val="9"/>
                <w:szCs w:val="9"/>
                <w:b w:val="1"/>
                <w:bCs w:val="1"/>
                <w:color w:val="auto"/>
              </w:rPr>
              <w:t>(Depreciation)</w:t>
            </w:r>
          </w:p>
        </w:tc>
        <w:tc>
          <w:tcPr>
            <w:tcW w:w="0" w:type="dxa"/>
            <w:vAlign w:val="bottom"/>
          </w:tcPr>
          <w:p>
            <w:pPr>
              <w:spacing w:after="0"/>
              <w:rPr>
                <w:sz w:val="1"/>
                <w:szCs w:val="1"/>
                <w:color w:val="auto"/>
              </w:rPr>
            </w:pPr>
          </w:p>
        </w:tc>
      </w:tr>
      <w:tr>
        <w:trPr>
          <w:trHeight w:val="123"/>
        </w:trPr>
        <w:tc>
          <w:tcPr>
            <w:tcW w:w="2060" w:type="dxa"/>
            <w:vAlign w:val="bottom"/>
            <w:gridSpan w:val="4"/>
          </w:tcPr>
          <w:p>
            <w:pPr>
              <w:ind w:left="20"/>
              <w:spacing w:after="0" w:line="123" w:lineRule="exact"/>
              <w:rPr>
                <w:sz w:val="20"/>
                <w:szCs w:val="20"/>
                <w:color w:val="auto"/>
              </w:rPr>
            </w:pPr>
            <w:r>
              <w:rPr>
                <w:rFonts w:ascii="Arial" w:cs="Arial" w:eastAsia="Arial" w:hAnsi="Arial"/>
                <w:sz w:val="14"/>
                <w:szCs w:val="14"/>
                <w:color w:val="auto"/>
              </w:rPr>
              <w:t>LTF Merger Sub, Inc.</w:t>
            </w: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4.25% (3 Month LIBOR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5"/>
              </w:rPr>
              <w:t>Leisure, Amusement, Entertainment</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June,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+ 3.25%, 1% floor)</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1,493</w:t>
            </w:r>
          </w:p>
        </w:tc>
        <w:tc>
          <w:tcPr>
            <w:tcW w:w="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1,488</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1,452</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Mitel Networks Corp</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April,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2,985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2,955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2,951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60" w:type="dxa"/>
            <w:vAlign w:val="bottom"/>
            <w:gridSpan w:val="4"/>
          </w:tcPr>
          <w:p>
            <w:pPr>
              <w:ind w:left="20"/>
              <w:spacing w:after="0" w:line="149" w:lineRule="exact"/>
              <w:rPr>
                <w:sz w:val="20"/>
                <w:szCs w:val="20"/>
                <w:color w:val="auto"/>
              </w:rPr>
            </w:pPr>
            <w:r>
              <w:rPr>
                <w:rFonts w:ascii="Arial" w:cs="Arial" w:eastAsia="Arial" w:hAnsi="Arial"/>
                <w:sz w:val="14"/>
                <w:szCs w:val="14"/>
                <w:color w:val="auto"/>
                <w:w w:val="96"/>
              </w:rPr>
              <w:t>Mohegan Tribal Gaming Authority</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5"/>
              </w:rPr>
              <w:t>Leisure, Amusement, Entertainment</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November, 2019</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1,929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1,927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1,881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Navios Maritime Midstream</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Partners, LP</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Cargo Transport</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June, 2020</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1,990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1,970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1,964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10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Novelis, Inc.</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Mining, Steel, Iron and Non</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4.0%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Precious Metals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June,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+ 3.25%, .75%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2,488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2,369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Penn Products Terminals,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4.75%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Cargo Transport</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April,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+ 3.75%,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Pharmaceutical Product</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4.25%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Development Inc.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August,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+ 3.25%,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1,990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Securus Technologies,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5.25%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April, 2020</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+ 4.25%,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49"/>
        </w:trPr>
        <w:tc>
          <w:tcPr>
            <w:tcW w:w="20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Skillsoft Corporation</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5.75% (6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Electronics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April, 2021</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+ 4.75%,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1,990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1,970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1,672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9"/>
        </w:trPr>
        <w:tc>
          <w:tcPr>
            <w:tcW w:w="20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Sterigenics-Nordion Holdings,</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4.25%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LLC</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Childcare</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May,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+ 3.25%,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1,995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1,990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1,935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STG-Fairway Acquisitions,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6.25%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Diversified/Conglomerate Service</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June,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+ 5.25%,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2,486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2,449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Tekni-Plex Incorporated</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Containers, Packaging and Glass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June,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+ 3.5%,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2,487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2,475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Touchtunes Music Corp</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5.75%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Electronics</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May,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+ 4.75%,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1,493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1,485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1,448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TWCC Holding Corp</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5.75% (1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Broadcasting &amp; Entertainment</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February, 2020</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+ 5.0%, .75%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1,985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1,965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1,983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60" w:type="dxa"/>
            <w:vAlign w:val="bottom"/>
            <w:gridSpan w:val="4"/>
          </w:tcPr>
          <w:p>
            <w:pPr>
              <w:ind w:left="20"/>
              <w:spacing w:after="0" w:line="181" w:lineRule="exact"/>
              <w:rPr>
                <w:sz w:val="20"/>
                <w:szCs w:val="20"/>
                <w:color w:val="auto"/>
              </w:rPr>
            </w:pPr>
            <w:r>
              <w:rPr>
                <w:rFonts w:ascii="Arial" w:cs="Arial" w:eastAsia="Arial" w:hAnsi="Arial"/>
                <w:sz w:val="13"/>
                <w:szCs w:val="13"/>
                <w:color w:val="auto"/>
              </w:rPr>
              <w:t>US Renal Care, Inc.</w:t>
            </w:r>
            <w:r>
              <w:rPr>
                <w:rFonts w:ascii="Arial" w:cs="Arial" w:eastAsia="Arial" w:hAnsi="Arial"/>
                <w:sz w:val="20"/>
                <w:szCs w:val="20"/>
                <w:color w:val="auto"/>
                <w:vertAlign w:val="superscript"/>
              </w:rPr>
              <w:t>(3)</w:t>
            </w: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Healthcare, Education and</w:t>
            </w:r>
          </w:p>
        </w:tc>
        <w:tc>
          <w:tcPr>
            <w:tcW w:w="40" w:type="dxa"/>
            <w:vAlign w:val="bottom"/>
          </w:tcPr>
          <w:p>
            <w:pPr>
              <w:spacing w:after="0"/>
              <w:rPr>
                <w:sz w:val="15"/>
                <w:szCs w:val="15"/>
                <w:color w:val="auto"/>
              </w:rPr>
            </w:pPr>
          </w:p>
        </w:tc>
        <w:tc>
          <w:tcPr>
            <w:tcW w:w="1140" w:type="dxa"/>
            <w:vAlign w:val="bottom"/>
            <w:vMerge w:val="restart"/>
          </w:tcPr>
          <w:p>
            <w:pPr>
              <w:ind w:left="80"/>
              <w:spacing w:after="0"/>
              <w:rPr>
                <w:sz w:val="20"/>
                <w:szCs w:val="20"/>
                <w:color w:val="auto"/>
              </w:rPr>
            </w:pPr>
            <w:r>
              <w:rPr>
                <w:rFonts w:ascii="Arial" w:cs="Arial" w:eastAsia="Arial" w:hAnsi="Arial"/>
                <w:sz w:val="14"/>
                <w:szCs w:val="14"/>
                <w:color w:val="auto"/>
              </w:rPr>
              <w:t>November, 2022</w:t>
            </w:r>
          </w:p>
        </w:tc>
        <w:tc>
          <w:tcPr>
            <w:tcW w:w="4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color w:val="auto"/>
              </w:rPr>
              <w:t>5.25% (3 Month LIBOR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1,980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1,980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4"/>
            <w:vMerge w:val="restart"/>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ind w:left="80"/>
              <w:spacing w:after="0" w:line="116" w:lineRule="exact"/>
              <w:rPr>
                <w:sz w:val="20"/>
                <w:szCs w:val="20"/>
                <w:color w:val="auto"/>
              </w:rPr>
            </w:pPr>
            <w:r>
              <w:rPr>
                <w:rFonts w:ascii="Arial" w:cs="Arial" w:eastAsia="Arial" w:hAnsi="Arial"/>
                <w:sz w:val="13"/>
                <w:szCs w:val="13"/>
                <w:color w:val="auto"/>
              </w:rPr>
              <w:t>Childcare</w:t>
            </w:r>
          </w:p>
        </w:tc>
        <w:tc>
          <w:tcPr>
            <w:tcW w:w="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gridSpan w:val="2"/>
          </w:tcPr>
          <w:p>
            <w:pPr>
              <w:ind w:left="80"/>
              <w:spacing w:after="0" w:line="116" w:lineRule="exact"/>
              <w:rPr>
                <w:sz w:val="20"/>
                <w:szCs w:val="20"/>
                <w:color w:val="auto"/>
              </w:rPr>
            </w:pPr>
            <w:r>
              <w:rPr>
                <w:rFonts w:ascii="Arial" w:cs="Arial" w:eastAsia="Arial" w:hAnsi="Arial"/>
                <w:sz w:val="13"/>
                <w:szCs w:val="13"/>
                <w:color w:val="auto"/>
              </w:rPr>
              <w:t>+ 4.25%, 1% floor)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USAGM Holdco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4.75% (2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Diversified/Conglomerate Service</w:t>
            </w:r>
          </w:p>
        </w:tc>
        <w:tc>
          <w:tcPr>
            <w:tcW w:w="4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July, 2022</w:t>
            </w: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+ 3.75%, 1% floor)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10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Zep, Inc.</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5.5% (3 Month LIBOR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Non Durable Consumer Products</w:t>
            </w:r>
          </w:p>
        </w:tc>
        <w:tc>
          <w:tcPr>
            <w:tcW w:w="4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Arial" w:cs="Arial" w:eastAsia="Arial" w:hAnsi="Arial"/>
                <w:sz w:val="14"/>
                <w:szCs w:val="14"/>
                <w:color w:val="auto"/>
              </w:rPr>
              <w:t>June, 2022</w:t>
            </w:r>
          </w:p>
        </w:tc>
        <w:tc>
          <w:tcPr>
            <w:tcW w:w="4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color w:val="auto"/>
              </w:rPr>
              <w:t>+ 4.5%, 1% floor)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995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990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989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w w:val="93"/>
              </w:rPr>
              <w:t>81,201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80,268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77,334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(2,934</w:t>
            </w:r>
          </w:p>
        </w:tc>
        <w:tc>
          <w:tcPr>
            <w:tcW w:w="1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80" w:type="dxa"/>
            <w:vAlign w:val="bottom"/>
            <w:gridSpan w:val="16"/>
          </w:tcPr>
          <w:p>
            <w:pPr>
              <w:jc w:val="right"/>
              <w:spacing w:after="0" w:line="142" w:lineRule="exact"/>
              <w:rPr>
                <w:sz w:val="20"/>
                <w:szCs w:val="20"/>
                <w:color w:val="auto"/>
              </w:rPr>
            </w:pPr>
            <w:r>
              <w:rPr>
                <w:rFonts w:ascii="Arial" w:cs="Arial" w:eastAsia="Arial" w:hAnsi="Arial"/>
                <w:sz w:val="14"/>
                <w:szCs w:val="14"/>
                <w:color w:val="auto"/>
                <w:w w:val="96"/>
              </w:rPr>
              <w:t>Total accrued interest, net of expenses $</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106</w:t>
            </w: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80" w:type="dxa"/>
            <w:vAlign w:val="bottom"/>
            <w:gridSpan w:val="15"/>
          </w:tcPr>
          <w:p>
            <w:pPr>
              <w:ind w:left="200"/>
              <w:spacing w:after="0" w:line="142" w:lineRule="exact"/>
              <w:rPr>
                <w:sz w:val="20"/>
                <w:szCs w:val="20"/>
                <w:color w:val="auto"/>
              </w:rPr>
            </w:pPr>
            <w:r>
              <w:rPr>
                <w:rFonts w:ascii="Arial" w:cs="Arial" w:eastAsia="Arial" w:hAnsi="Arial"/>
                <w:sz w:val="14"/>
                <w:szCs w:val="14"/>
                <w:color w:val="auto"/>
                <w:w w:val="93"/>
              </w:rPr>
              <w:t>Total unrealized depreciation on TRS</w:t>
            </w: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(2,828</w:t>
            </w:r>
          </w:p>
        </w:tc>
        <w:tc>
          <w:tcPr>
            <w:tcW w:w="120" w:type="dxa"/>
            <w:vAlign w:val="bottom"/>
            <w:gridSpan w:val="2"/>
          </w:tcPr>
          <w:p>
            <w:pPr>
              <w:jc w:val="right"/>
              <w:ind w:right="8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619" w:hanging="272"/>
        <w:spacing w:after="0" w:line="277" w:lineRule="auto"/>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the fair value determined in accordance with ASC Topic 820. The determination of fair value is outside the scope of the Board’s valuation process described herein.</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interest is payable in cash.</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referenced asset is unsettled as of December 31, 2015.</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referenced assets are senior secured loans.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referenced asset has an unfunded commitment of $0.3 million.</w:t>
      </w:r>
    </w:p>
    <w:p>
      <w:pPr>
        <w:spacing w:after="0" w:line="117" w:lineRule="exact"/>
        <w:rPr>
          <w:rFonts w:ascii="Arial" w:cs="Arial" w:eastAsia="Arial" w:hAnsi="Arial"/>
          <w:sz w:val="18"/>
          <w:szCs w:val="18"/>
          <w:color w:val="auto"/>
        </w:rPr>
      </w:pPr>
    </w:p>
    <w:p>
      <w:pPr>
        <w:ind w:left="300" w:right="719" w:hanging="272"/>
        <w:spacing w:after="0" w:line="308" w:lineRule="auto"/>
        <w:tabs>
          <w:tab w:leader="none" w:pos="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interest rate disclosed reflects the interest rate as of the last day of the period. The borrower has the election to change the tenor of LIBOR utilized at each maturity; as such, the tenor reflected herein may change in future periods.</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6" w:name="page137"/>
    <w:bookmarkEnd w:id="136"/>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180" w:right="819" w:firstLine="270"/>
        <w:spacing w:after="0" w:line="277" w:lineRule="auto"/>
        <w:rPr>
          <w:sz w:val="20"/>
          <w:szCs w:val="20"/>
          <w:color w:val="auto"/>
        </w:rPr>
      </w:pPr>
      <w:r>
        <w:rPr>
          <w:rFonts w:ascii="Arial" w:cs="Arial" w:eastAsia="Arial" w:hAnsi="Arial"/>
          <w:sz w:val="18"/>
          <w:szCs w:val="18"/>
          <w:color w:val="auto"/>
        </w:rPr>
        <w:t>Below is certain summarized financial information for CSLLF as of December 31, 2016 and December 31, 2015 and for the years ended December 31, 2016 and December 31, 2015 (dollars in thousands):</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Selected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47510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5340" w:type="dxa"/>
            <w:vAlign w:val="bottom"/>
          </w:tcPr>
          <w:p>
            <w:pPr>
              <w:spacing w:after="0"/>
              <w:rPr>
                <w:sz w:val="12"/>
                <w:szCs w:val="12"/>
                <w:color w:val="auto"/>
              </w:rPr>
            </w:pP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4"/>
                <w:szCs w:val="14"/>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Cash held as collateral on Total Return Swap</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19,145</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Non-collateral cash and cash equivalents</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5,586</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Receivable due on Total Return Swap</w:t>
            </w:r>
          </w:p>
        </w:tc>
        <w:tc>
          <w:tcPr>
            <w:tcW w:w="20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79"/>
              </w:rPr>
              <w:t>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452</w:t>
            </w:r>
          </w:p>
        </w:tc>
      </w:tr>
      <w:tr>
        <w:trPr>
          <w:trHeight w:val="20"/>
        </w:trPr>
        <w:tc>
          <w:tcPr>
            <w:tcW w:w="5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82</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25,183</w:t>
            </w:r>
          </w:p>
        </w:tc>
      </w:tr>
      <w:tr>
        <w:trPr>
          <w:trHeight w:val="210"/>
        </w:trPr>
        <w:tc>
          <w:tcPr>
            <w:tcW w:w="5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depreciation on Total Return Swap</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2,828</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payable</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5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10"/>
        </w:trPr>
        <w:tc>
          <w:tcPr>
            <w:tcW w:w="53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340"/>
              <w:spacing w:after="0"/>
              <w:rPr>
                <w:sz w:val="20"/>
                <w:szCs w:val="20"/>
                <w:color w:val="auto"/>
              </w:rPr>
            </w:pPr>
            <w:r>
              <w:rPr>
                <w:rFonts w:ascii="Arial" w:cs="Arial" w:eastAsia="Arial" w:hAnsi="Arial"/>
                <w:sz w:val="18"/>
                <w:szCs w:val="18"/>
                <w:color w:val="auto"/>
                <w:w w:val="79"/>
              </w:rPr>
              <w:t>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2,849</w:t>
            </w:r>
          </w:p>
        </w:tc>
      </w:tr>
      <w:tr>
        <w:trPr>
          <w:trHeight w:val="21"/>
        </w:trPr>
        <w:tc>
          <w:tcPr>
            <w:tcW w:w="5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Paid in capital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25,000</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Undistributed realized income from operations</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Unrealized depreciation on Total Return Swap</w:t>
            </w:r>
          </w:p>
        </w:tc>
        <w:tc>
          <w:tcPr>
            <w:tcW w:w="2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(2,828)</w:t>
            </w:r>
          </w:p>
        </w:tc>
      </w:tr>
      <w:tr>
        <w:trPr>
          <w:trHeight w:val="20"/>
        </w:trPr>
        <w:tc>
          <w:tcPr>
            <w:tcW w:w="5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net assets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22,334</w:t>
            </w: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8"/>
                <w:szCs w:val="18"/>
                <w:color w:val="auto"/>
              </w:rPr>
              <w:t>Total liabilities and net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340"/>
              <w:spacing w:after="0"/>
              <w:rPr>
                <w:sz w:val="20"/>
                <w:szCs w:val="20"/>
                <w:color w:val="auto"/>
              </w:rPr>
            </w:pPr>
            <w:r>
              <w:rPr>
                <w:rFonts w:ascii="Arial" w:cs="Arial" w:eastAsia="Arial" w:hAnsi="Arial"/>
                <w:sz w:val="18"/>
                <w:szCs w:val="18"/>
                <w:color w:val="auto"/>
                <w:w w:val="79"/>
              </w:rPr>
              <w:t>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25,183</w:t>
            </w:r>
          </w:p>
        </w:tc>
      </w:tr>
      <w:tr>
        <w:trPr>
          <w:trHeight w:val="21"/>
        </w:trPr>
        <w:tc>
          <w:tcPr>
            <w:tcW w:w="5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-1663065</wp:posOffset>
            </wp:positionV>
            <wp:extent cx="4751070" cy="1714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-1080135</wp:posOffset>
            </wp:positionV>
            <wp:extent cx="4751070" cy="1803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-205105</wp:posOffset>
            </wp:positionV>
            <wp:extent cx="4751070" cy="2057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751070" cy="205740"/>
                    </a:xfrm>
                    <a:prstGeom prst="rect">
                      <a:avLst/>
                    </a:prstGeom>
                    <a:noFill/>
                  </pic:spPr>
                </pic:pic>
              </a:graphicData>
            </a:graphic>
          </wp:anchor>
        </w:drawing>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475107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For the Year</w:t>
            </w:r>
          </w:p>
        </w:tc>
        <w:tc>
          <w:tcPr>
            <w:tcW w:w="1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period from</w:t>
            </w:r>
          </w:p>
        </w:tc>
        <w:tc>
          <w:tcPr>
            <w:tcW w:w="198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March 27, 2015 to</w:t>
            </w:r>
          </w:p>
        </w:tc>
        <w:tc>
          <w:tcPr>
            <w:tcW w:w="198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legal expenses</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w:t>
            </w:r>
          </w:p>
        </w:tc>
        <w:tc>
          <w:tcPr>
            <w:tcW w:w="19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Net operating loss</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98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 on Total Return Swap</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1,366</w:t>
            </w:r>
          </w:p>
        </w:tc>
        <w:tc>
          <w:tcPr>
            <w:tcW w:w="1980" w:type="dxa"/>
            <w:vAlign w:val="bottom"/>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4460" w:type="dxa"/>
            <w:vAlign w:val="bottom"/>
          </w:tcPr>
          <w:p>
            <w:pPr>
              <w:ind w:left="20"/>
              <w:spacing w:after="0" w:line="201" w:lineRule="exact"/>
              <w:rPr>
                <w:sz w:val="20"/>
                <w:szCs w:val="20"/>
                <w:color w:val="auto"/>
              </w:rPr>
            </w:pPr>
            <w:r>
              <w:rPr>
                <w:rFonts w:ascii="Arial" w:cs="Arial" w:eastAsia="Arial" w:hAnsi="Arial"/>
                <w:sz w:val="18"/>
                <w:szCs w:val="18"/>
                <w:color w:val="auto"/>
                <w:w w:val="90"/>
              </w:rPr>
              <w:t>Net change in unrealized appreciation (depreciation) on Total</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Return Swap</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2,828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(2,828)</w:t>
            </w:r>
          </w:p>
        </w:tc>
        <w:tc>
          <w:tcPr>
            <w:tcW w:w="198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44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INCREASE (DECREASE) IN NET ASSETS</w:t>
            </w:r>
          </w:p>
        </w:tc>
        <w:tc>
          <w:tcPr>
            <w:tcW w:w="3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r>
      <w:tr>
        <w:trPr>
          <w:trHeight w:val="251"/>
        </w:trPr>
        <w:tc>
          <w:tcPr>
            <w:tcW w:w="120" w:type="dxa"/>
            <w:vAlign w:val="bottom"/>
          </w:tcPr>
          <w:p>
            <w:pPr>
              <w:spacing w:after="0"/>
              <w:rPr>
                <w:sz w:val="21"/>
                <w:szCs w:val="21"/>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RESULTING FROM OPERATIONS</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(1,566)</w:t>
            </w:r>
          </w:p>
        </w:tc>
        <w:tc>
          <w:tcPr>
            <w:tcW w:w="198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763"/>
        </w:trPr>
        <w:tc>
          <w:tcPr>
            <w:tcW w:w="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F-37</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4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4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-1534160</wp:posOffset>
            </wp:positionV>
            <wp:extent cx="4751070" cy="1803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-659765</wp:posOffset>
            </wp:positionV>
            <wp:extent cx="475107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37" w:name="page138"/>
    <w:bookmarkEnd w:id="13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Fair Value of Financial Instruments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117" w:lineRule="exact"/>
        <w:rPr>
          <w:sz w:val="20"/>
          <w:szCs w:val="20"/>
          <w:color w:val="auto"/>
        </w:rPr>
      </w:pPr>
    </w:p>
    <w:p>
      <w:pPr>
        <w:ind w:left="60" w:right="539" w:firstLine="270"/>
        <w:spacing w:after="0" w:line="342" w:lineRule="auto"/>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 December 31, 2016, and the level of each financial liability within the fair value hierarchy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521398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SBA debentures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$ 170,700</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$ 175,581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175,581</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Notes</w:t>
            </w:r>
          </w:p>
        </w:tc>
        <w:tc>
          <w:tcPr>
            <w:tcW w:w="720" w:type="dxa"/>
            <w:vAlign w:val="bottom"/>
          </w:tcPr>
          <w:p>
            <w:pPr>
              <w:jc w:val="right"/>
              <w:spacing w:after="0"/>
              <w:rPr>
                <w:sz w:val="20"/>
                <w:szCs w:val="20"/>
                <w:color w:val="auto"/>
              </w:rPr>
            </w:pPr>
            <w:r>
              <w:rPr>
                <w:rFonts w:ascii="Arial" w:cs="Arial" w:eastAsia="Arial" w:hAnsi="Arial"/>
                <w:sz w:val="18"/>
                <w:szCs w:val="18"/>
                <w:color w:val="auto"/>
              </w:rPr>
              <w:t>113,438</w:t>
            </w:r>
          </w:p>
        </w:tc>
        <w:tc>
          <w:tcPr>
            <w:tcW w:w="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115,888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115,888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43,927</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$ 328,138</w:t>
            </w:r>
          </w:p>
        </w:tc>
        <w:tc>
          <w:tcPr>
            <w:tcW w:w="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$ 335,396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115,888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219,508</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342" w:lineRule="auto"/>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 December 31, 2015, and the level of each financial liability within the fair value hierarchy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521398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SBA debentures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184,200</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$ 184,951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184,951</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113,438</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113,211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113,211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70,000</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69,932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69,932</w:t>
            </w: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367,638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$ 368,094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113,211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254,883</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1039" w:firstLine="270"/>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62" w:lineRule="exact"/>
        <w:rPr>
          <w:sz w:val="20"/>
          <w:szCs w:val="20"/>
          <w:color w:val="auto"/>
        </w:rPr>
      </w:pPr>
    </w:p>
    <w:p>
      <w:pPr>
        <w:ind w:left="60" w:right="699" w:firstLine="270"/>
        <w:spacing w:after="0" w:line="264" w:lineRule="auto"/>
        <w:rPr>
          <w:sz w:val="20"/>
          <w:szCs w:val="20"/>
          <w:color w:val="auto"/>
        </w:rPr>
      </w:pPr>
      <w:r>
        <w:rPr>
          <w:rFonts w:ascii="Arial" w:cs="Arial" w:eastAsia="Arial" w:hAnsi="Arial"/>
          <w:sz w:val="18"/>
          <w:szCs w:val="18"/>
          <w:color w:val="auto"/>
        </w:rPr>
        <w:t>In June 2014, the Company issued $113.4 million in aggregate principal amount of 7.125% fixed-rate notes due 2021 (the “Notes”). The estimated fair value of the Notes was based on the closing price as of the measurement date as the Notes are traded on the New York Stock Exchange under the ticker “CLA.”</w:t>
      </w:r>
    </w:p>
    <w:p>
      <w:pPr>
        <w:spacing w:after="0" w:line="73" w:lineRule="exact"/>
        <w:rPr>
          <w:sz w:val="20"/>
          <w:szCs w:val="20"/>
          <w:color w:val="auto"/>
        </w:rPr>
      </w:pPr>
    </w:p>
    <w:p>
      <w:pPr>
        <w:ind w:left="60" w:right="1179" w:firstLine="270"/>
        <w:spacing w:after="0" w:line="277" w:lineRule="auto"/>
        <w:rPr>
          <w:sz w:val="20"/>
          <w:szCs w:val="20"/>
          <w:color w:val="auto"/>
        </w:rPr>
      </w:pPr>
      <w:r>
        <w:rPr>
          <w:rFonts w:ascii="Arial" w:cs="Arial" w:eastAsia="Arial" w:hAnsi="Arial"/>
          <w:sz w:val="18"/>
          <w:szCs w:val="18"/>
          <w:color w:val="auto"/>
        </w:rPr>
        <w:t>The estimated fair value of the Company’s Credit Facility was based on future contractual cash payments discounted at estimated market interest rates for similar debt.</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8" w:name="page139"/>
    <w:bookmarkEnd w:id="13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Transactions With Affiliated Companies</w:t>
      </w:r>
    </w:p>
    <w:p>
      <w:pPr>
        <w:spacing w:after="0" w:line="121" w:lineRule="exact"/>
        <w:rPr>
          <w:sz w:val="20"/>
          <w:szCs w:val="20"/>
          <w:color w:val="auto"/>
        </w:rPr>
      </w:pPr>
    </w:p>
    <w:p>
      <w:pPr>
        <w:ind w:left="60" w:right="619" w:firstLine="270"/>
        <w:spacing w:after="0" w:line="277" w:lineRule="auto"/>
        <w:rPr>
          <w:sz w:val="20"/>
          <w:szCs w:val="20"/>
          <w:color w:val="auto"/>
        </w:rPr>
      </w:pPr>
      <w:r>
        <w:rPr>
          <w:rFonts w:ascii="Arial" w:cs="Arial" w:eastAsia="Arial" w:hAnsi="Arial"/>
          <w:sz w:val="18"/>
          <w:szCs w:val="18"/>
          <w:color w:val="auto"/>
        </w:rPr>
        <w:t>During the year ended December 31, 2016, the Company had investments in portfolio companies designated as affiliates under the 1940 Act. Transactions with affiliates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615759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83185</wp:posOffset>
            </wp:positionV>
            <wp:extent cx="615759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9"/>
              </w:rPr>
              <w:t>Amount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Interest Fees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8"/>
              </w:rPr>
              <w:t>or Dividends</w:t>
            </w:r>
          </w:p>
        </w:tc>
        <w:tc>
          <w:tcPr>
            <w:tcW w:w="4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Portfolio Company</w:t>
            </w:r>
            <w:r>
              <w:rPr>
                <w:rFonts w:ascii="Arial" w:cs="Arial" w:eastAsia="Arial" w:hAnsi="Arial"/>
                <w:sz w:val="20"/>
                <w:szCs w:val="20"/>
                <w:b w:val="1"/>
                <w:bCs w:val="1"/>
                <w:color w:val="auto"/>
                <w:vertAlign w:val="superscript"/>
              </w:rPr>
              <w:t>(4)</w:t>
            </w: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Credited to</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2015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Gross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239"/>
              <w:spacing w:after="0" w:line="135" w:lineRule="exact"/>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Realized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2016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Borders>
              <w:bottom w:val="single" w:sz="8" w:color="auto"/>
            </w:tcBorders>
          </w:tcPr>
          <w:p>
            <w:pPr>
              <w:ind w:left="82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ind w:right="120"/>
              <w:spacing w:after="0" w:line="162" w:lineRule="exact"/>
              <w:rPr>
                <w:sz w:val="20"/>
                <w:szCs w:val="20"/>
                <w:color w:val="auto"/>
              </w:rPr>
            </w:pPr>
            <w:r>
              <w:rPr>
                <w:rFonts w:ascii="Arial" w:cs="Arial" w:eastAsia="Arial" w:hAnsi="Arial"/>
                <w:sz w:val="12"/>
                <w:szCs w:val="12"/>
                <w:b w:val="1"/>
                <w:bCs w:val="1"/>
                <w:color w:val="auto"/>
                <w:w w:val="91"/>
              </w:rPr>
              <w:t>Income</w:t>
            </w:r>
            <w:r>
              <w:rPr>
                <w:rFonts w:ascii="Arial" w:cs="Arial" w:eastAsia="Arial" w:hAnsi="Arial"/>
                <w:sz w:val="18"/>
                <w:szCs w:val="18"/>
                <w:b w:val="1"/>
                <w:bCs w:val="1"/>
                <w:color w:val="auto"/>
                <w:w w:val="91"/>
                <w:vertAlign w:val="superscript"/>
              </w:rPr>
              <w:t>(1)</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0"/>
              </w:rPr>
              <w:t>Fair Value</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1"/>
              </w:rPr>
              <w:t>Additions</w:t>
            </w:r>
            <w:r>
              <w:rPr>
                <w:rFonts w:ascii="Arial" w:cs="Arial" w:eastAsia="Arial" w:hAnsi="Arial"/>
                <w:sz w:val="18"/>
                <w:szCs w:val="18"/>
                <w:b w:val="1"/>
                <w:bCs w:val="1"/>
                <w:color w:val="auto"/>
                <w:w w:val="91"/>
                <w:vertAlign w:val="superscript"/>
              </w:rPr>
              <w:t>(2)</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9"/>
              <w:spacing w:after="0" w:line="162" w:lineRule="exact"/>
              <w:rPr>
                <w:sz w:val="20"/>
                <w:szCs w:val="20"/>
                <w:color w:val="auto"/>
              </w:rPr>
            </w:pPr>
            <w:r>
              <w:rPr>
                <w:rFonts w:ascii="Arial" w:cs="Arial" w:eastAsia="Arial" w:hAnsi="Arial"/>
                <w:sz w:val="12"/>
                <w:szCs w:val="12"/>
                <w:b w:val="1"/>
                <w:bCs w:val="1"/>
                <w:color w:val="auto"/>
                <w:w w:val="89"/>
              </w:rPr>
              <w:t>Reductions</w:t>
            </w:r>
            <w:r>
              <w:rPr>
                <w:rFonts w:ascii="Arial" w:cs="Arial" w:eastAsia="Arial" w:hAnsi="Arial"/>
                <w:sz w:val="18"/>
                <w:szCs w:val="18"/>
                <w:b w:val="1"/>
                <w:bCs w:val="1"/>
                <w:color w:val="auto"/>
                <w:w w:val="89"/>
                <w:vertAlign w:val="superscript"/>
              </w:rPr>
              <w:t>(3)</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Gain (Loss)</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gridSpan w:val="2"/>
          </w:tcPr>
          <w:p>
            <w:pPr>
              <w:spacing w:after="0" w:line="129" w:lineRule="exact"/>
              <w:rPr>
                <w:sz w:val="20"/>
                <w:szCs w:val="20"/>
                <w:color w:val="auto"/>
              </w:rPr>
            </w:pPr>
            <w:r>
              <w:rPr>
                <w:rFonts w:ascii="Arial" w:cs="Arial" w:eastAsia="Arial" w:hAnsi="Arial"/>
                <w:sz w:val="14"/>
                <w:szCs w:val="14"/>
                <w:b w:val="1"/>
                <w:bCs w:val="1"/>
                <w:i w:val="1"/>
                <w:iCs w:val="1"/>
                <w:color w:val="auto"/>
                <w:w w:val="99"/>
              </w:rPr>
              <w:t>Control investments:</w:t>
            </w:r>
          </w:p>
        </w:tc>
        <w:tc>
          <w:tcPr>
            <w:tcW w:w="40" w:type="dxa"/>
            <w:vAlign w:val="bottom"/>
          </w:tcPr>
          <w:p>
            <w:pPr>
              <w:spacing w:after="0"/>
              <w:rPr>
                <w:sz w:val="11"/>
                <w:szCs w:val="11"/>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Class A Preferred Units</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4"/>
            <w:vMerge w:val="restart"/>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79"/>
              <w:spacing w:after="0"/>
              <w:rPr>
                <w:sz w:val="20"/>
                <w:szCs w:val="20"/>
                <w:color w:val="auto"/>
              </w:rPr>
            </w:pPr>
            <w:r>
              <w:rPr>
                <w:rFonts w:ascii="Arial" w:cs="Arial" w:eastAsia="Arial" w:hAnsi="Arial"/>
                <w:sz w:val="14"/>
                <w:szCs w:val="14"/>
                <w:color w:val="auto"/>
              </w:rPr>
              <w:t>(145)</w:t>
            </w: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ind w:left="420"/>
              <w:spacing w:after="0"/>
              <w:rPr>
                <w:sz w:val="20"/>
                <w:szCs w:val="20"/>
                <w:color w:val="auto"/>
              </w:rPr>
            </w:pPr>
            <w:r>
              <w:rPr>
                <w:rFonts w:ascii="Arial" w:cs="Arial" w:eastAsia="Arial" w:hAnsi="Arial"/>
                <w:sz w:val="14"/>
                <w:szCs w:val="14"/>
                <w:color w:val="auto"/>
              </w:rPr>
              <w:t>145</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Best In Class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CableOrganizer</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First Lien Debt (12% Cash, 4% PIK,</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420"/>
              <w:spacing w:after="0" w:line="142" w:lineRule="exact"/>
              <w:rPr>
                <w:sz w:val="20"/>
                <w:szCs w:val="20"/>
                <w:color w:val="auto"/>
              </w:rPr>
            </w:pPr>
            <w:r>
              <w:rPr>
                <w:rFonts w:ascii="Arial" w:cs="Arial" w:eastAsia="Arial" w:hAnsi="Arial"/>
                <w:sz w:val="14"/>
                <w:szCs w:val="14"/>
                <w:color w:val="auto"/>
                <w:w w:val="76"/>
              </w:rPr>
              <w:t>145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Acquisition, 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Due 5/24/18)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1,402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CableOrganizer</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Common Stock (19.7% fully diluted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Acquisition, 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ownership)</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(78)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CableOrganizer</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 (10% fully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Acquisition, 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diluted ownership)</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97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Capitala Senior Liquid</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1,402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11,038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1,223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48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12,183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Loan Fund I, 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Common Stock (80% ownership)</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1,814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17,867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2,133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4"/>
                <w:szCs w:val="14"/>
                <w:color w:val="auto"/>
              </w:rPr>
              <w:t>(20,000)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w w:val="97"/>
              </w:rPr>
              <w:t>Eastport Holdings, LLC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w w:val="98"/>
              </w:rPr>
              <w:t>Subordinated Debt (13.9% Cash (3 month</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color w:val="auto"/>
              </w:rPr>
              <w:t>1,814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17,867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2,133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(20,000</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48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LIBOR + 13%, 0.5% Floor), Due 4/29/20)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5,901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(7,500)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w w:val="97"/>
              </w:rPr>
              <w:t>Eastport Holdings, 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Membership Units (30.1% fully diluted)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13,395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13,395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Subordinated Debt (10% Cash, Due</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5,901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37,395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(7,500)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48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29,895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9/15/18)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(14% Cash, 4% PIK,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Due 9/15/18)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3,989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Series A Preferred Units (47 units)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1,629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894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2,523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w w:val="98"/>
              </w:rPr>
              <w:t>First Lien Debt (15% Cash, Due 10/30/20)</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741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7,321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48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8,374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992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6,500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480"/>
              <w:spacing w:after="0" w:line="123"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6,500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20" w:type="dxa"/>
            <w:vAlign w:val="bottom"/>
            <w:gridSpan w:val="2"/>
          </w:tcPr>
          <w:p>
            <w:pPr>
              <w:spacing w:after="0" w:line="181" w:lineRule="exact"/>
              <w:rPr>
                <w:sz w:val="20"/>
                <w:szCs w:val="20"/>
                <w:color w:val="auto"/>
              </w:rPr>
            </w:pPr>
            <w:r>
              <w:rPr>
                <w:rFonts w:ascii="Arial" w:cs="Arial" w:eastAsia="Arial" w:hAnsi="Arial"/>
                <w:sz w:val="13"/>
                <w:szCs w:val="13"/>
                <w:color w:val="auto"/>
              </w:rPr>
              <w:t>Navis Holdings, Inc.</w:t>
            </w:r>
            <w:r>
              <w:rPr>
                <w:rFonts w:ascii="Arial" w:cs="Arial" w:eastAsia="Arial" w:hAnsi="Arial"/>
                <w:sz w:val="20"/>
                <w:szCs w:val="20"/>
                <w:color w:val="auto"/>
                <w:vertAlign w:val="superscript"/>
              </w:rPr>
              <w:t>(5)</w:t>
            </w:r>
          </w:p>
        </w:tc>
        <w:tc>
          <w:tcPr>
            <w:tcW w:w="40" w:type="dxa"/>
            <w:vAlign w:val="bottom"/>
          </w:tcPr>
          <w:p>
            <w:pPr>
              <w:spacing w:after="0"/>
              <w:rPr>
                <w:sz w:val="15"/>
                <w:szCs w:val="15"/>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w w:val="93"/>
              </w:rPr>
              <w:t>Class A Preferred Stock (1,000 shares, 10%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restart"/>
          </w:tcPr>
          <w:p>
            <w:pPr>
              <w:jc w:val="right"/>
              <w:ind w:right="11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ind w:left="80"/>
              <w:spacing w:after="0" w:line="116" w:lineRule="exact"/>
              <w:rPr>
                <w:sz w:val="20"/>
                <w:szCs w:val="20"/>
                <w:color w:val="auto"/>
              </w:rPr>
            </w:pPr>
            <w:r>
              <w:rPr>
                <w:rFonts w:ascii="Arial" w:cs="Arial" w:eastAsia="Arial" w:hAnsi="Arial"/>
                <w:sz w:val="13"/>
                <w:szCs w:val="13"/>
                <w:color w:val="auto"/>
              </w:rPr>
              <w:t>Cash Dividend)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Common Stock (300,000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5,354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280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5,634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w w:val="99"/>
              </w:rPr>
              <w:t>On-Site Fuel Services,</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Subordinated Debt (14% Cash, 4% PIK,</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1,592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12,854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48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13,134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Due 12/19/17)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5,878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w w:val="99"/>
              </w:rPr>
              <w:t>On-Site Fuel Services,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w w:val="99"/>
              </w:rPr>
              <w:t>Series A Preferred Stock (32,782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w w:val="99"/>
              </w:rPr>
              <w:t>On-Site Fuel Services,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w w:val="99"/>
              </w:rPr>
              <w:t>Series B Preferred Stock (23,648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w w:val="99"/>
              </w:rPr>
              <w:t>On-Site Fuel Services,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Common Stock (33,107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First Lien Debt (10% Cash, 2% PIK,</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4,425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5,878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48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10,303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Due 2/24/19)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1,682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15,780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(4,555)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Common Stock (18,543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(1,253)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Common Stock Warrants (820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4"/>
                <w:szCs w:val="14"/>
                <w:color w:val="auto"/>
              </w:rPr>
              <w:t>(55)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Control investments</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1,682</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17,088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(5,863)</w:t>
            </w:r>
          </w:p>
        </w:tc>
        <w:tc>
          <w:tcPr>
            <w:tcW w:w="160" w:type="dxa"/>
            <w:vAlign w:val="bottom"/>
            <w:vMerge w:val="restart"/>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48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13,132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70,593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49,498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(33,586</w:t>
            </w:r>
          </w:p>
        </w:tc>
        <w:tc>
          <w:tcPr>
            <w:tcW w:w="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w w:val="76"/>
              </w:rPr>
              <w:t>145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86,650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9" w:name="page140"/>
    <w:bookmarkEnd w:id="13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Transactions With Affiliated Companies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615759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52070</wp:posOffset>
            </wp:positionV>
            <wp:extent cx="615759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Amount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Interest Fees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or Dividends</w:t>
            </w:r>
          </w:p>
        </w:tc>
        <w:tc>
          <w:tcPr>
            <w:tcW w:w="4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Portfolio Company</w:t>
            </w:r>
            <w:r>
              <w:rPr>
                <w:rFonts w:ascii="Arial" w:cs="Arial" w:eastAsia="Arial" w:hAnsi="Arial"/>
                <w:sz w:val="20"/>
                <w:szCs w:val="20"/>
                <w:b w:val="1"/>
                <w:bCs w:val="1"/>
                <w:color w:val="auto"/>
                <w:vertAlign w:val="superscript"/>
              </w:rPr>
              <w:t>(4)</w:t>
            </w: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Credited to</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2015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tcPr>
          <w:p>
            <w:pPr>
              <w:ind w:left="180"/>
              <w:spacing w:after="0" w:line="135" w:lineRule="exact"/>
              <w:rPr>
                <w:sz w:val="20"/>
                <w:szCs w:val="20"/>
                <w:color w:val="auto"/>
              </w:rPr>
            </w:pPr>
            <w:r>
              <w:rPr>
                <w:rFonts w:ascii="Arial" w:cs="Arial" w:eastAsia="Arial" w:hAnsi="Arial"/>
                <w:sz w:val="13"/>
                <w:szCs w:val="13"/>
                <w:b w:val="1"/>
                <w:bCs w:val="1"/>
                <w:color w:val="auto"/>
              </w:rPr>
              <w:t>Gross</w:t>
            </w:r>
          </w:p>
        </w:tc>
        <w:tc>
          <w:tcPr>
            <w:tcW w:w="94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79"/>
              </w:rPr>
              <w:t>Gross</w:t>
            </w:r>
          </w:p>
        </w:tc>
        <w:tc>
          <w:tcPr>
            <w:tcW w:w="7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Realized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2016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820" w:type="dxa"/>
            <w:vAlign w:val="bottom"/>
            <w:gridSpan w:val="3"/>
          </w:tcPr>
          <w:p>
            <w:pPr>
              <w:ind w:left="820"/>
              <w:spacing w:after="0"/>
              <w:rPr>
                <w:sz w:val="20"/>
                <w:szCs w:val="20"/>
                <w:color w:val="auto"/>
              </w:rPr>
            </w:pPr>
            <w:r>
              <w:rPr>
                <w:rFonts w:ascii="Arial" w:cs="Arial" w:eastAsia="Arial" w:hAnsi="Arial"/>
                <w:sz w:val="13"/>
                <w:szCs w:val="13"/>
                <w:b w:val="1"/>
                <w:bCs w:val="1"/>
                <w:color w:val="auto"/>
              </w:rPr>
              <w:t>Type of Investment</w:t>
            </w:r>
          </w:p>
        </w:tc>
        <w:tc>
          <w:tcPr>
            <w:tcW w:w="880" w:type="dxa"/>
            <w:vAlign w:val="bottom"/>
            <w:gridSpan w:val="3"/>
          </w:tcPr>
          <w:p>
            <w:pPr>
              <w:jc w:val="center"/>
              <w:ind w:right="120"/>
              <w:spacing w:after="0" w:line="162" w:lineRule="exact"/>
              <w:rPr>
                <w:sz w:val="20"/>
                <w:szCs w:val="20"/>
                <w:color w:val="auto"/>
              </w:rPr>
            </w:pPr>
            <w:r>
              <w:rPr>
                <w:rFonts w:ascii="Arial" w:cs="Arial" w:eastAsia="Arial" w:hAnsi="Arial"/>
                <w:sz w:val="12"/>
                <w:szCs w:val="12"/>
                <w:b w:val="1"/>
                <w:bCs w:val="1"/>
                <w:color w:val="auto"/>
                <w:w w:val="91"/>
              </w:rPr>
              <w:t>Income</w:t>
            </w:r>
            <w:r>
              <w:rPr>
                <w:rFonts w:ascii="Arial" w:cs="Arial" w:eastAsia="Arial" w:hAnsi="Arial"/>
                <w:sz w:val="18"/>
                <w:szCs w:val="18"/>
                <w:b w:val="1"/>
                <w:bCs w:val="1"/>
                <w:color w:val="auto"/>
                <w:w w:val="91"/>
                <w:vertAlign w:val="superscript"/>
              </w:rPr>
              <w:t>(1)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Fair Value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ind w:left="20"/>
              <w:spacing w:after="0" w:line="162" w:lineRule="exact"/>
              <w:rPr>
                <w:sz w:val="20"/>
                <w:szCs w:val="20"/>
                <w:color w:val="auto"/>
              </w:rPr>
            </w:pPr>
            <w:r>
              <w:rPr>
                <w:rFonts w:ascii="Arial" w:cs="Arial" w:eastAsia="Arial" w:hAnsi="Arial"/>
                <w:sz w:val="12"/>
                <w:szCs w:val="12"/>
                <w:b w:val="1"/>
                <w:bCs w:val="1"/>
                <w:color w:val="auto"/>
              </w:rPr>
              <w:t>Additions</w:t>
            </w:r>
            <w:r>
              <w:rPr>
                <w:rFonts w:ascii="Arial" w:cs="Arial" w:eastAsia="Arial" w:hAnsi="Arial"/>
                <w:sz w:val="18"/>
                <w:szCs w:val="18"/>
                <w:b w:val="1"/>
                <w:bCs w:val="1"/>
                <w:color w:val="auto"/>
                <w:vertAlign w:val="superscript"/>
              </w:rPr>
              <w:t>(2)</w:t>
            </w:r>
          </w:p>
        </w:tc>
        <w:tc>
          <w:tcPr>
            <w:tcW w:w="940" w:type="dxa"/>
            <w:vAlign w:val="bottom"/>
            <w:gridSpan w:val="4"/>
          </w:tcPr>
          <w:p>
            <w:pPr>
              <w:jc w:val="center"/>
              <w:ind w:right="200"/>
              <w:spacing w:after="0" w:line="162" w:lineRule="exact"/>
              <w:rPr>
                <w:sz w:val="20"/>
                <w:szCs w:val="20"/>
                <w:color w:val="auto"/>
              </w:rPr>
            </w:pPr>
            <w:r>
              <w:rPr>
                <w:rFonts w:ascii="Arial" w:cs="Arial" w:eastAsia="Arial" w:hAnsi="Arial"/>
                <w:sz w:val="12"/>
                <w:szCs w:val="12"/>
                <w:b w:val="1"/>
                <w:bCs w:val="1"/>
                <w:color w:val="auto"/>
                <w:w w:val="92"/>
              </w:rPr>
              <w:t>Reductions</w:t>
            </w:r>
            <w:r>
              <w:rPr>
                <w:rFonts w:ascii="Arial" w:cs="Arial" w:eastAsia="Arial" w:hAnsi="Arial"/>
                <w:sz w:val="18"/>
                <w:szCs w:val="18"/>
                <w:b w:val="1"/>
                <w:bCs w:val="1"/>
                <w:color w:val="auto"/>
                <w:w w:val="92"/>
                <w:vertAlign w:val="superscript"/>
              </w:rPr>
              <w:t>(3)</w:t>
            </w: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Gain (Loss)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i w:val="1"/>
                <w:iCs w:val="1"/>
                <w:color w:val="auto"/>
                <w:w w:val="98"/>
              </w:rPr>
              <w:t>Affiliate investments:</w:t>
            </w:r>
          </w:p>
        </w:tc>
        <w:tc>
          <w:tcPr>
            <w:tcW w:w="40" w:type="dxa"/>
            <w:vAlign w:val="bottom"/>
          </w:tcPr>
          <w:p>
            <w:pPr>
              <w:spacing w:after="0"/>
              <w:rPr>
                <w:sz w:val="11"/>
                <w:szCs w:val="11"/>
                <w:color w:val="auto"/>
              </w:rPr>
            </w:pPr>
          </w:p>
        </w:tc>
        <w:tc>
          <w:tcPr>
            <w:tcW w:w="2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Burgaflex Holdings,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282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4"/>
              </w:rPr>
              <w:t>Subordinated Debt (14% Cash, Due 8/9/19)  $</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521</w:t>
            </w:r>
          </w:p>
        </w:tc>
        <w:tc>
          <w:tcPr>
            <w:tcW w:w="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3,000</w:t>
            </w: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4"/>
          </w:tcPr>
          <w:p>
            <w:pPr>
              <w:ind w:left="520"/>
              <w:spacing w:after="0" w:line="149" w:lineRule="exact"/>
              <w:rPr>
                <w:sz w:val="20"/>
                <w:szCs w:val="20"/>
                <w:color w:val="auto"/>
              </w:rPr>
            </w:pPr>
            <w:r>
              <w:rPr>
                <w:rFonts w:ascii="Arial" w:cs="Arial" w:eastAsia="Arial" w:hAnsi="Arial"/>
                <w:sz w:val="14"/>
                <w:szCs w:val="14"/>
                <w:color w:val="auto"/>
              </w:rPr>
              <w:t>—  $</w:t>
            </w:r>
          </w:p>
        </w:tc>
        <w:tc>
          <w:tcPr>
            <w:tcW w:w="940" w:type="dxa"/>
            <w:vAlign w:val="bottom"/>
            <w:gridSpan w:val="4"/>
          </w:tcPr>
          <w:p>
            <w:pPr>
              <w:ind w:left="500"/>
              <w:spacing w:after="0" w:line="149" w:lineRule="exact"/>
              <w:rPr>
                <w:sz w:val="20"/>
                <w:szCs w:val="20"/>
                <w:color w:val="auto"/>
              </w:rPr>
            </w:pPr>
            <w:r>
              <w:rPr>
                <w:rFonts w:ascii="Arial" w:cs="Arial" w:eastAsia="Arial" w:hAnsi="Arial"/>
                <w:sz w:val="14"/>
                <w:szCs w:val="14"/>
                <w:color w:val="auto"/>
              </w:rPr>
              <w:t>—   $</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Burgaflex Holdings,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28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Subordinated Debt (12% Cash, Due 8/9/19)</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845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5,828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ind w:lef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Burgaflex Holdings,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LLC</w:t>
            </w:r>
          </w:p>
        </w:tc>
        <w:tc>
          <w:tcPr>
            <w:tcW w:w="40" w:type="dxa"/>
            <w:vAlign w:val="bottom"/>
          </w:tcPr>
          <w:p>
            <w:pPr>
              <w:spacing w:after="0"/>
              <w:rPr>
                <w:sz w:val="14"/>
                <w:szCs w:val="14"/>
                <w:color w:val="auto"/>
              </w:rPr>
            </w:pPr>
          </w:p>
        </w:tc>
        <w:tc>
          <w:tcPr>
            <w:tcW w:w="2820" w:type="dxa"/>
            <w:vAlign w:val="bottom"/>
            <w:gridSpan w:val="3"/>
          </w:tcPr>
          <w:p>
            <w:pPr>
              <w:ind w:left="80"/>
              <w:spacing w:after="0"/>
              <w:rPr>
                <w:sz w:val="20"/>
                <w:szCs w:val="20"/>
                <w:color w:val="auto"/>
              </w:rPr>
            </w:pPr>
            <w:r>
              <w:rPr>
                <w:rFonts w:ascii="Arial" w:cs="Arial" w:eastAsia="Arial" w:hAnsi="Arial"/>
                <w:sz w:val="14"/>
                <w:szCs w:val="14"/>
                <w:color w:val="auto"/>
              </w:rPr>
              <w:t>Common Stock (1,253,198 shares)</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3,080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ind w:left="5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79"/>
              <w:spacing w:after="0"/>
              <w:rPr>
                <w:sz w:val="20"/>
                <w:szCs w:val="20"/>
                <w:color w:val="auto"/>
              </w:rPr>
            </w:pPr>
            <w:r>
              <w:rPr>
                <w:rFonts w:ascii="Arial" w:cs="Arial" w:eastAsia="Arial" w:hAnsi="Arial"/>
                <w:sz w:val="14"/>
                <w:szCs w:val="14"/>
                <w:color w:val="auto"/>
              </w:rPr>
              <w:t>(1,832)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Chef’n Corporation</w:t>
            </w:r>
          </w:p>
        </w:tc>
        <w:tc>
          <w:tcPr>
            <w:tcW w:w="40" w:type="dxa"/>
            <w:vAlign w:val="bottom"/>
          </w:tcPr>
          <w:p>
            <w:pPr>
              <w:spacing w:after="0"/>
              <w:rPr>
                <w:sz w:val="12"/>
                <w:szCs w:val="12"/>
                <w:color w:val="auto"/>
              </w:rPr>
            </w:pPr>
          </w:p>
        </w:tc>
        <w:tc>
          <w:tcPr>
            <w:tcW w:w="2700" w:type="dxa"/>
            <w:vAlign w:val="bottom"/>
            <w:gridSpan w:val="2"/>
            <w:vMerge w:val="restart"/>
          </w:tcPr>
          <w:p>
            <w:pPr>
              <w:ind w:left="80"/>
              <w:spacing w:after="0"/>
              <w:rPr>
                <w:sz w:val="20"/>
                <w:szCs w:val="20"/>
                <w:color w:val="auto"/>
              </w:rPr>
            </w:pPr>
            <w:r>
              <w:rPr>
                <w:rFonts w:ascii="Arial" w:cs="Arial" w:eastAsia="Arial" w:hAnsi="Arial"/>
                <w:sz w:val="14"/>
                <w:szCs w:val="14"/>
                <w:color w:val="auto"/>
              </w:rPr>
              <w:t>Common Stock</w:t>
            </w: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1,366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11,908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52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gridSpan w:val="2"/>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44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color w:val="auto"/>
                <w:w w:val="76"/>
              </w:rPr>
              <w:t>93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City Gear, LLC</w:t>
            </w:r>
          </w:p>
        </w:tc>
        <w:tc>
          <w:tcPr>
            <w:tcW w:w="40" w:type="dxa"/>
            <w:vAlign w:val="bottom"/>
          </w:tcPr>
          <w:p>
            <w:pPr>
              <w:spacing w:after="0"/>
              <w:rPr>
                <w:sz w:val="12"/>
                <w:szCs w:val="12"/>
                <w:color w:val="auto"/>
              </w:rPr>
            </w:pPr>
          </w:p>
        </w:tc>
        <w:tc>
          <w:tcPr>
            <w:tcW w:w="2700" w:type="dxa"/>
            <w:vAlign w:val="bottom"/>
            <w:gridSpan w:val="2"/>
            <w:vMerge w:val="restart"/>
          </w:tcPr>
          <w:p>
            <w:pPr>
              <w:ind w:left="80"/>
              <w:spacing w:after="0"/>
              <w:rPr>
                <w:sz w:val="20"/>
                <w:szCs w:val="20"/>
                <w:color w:val="auto"/>
              </w:rPr>
            </w:pPr>
            <w:r>
              <w:rPr>
                <w:rFonts w:ascii="Arial" w:cs="Arial" w:eastAsia="Arial" w:hAnsi="Arial"/>
                <w:sz w:val="14"/>
                <w:szCs w:val="14"/>
                <w:color w:val="auto"/>
              </w:rPr>
              <w:t>Subordinated Debt (13% Cash, Due</w:t>
            </w: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52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(93)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40"/>
              <w:spacing w:after="0" w:line="142" w:lineRule="exact"/>
              <w:rPr>
                <w:sz w:val="20"/>
                <w:szCs w:val="20"/>
                <w:color w:val="auto"/>
              </w:rPr>
            </w:pPr>
            <w:r>
              <w:rPr>
                <w:rFonts w:ascii="Arial" w:cs="Arial" w:eastAsia="Arial" w:hAnsi="Arial"/>
                <w:sz w:val="14"/>
                <w:szCs w:val="14"/>
                <w:color w:val="auto"/>
                <w:w w:val="76"/>
              </w:rPr>
              <w:t>93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City Gear, LLC</w:t>
            </w:r>
            <w:r>
              <w:rPr>
                <w:rFonts w:ascii="Arial" w:cs="Arial" w:eastAsia="Arial" w:hAnsi="Arial"/>
                <w:sz w:val="23"/>
                <w:szCs w:val="23"/>
                <w:color w:val="auto"/>
                <w:vertAlign w:val="superscript"/>
              </w:rPr>
              <w:t>(5)</w:t>
            </w:r>
          </w:p>
        </w:tc>
        <w:tc>
          <w:tcPr>
            <w:tcW w:w="2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9/28/17)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1,088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ind w:lef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820" w:type="dxa"/>
            <w:vAlign w:val="bottom"/>
            <w:gridSpan w:val="3"/>
          </w:tcPr>
          <w:p>
            <w:pPr>
              <w:ind w:left="80"/>
              <w:spacing w:after="0"/>
              <w:rPr>
                <w:sz w:val="20"/>
                <w:szCs w:val="20"/>
                <w:color w:val="auto"/>
              </w:rPr>
            </w:pPr>
            <w:r>
              <w:rPr>
                <w:rFonts w:ascii="Arial" w:cs="Arial" w:eastAsia="Arial" w:hAnsi="Arial"/>
                <w:sz w:val="14"/>
                <w:szCs w:val="14"/>
                <w:color w:val="auto"/>
              </w:rPr>
              <w:t>Preferred Membership Units (2.78% fully</w:t>
            </w: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823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1,269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4"/>
            <w:vMerge w:val="restart"/>
          </w:tcPr>
          <w:p>
            <w:pPr>
              <w:ind w:left="520"/>
              <w:spacing w:after="0"/>
              <w:rPr>
                <w:sz w:val="20"/>
                <w:szCs w:val="20"/>
                <w:color w:val="auto"/>
              </w:rPr>
            </w:pPr>
            <w:r>
              <w:rPr>
                <w:rFonts w:ascii="Arial" w:cs="Arial" w:eastAsia="Arial" w:hAnsi="Arial"/>
                <w:sz w:val="14"/>
                <w:szCs w:val="14"/>
                <w:color w:val="auto"/>
              </w:rPr>
              <w:t>—</w:t>
            </w:r>
          </w:p>
        </w:tc>
        <w:tc>
          <w:tcPr>
            <w:tcW w:w="940" w:type="dxa"/>
            <w:vAlign w:val="bottom"/>
            <w:gridSpan w:val="4"/>
            <w:vMerge w:val="restart"/>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20" w:type="dxa"/>
            <w:vAlign w:val="bottom"/>
            <w:gridSpan w:val="3"/>
          </w:tcPr>
          <w:p>
            <w:pPr>
              <w:ind w:left="80"/>
              <w:spacing w:after="0" w:line="137" w:lineRule="exact"/>
              <w:rPr>
                <w:sz w:val="20"/>
                <w:szCs w:val="20"/>
                <w:color w:val="auto"/>
              </w:rPr>
            </w:pPr>
            <w:r>
              <w:rPr>
                <w:rFonts w:ascii="Arial" w:cs="Arial" w:eastAsia="Arial" w:hAnsi="Arial"/>
                <w:sz w:val="14"/>
                <w:szCs w:val="14"/>
                <w:color w:val="auto"/>
              </w:rPr>
              <w:t>diluted, 9% Cash Dividend)</w:t>
            </w: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City Gear, LLC</w:t>
            </w:r>
          </w:p>
        </w:tc>
        <w:tc>
          <w:tcPr>
            <w:tcW w:w="40" w:type="dxa"/>
            <w:vAlign w:val="bottom"/>
          </w:tcPr>
          <w:p>
            <w:pPr>
              <w:spacing w:after="0"/>
              <w:rPr>
                <w:sz w:val="12"/>
                <w:szCs w:val="12"/>
                <w:color w:val="auto"/>
              </w:rPr>
            </w:pPr>
          </w:p>
        </w:tc>
        <w:tc>
          <w:tcPr>
            <w:tcW w:w="28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Membership Unit Warrants (11.38% fully</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20" w:type="dxa"/>
            <w:vAlign w:val="bottom"/>
            <w:gridSpan w:val="3"/>
          </w:tcPr>
          <w:p>
            <w:pPr>
              <w:ind w:left="80"/>
              <w:spacing w:after="0"/>
              <w:rPr>
                <w:sz w:val="20"/>
                <w:szCs w:val="20"/>
                <w:color w:val="auto"/>
              </w:rPr>
            </w:pPr>
            <w:r>
              <w:rPr>
                <w:rFonts w:ascii="Arial" w:cs="Arial" w:eastAsia="Arial" w:hAnsi="Arial"/>
                <w:sz w:val="14"/>
                <w:szCs w:val="14"/>
                <w:color w:val="auto"/>
              </w:rPr>
              <w:t>diluted)</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9,182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554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9,736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w w:val="98"/>
              </w:rPr>
              <w:t>Corporate Visions, Inc.</w:t>
            </w:r>
          </w:p>
        </w:tc>
        <w:tc>
          <w:tcPr>
            <w:tcW w:w="40" w:type="dxa"/>
            <w:vAlign w:val="bottom"/>
          </w:tcPr>
          <w:p>
            <w:pPr>
              <w:spacing w:after="0"/>
              <w:rPr>
                <w:sz w:val="12"/>
                <w:szCs w:val="12"/>
                <w:color w:val="auto"/>
              </w:rPr>
            </w:pPr>
          </w:p>
        </w:tc>
        <w:tc>
          <w:tcPr>
            <w:tcW w:w="2700" w:type="dxa"/>
            <w:vAlign w:val="bottom"/>
            <w:gridSpan w:val="2"/>
            <w:vMerge w:val="restart"/>
          </w:tcPr>
          <w:p>
            <w:pPr>
              <w:ind w:left="80"/>
              <w:spacing w:after="0"/>
              <w:rPr>
                <w:sz w:val="20"/>
                <w:szCs w:val="20"/>
                <w:color w:val="auto"/>
              </w:rPr>
            </w:pPr>
            <w:r>
              <w:rPr>
                <w:rFonts w:ascii="Arial" w:cs="Arial" w:eastAsia="Arial" w:hAnsi="Arial"/>
                <w:sz w:val="14"/>
                <w:szCs w:val="14"/>
                <w:color w:val="auto"/>
              </w:rPr>
              <w:t>Common Stock</w:t>
            </w: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1,911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18,682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44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380"/>
              <w:spacing w:after="0" w:line="142" w:lineRule="exact"/>
              <w:rPr>
                <w:sz w:val="20"/>
                <w:szCs w:val="20"/>
                <w:color w:val="auto"/>
              </w:rPr>
            </w:pPr>
            <w:r>
              <w:rPr>
                <w:rFonts w:ascii="Arial" w:cs="Arial" w:eastAsia="Arial" w:hAnsi="Arial"/>
                <w:sz w:val="14"/>
                <w:szCs w:val="14"/>
                <w:color w:val="auto"/>
                <w:w w:val="76"/>
              </w:rPr>
              <w:t>718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GA Communications,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380"/>
              <w:spacing w:after="0" w:line="142" w:lineRule="exact"/>
              <w:rPr>
                <w:sz w:val="20"/>
                <w:szCs w:val="20"/>
                <w:color w:val="auto"/>
              </w:rPr>
            </w:pPr>
            <w:r>
              <w:rPr>
                <w:rFonts w:ascii="Arial" w:cs="Arial" w:eastAsia="Arial" w:hAnsi="Arial"/>
                <w:sz w:val="14"/>
                <w:szCs w:val="14"/>
                <w:color w:val="auto"/>
                <w:w w:val="76"/>
              </w:rPr>
              <w:t>718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820" w:type="dxa"/>
            <w:vAlign w:val="bottom"/>
            <w:gridSpan w:val="3"/>
          </w:tcPr>
          <w:p>
            <w:pPr>
              <w:ind w:left="80"/>
              <w:spacing w:after="0" w:line="155" w:lineRule="exact"/>
              <w:rPr>
                <w:sz w:val="20"/>
                <w:szCs w:val="20"/>
                <w:color w:val="auto"/>
              </w:rPr>
            </w:pPr>
            <w:r>
              <w:rPr>
                <w:rFonts w:ascii="Arial" w:cs="Arial" w:eastAsia="Arial" w:hAnsi="Arial"/>
                <w:sz w:val="14"/>
                <w:szCs w:val="14"/>
                <w:color w:val="auto"/>
              </w:rPr>
              <w:t>Series A-1 Preferred Stock (1,998 shares,</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20" w:type="dxa"/>
            <w:vAlign w:val="bottom"/>
            <w:gridSpan w:val="2"/>
          </w:tcPr>
          <w:p>
            <w:pPr>
              <w:ind w:left="180"/>
              <w:spacing w:after="0" w:line="157" w:lineRule="exact"/>
              <w:rPr>
                <w:sz w:val="20"/>
                <w:szCs w:val="20"/>
                <w:color w:val="auto"/>
              </w:rPr>
            </w:pPr>
            <w:r>
              <w:rPr>
                <w:rFonts w:ascii="Arial" w:cs="Arial" w:eastAsia="Arial" w:hAnsi="Arial"/>
                <w:sz w:val="12"/>
                <w:szCs w:val="12"/>
                <w:color w:val="auto"/>
              </w:rPr>
              <w:t>Inc.</w:t>
            </w:r>
            <w:r>
              <w:rPr>
                <w:rFonts w:ascii="Arial" w:cs="Arial" w:eastAsia="Arial" w:hAnsi="Arial"/>
                <w:sz w:val="18"/>
                <w:szCs w:val="18"/>
                <w:color w:val="auto"/>
                <w:vertAlign w:val="superscript"/>
              </w:rPr>
              <w:t>(5)</w:t>
            </w:r>
          </w:p>
        </w:tc>
        <w:tc>
          <w:tcPr>
            <w:tcW w:w="40" w:type="dxa"/>
            <w:vAlign w:val="bottom"/>
          </w:tcPr>
          <w:p>
            <w:pPr>
              <w:spacing w:after="0"/>
              <w:rPr>
                <w:sz w:val="13"/>
                <w:szCs w:val="13"/>
                <w:color w:val="auto"/>
              </w:rPr>
            </w:pPr>
          </w:p>
        </w:tc>
        <w:tc>
          <w:tcPr>
            <w:tcW w:w="2820" w:type="dxa"/>
            <w:vAlign w:val="bottom"/>
            <w:gridSpan w:val="3"/>
          </w:tcPr>
          <w:p>
            <w:pPr>
              <w:ind w:left="80"/>
              <w:spacing w:after="0" w:line="157" w:lineRule="exact"/>
              <w:rPr>
                <w:sz w:val="20"/>
                <w:szCs w:val="20"/>
                <w:color w:val="auto"/>
              </w:rPr>
            </w:pPr>
            <w:r>
              <w:rPr>
                <w:rFonts w:ascii="Arial" w:cs="Arial" w:eastAsia="Arial" w:hAnsi="Arial"/>
                <w:sz w:val="14"/>
                <w:szCs w:val="14"/>
                <w:color w:val="auto"/>
              </w:rPr>
              <w:t>8% PIK Dividend)</w:t>
            </w:r>
          </w:p>
        </w:tc>
        <w:tc>
          <w:tcPr>
            <w:tcW w:w="88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2,764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79"/>
              <w:spacing w:after="0" w:line="157" w:lineRule="exact"/>
              <w:rPr>
                <w:sz w:val="20"/>
                <w:szCs w:val="20"/>
                <w:color w:val="auto"/>
              </w:rPr>
            </w:pPr>
            <w:r>
              <w:rPr>
                <w:rFonts w:ascii="Arial" w:cs="Arial" w:eastAsia="Arial" w:hAnsi="Arial"/>
                <w:sz w:val="14"/>
                <w:szCs w:val="14"/>
                <w:color w:val="auto"/>
              </w:rPr>
              <w:t>(135)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2,864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GA Communications,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40" w:type="dxa"/>
            <w:vAlign w:val="bottom"/>
          </w:tcPr>
          <w:p>
            <w:pPr>
              <w:spacing w:after="0"/>
              <w:rPr>
                <w:sz w:val="14"/>
                <w:szCs w:val="14"/>
                <w:color w:val="auto"/>
              </w:rPr>
            </w:pPr>
          </w:p>
        </w:tc>
        <w:tc>
          <w:tcPr>
            <w:tcW w:w="2820" w:type="dxa"/>
            <w:vAlign w:val="bottom"/>
            <w:gridSpan w:val="3"/>
          </w:tcPr>
          <w:p>
            <w:pPr>
              <w:ind w:left="80"/>
              <w:spacing w:after="0"/>
              <w:rPr>
                <w:sz w:val="20"/>
                <w:szCs w:val="20"/>
                <w:color w:val="auto"/>
              </w:rPr>
            </w:pPr>
            <w:r>
              <w:rPr>
                <w:rFonts w:ascii="Arial" w:cs="Arial" w:eastAsia="Arial" w:hAnsi="Arial"/>
                <w:sz w:val="14"/>
                <w:szCs w:val="14"/>
                <w:color w:val="auto"/>
                <w:w w:val="99"/>
              </w:rPr>
              <w:t>Series B-1 Common Stock (200,000 shares)</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1,162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ind w:left="5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79"/>
              <w:spacing w:after="0"/>
              <w:rPr>
                <w:sz w:val="20"/>
                <w:szCs w:val="20"/>
                <w:color w:val="auto"/>
              </w:rPr>
            </w:pPr>
            <w:r>
              <w:rPr>
                <w:rFonts w:ascii="Arial" w:cs="Arial" w:eastAsia="Arial" w:hAnsi="Arial"/>
                <w:sz w:val="14"/>
                <w:szCs w:val="14"/>
                <w:color w:val="auto"/>
              </w:rPr>
              <w:t>(116)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w w:val="98"/>
              </w:rPr>
              <w:t>J&amp;J Produce Holdings,</w:t>
            </w:r>
          </w:p>
        </w:tc>
        <w:tc>
          <w:tcPr>
            <w:tcW w:w="40" w:type="dxa"/>
            <w:vAlign w:val="bottom"/>
          </w:tcPr>
          <w:p>
            <w:pPr>
              <w:spacing w:after="0"/>
              <w:rPr>
                <w:sz w:val="12"/>
                <w:szCs w:val="12"/>
                <w:color w:val="auto"/>
              </w:rPr>
            </w:pPr>
          </w:p>
        </w:tc>
        <w:tc>
          <w:tcPr>
            <w:tcW w:w="2700" w:type="dxa"/>
            <w:vAlign w:val="bottom"/>
            <w:gridSpan w:val="2"/>
            <w:vMerge w:val="restart"/>
          </w:tcPr>
          <w:p>
            <w:pPr>
              <w:ind w:left="80"/>
              <w:spacing w:after="0"/>
              <w:rPr>
                <w:sz w:val="20"/>
                <w:szCs w:val="20"/>
                <w:color w:val="auto"/>
              </w:rPr>
            </w:pPr>
            <w:r>
              <w:rPr>
                <w:rFonts w:ascii="Arial" w:cs="Arial" w:eastAsia="Arial" w:hAnsi="Arial"/>
                <w:sz w:val="14"/>
                <w:szCs w:val="14"/>
                <w:color w:val="auto"/>
              </w:rPr>
              <w:t>Subordinated Debt (13% Cash, Due</w:t>
            </w: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3,926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44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3,910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w:t>
            </w:r>
          </w:p>
        </w:tc>
        <w:tc>
          <w:tcPr>
            <w:tcW w:w="2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7/16/18)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774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5,182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w w:val="98"/>
              </w:rPr>
              <w:t>J&amp;J Produce Holdings,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w:t>
            </w:r>
          </w:p>
        </w:tc>
        <w:tc>
          <w:tcPr>
            <w:tcW w:w="40" w:type="dxa"/>
            <w:vAlign w:val="bottom"/>
          </w:tcPr>
          <w:p>
            <w:pPr>
              <w:spacing w:after="0"/>
              <w:rPr>
                <w:sz w:val="12"/>
                <w:szCs w:val="12"/>
                <w:color w:val="auto"/>
              </w:rPr>
            </w:pPr>
          </w:p>
        </w:tc>
        <w:tc>
          <w:tcPr>
            <w:tcW w:w="28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Common Stock (8,182 shares)</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ind w:lef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w w:val="98"/>
              </w:rPr>
              <w:t>J&amp;J Produce Holdings,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40" w:type="dxa"/>
            <w:vAlign w:val="bottom"/>
          </w:tcPr>
          <w:p>
            <w:pPr>
              <w:spacing w:after="0"/>
              <w:rPr>
                <w:sz w:val="14"/>
                <w:szCs w:val="14"/>
                <w:color w:val="auto"/>
              </w:rPr>
            </w:pPr>
          </w:p>
        </w:tc>
        <w:tc>
          <w:tcPr>
            <w:tcW w:w="2820" w:type="dxa"/>
            <w:vAlign w:val="bottom"/>
            <w:gridSpan w:val="3"/>
          </w:tcPr>
          <w:p>
            <w:pPr>
              <w:ind w:left="80"/>
              <w:spacing w:after="0"/>
              <w:rPr>
                <w:sz w:val="20"/>
                <w:szCs w:val="20"/>
                <w:color w:val="auto"/>
              </w:rPr>
            </w:pPr>
            <w:r>
              <w:rPr>
                <w:rFonts w:ascii="Arial" w:cs="Arial" w:eastAsia="Arial" w:hAnsi="Arial"/>
                <w:sz w:val="14"/>
                <w:szCs w:val="14"/>
                <w:color w:val="auto"/>
              </w:rPr>
              <w:t>Common Stock Warrants (6,369 shares)</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ind w:left="520"/>
              <w:spacing w:after="0"/>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LJS Partners, LLC</w:t>
            </w:r>
          </w:p>
        </w:tc>
        <w:tc>
          <w:tcPr>
            <w:tcW w:w="40" w:type="dxa"/>
            <w:vAlign w:val="bottom"/>
          </w:tcPr>
          <w:p>
            <w:pPr>
              <w:spacing w:after="0"/>
              <w:rPr>
                <w:sz w:val="12"/>
                <w:szCs w:val="12"/>
                <w:color w:val="auto"/>
              </w:rPr>
            </w:pPr>
          </w:p>
        </w:tc>
        <w:tc>
          <w:tcPr>
            <w:tcW w:w="2700" w:type="dxa"/>
            <w:vAlign w:val="bottom"/>
            <w:gridSpan w:val="2"/>
            <w:vMerge w:val="restart"/>
          </w:tcPr>
          <w:p>
            <w:pPr>
              <w:ind w:left="80"/>
              <w:spacing w:after="0"/>
              <w:rPr>
                <w:sz w:val="20"/>
                <w:szCs w:val="20"/>
                <w:color w:val="auto"/>
              </w:rPr>
            </w:pPr>
            <w:r>
              <w:rPr>
                <w:rFonts w:ascii="Arial" w:cs="Arial" w:eastAsia="Arial" w:hAnsi="Arial"/>
                <w:sz w:val="14"/>
                <w:szCs w:val="14"/>
                <w:color w:val="auto"/>
              </w:rPr>
              <w:t>Common Stock (1,500,000 shares)</w:t>
            </w: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774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5,182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44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3,342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5,155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MJC Holdings, LLC</w:t>
            </w:r>
          </w:p>
        </w:tc>
        <w:tc>
          <w:tcPr>
            <w:tcW w:w="40" w:type="dxa"/>
            <w:vAlign w:val="bottom"/>
          </w:tcPr>
          <w:p>
            <w:pPr>
              <w:spacing w:after="0"/>
              <w:rPr>
                <w:sz w:val="12"/>
                <w:szCs w:val="12"/>
                <w:color w:val="auto"/>
              </w:rPr>
            </w:pPr>
          </w:p>
        </w:tc>
        <w:tc>
          <w:tcPr>
            <w:tcW w:w="2700" w:type="dxa"/>
            <w:vAlign w:val="bottom"/>
            <w:gridSpan w:val="2"/>
            <w:vMerge w:val="restart"/>
          </w:tcPr>
          <w:p>
            <w:pPr>
              <w:ind w:left="80"/>
              <w:spacing w:after="0"/>
              <w:rPr>
                <w:sz w:val="20"/>
                <w:szCs w:val="20"/>
                <w:color w:val="auto"/>
              </w:rPr>
            </w:pPr>
            <w:r>
              <w:rPr>
                <w:rFonts w:ascii="Arial" w:cs="Arial" w:eastAsia="Arial" w:hAnsi="Arial"/>
                <w:sz w:val="14"/>
                <w:szCs w:val="14"/>
                <w:color w:val="auto"/>
              </w:rPr>
              <w:t>Series A Preferred Units (2,000,000 units)</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3,342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5,155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4,696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2"/>
                <w:szCs w:val="12"/>
                <w:color w:val="auto"/>
              </w:rPr>
            </w:pPr>
          </w:p>
        </w:tc>
        <w:tc>
          <w:tcPr>
            <w:tcW w:w="270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 Lien Debt (12% Cash, Due 1/31/18)</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4,696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20"/>
              <w:spacing w:after="0" w:line="123" w:lineRule="exact"/>
              <w:rPr>
                <w:sz w:val="20"/>
                <w:szCs w:val="20"/>
                <w:color w:val="auto"/>
              </w:rPr>
            </w:pPr>
            <w:r>
              <w:rPr>
                <w:rFonts w:ascii="Arial" w:cs="Arial" w:eastAsia="Arial" w:hAnsi="Arial"/>
                <w:sz w:val="14"/>
                <w:szCs w:val="14"/>
                <w:color w:val="auto"/>
              </w:rPr>
              <w:t>316</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2,600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ind w:left="520"/>
              <w:spacing w:after="0" w:line="123" w:lineRule="exact"/>
              <w:rPr>
                <w:sz w:val="20"/>
                <w:szCs w:val="20"/>
                <w:color w:val="auto"/>
              </w:rPr>
            </w:pPr>
            <w:r>
              <w:rPr>
                <w:rFonts w:ascii="Arial" w:cs="Arial" w:eastAsia="Arial" w:hAnsi="Arial"/>
                <w:sz w:val="14"/>
                <w:szCs w:val="14"/>
                <w:color w:val="auto"/>
                <w:w w:val="85"/>
              </w:rPr>
              <w:t>—</w:t>
            </w:r>
          </w:p>
        </w:tc>
        <w:tc>
          <w:tcPr>
            <w:tcW w:w="1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40"/>
              <w:spacing w:after="0" w:line="123"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2,600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2"/>
                <w:szCs w:val="12"/>
                <w:color w:val="auto"/>
              </w:rPr>
            </w:pPr>
          </w:p>
        </w:tc>
        <w:tc>
          <w:tcPr>
            <w:tcW w:w="28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Subordinated Debt (6% Cash, Due 1/31/18)</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ind w:lef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20" w:type="dxa"/>
            <w:vAlign w:val="bottom"/>
            <w:gridSpan w:val="2"/>
          </w:tcPr>
          <w:p>
            <w:pPr>
              <w:spacing w:after="0" w:line="181" w:lineRule="exact"/>
              <w:rPr>
                <w:sz w:val="20"/>
                <w:szCs w:val="20"/>
                <w:color w:val="auto"/>
              </w:rPr>
            </w:pPr>
            <w:r>
              <w:rPr>
                <w:rFonts w:ascii="Arial" w:cs="Arial" w:eastAsia="Arial" w:hAnsi="Arial"/>
                <w:sz w:val="13"/>
                <w:szCs w:val="13"/>
                <w:color w:val="auto"/>
              </w:rPr>
              <w:t>MMI Holdings, LLC</w:t>
            </w:r>
            <w:r>
              <w:rPr>
                <w:rFonts w:ascii="Arial" w:cs="Arial" w:eastAsia="Arial" w:hAnsi="Arial"/>
                <w:sz w:val="20"/>
                <w:szCs w:val="20"/>
                <w:color w:val="auto"/>
                <w:vertAlign w:val="superscript"/>
              </w:rPr>
              <w:t>(5)</w:t>
            </w:r>
          </w:p>
        </w:tc>
        <w:tc>
          <w:tcPr>
            <w:tcW w:w="40" w:type="dxa"/>
            <w:vAlign w:val="bottom"/>
          </w:tcPr>
          <w:p>
            <w:pPr>
              <w:spacing w:after="0"/>
              <w:rPr>
                <w:sz w:val="15"/>
                <w:szCs w:val="15"/>
                <w:color w:val="auto"/>
              </w:rPr>
            </w:pPr>
          </w:p>
        </w:tc>
        <w:tc>
          <w:tcPr>
            <w:tcW w:w="2820" w:type="dxa"/>
            <w:vAlign w:val="bottom"/>
            <w:gridSpan w:val="3"/>
          </w:tcPr>
          <w:p>
            <w:pPr>
              <w:ind w:left="80"/>
              <w:spacing w:after="0"/>
              <w:rPr>
                <w:sz w:val="20"/>
                <w:szCs w:val="20"/>
                <w:color w:val="auto"/>
              </w:rPr>
            </w:pPr>
            <w:r>
              <w:rPr>
                <w:rFonts w:ascii="Arial" w:cs="Arial" w:eastAsia="Arial" w:hAnsi="Arial"/>
                <w:sz w:val="14"/>
                <w:szCs w:val="14"/>
                <w:color w:val="auto"/>
              </w:rPr>
              <w:t>Preferred Units (1,000 units, 6% PIK</w:t>
            </w:r>
          </w:p>
        </w:tc>
        <w:tc>
          <w:tcPr>
            <w:tcW w:w="8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1,350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4"/>
                <w:szCs w:val="14"/>
                <w:color w:val="auto"/>
              </w:rPr>
              <w:t>83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4"/>
            <w:vMerge w:val="restart"/>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1,433</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20" w:type="dxa"/>
            <w:vAlign w:val="bottom"/>
            <w:gridSpan w:val="3"/>
          </w:tcPr>
          <w:p>
            <w:pPr>
              <w:ind w:left="80"/>
              <w:spacing w:after="0" w:line="116" w:lineRule="exact"/>
              <w:rPr>
                <w:sz w:val="20"/>
                <w:szCs w:val="20"/>
                <w:color w:val="auto"/>
              </w:rPr>
            </w:pPr>
            <w:r>
              <w:rPr>
                <w:rFonts w:ascii="Arial" w:cs="Arial" w:eastAsia="Arial" w:hAnsi="Arial"/>
                <w:sz w:val="13"/>
                <w:szCs w:val="13"/>
                <w:color w:val="auto"/>
              </w:rPr>
              <w:t>dividend)</w:t>
            </w: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4"/>
                <w:szCs w:val="14"/>
                <w:color w:val="auto"/>
              </w:rPr>
            </w:pPr>
          </w:p>
        </w:tc>
        <w:tc>
          <w:tcPr>
            <w:tcW w:w="2820" w:type="dxa"/>
            <w:vAlign w:val="bottom"/>
            <w:gridSpan w:val="3"/>
          </w:tcPr>
          <w:p>
            <w:pPr>
              <w:ind w:left="80"/>
              <w:spacing w:after="0"/>
              <w:rPr>
                <w:sz w:val="20"/>
                <w:szCs w:val="20"/>
                <w:color w:val="auto"/>
              </w:rPr>
            </w:pPr>
            <w:r>
              <w:rPr>
                <w:rFonts w:ascii="Arial" w:cs="Arial" w:eastAsia="Arial" w:hAnsi="Arial"/>
                <w:sz w:val="14"/>
                <w:szCs w:val="14"/>
                <w:color w:val="auto"/>
              </w:rPr>
              <w:t>Common Membership Units (45 units)</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319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ind w:left="5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79"/>
              <w:spacing w:after="0"/>
              <w:rPr>
                <w:sz w:val="20"/>
                <w:szCs w:val="20"/>
                <w:color w:val="auto"/>
              </w:rPr>
            </w:pPr>
            <w:r>
              <w:rPr>
                <w:rFonts w:ascii="Arial" w:cs="Arial" w:eastAsia="Arial" w:hAnsi="Arial"/>
                <w:sz w:val="14"/>
                <w:szCs w:val="14"/>
                <w:color w:val="auto"/>
              </w:rPr>
              <w:t>(91)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MTI Holdings, LLC</w:t>
            </w:r>
          </w:p>
        </w:tc>
        <w:tc>
          <w:tcPr>
            <w:tcW w:w="40" w:type="dxa"/>
            <w:vAlign w:val="bottom"/>
          </w:tcPr>
          <w:p>
            <w:pPr>
              <w:spacing w:after="0"/>
              <w:rPr>
                <w:sz w:val="12"/>
                <w:szCs w:val="12"/>
                <w:color w:val="auto"/>
              </w:rPr>
            </w:pPr>
          </w:p>
        </w:tc>
        <w:tc>
          <w:tcPr>
            <w:tcW w:w="2700" w:type="dxa"/>
            <w:vAlign w:val="bottom"/>
            <w:gridSpan w:val="2"/>
            <w:vMerge w:val="restart"/>
          </w:tcPr>
          <w:p>
            <w:pPr>
              <w:ind w:left="80"/>
              <w:spacing w:after="0"/>
              <w:rPr>
                <w:sz w:val="20"/>
                <w:szCs w:val="20"/>
                <w:color w:val="auto"/>
              </w:rPr>
            </w:pPr>
            <w:r>
              <w:rPr>
                <w:rFonts w:ascii="Arial" w:cs="Arial" w:eastAsia="Arial" w:hAnsi="Arial"/>
                <w:sz w:val="14"/>
                <w:szCs w:val="14"/>
                <w:color w:val="auto"/>
              </w:rPr>
              <w:t>Subordinated Debt (12% Cash, Due</w:t>
            </w: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340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4,669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520"/>
              <w:spacing w:after="0" w:line="142" w:lineRule="exact"/>
              <w:rPr>
                <w:sz w:val="20"/>
                <w:szCs w:val="20"/>
                <w:color w:val="auto"/>
              </w:rPr>
            </w:pPr>
            <w:r>
              <w:rPr>
                <w:rFonts w:ascii="Arial" w:cs="Arial" w:eastAsia="Arial" w:hAnsi="Arial"/>
                <w:sz w:val="14"/>
                <w:szCs w:val="14"/>
                <w:color w:val="auto"/>
                <w:w w:val="76"/>
              </w:rPr>
              <w:t>83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44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4,661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11/1/18)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ind w:left="5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(8,000)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MTI Holdings, LLC</w:t>
            </w:r>
          </w:p>
        </w:tc>
        <w:tc>
          <w:tcPr>
            <w:tcW w:w="40" w:type="dxa"/>
            <w:vAlign w:val="bottom"/>
          </w:tcPr>
          <w:p>
            <w:pPr>
              <w:spacing w:after="0"/>
              <w:rPr>
                <w:sz w:val="14"/>
                <w:szCs w:val="14"/>
                <w:color w:val="auto"/>
              </w:rPr>
            </w:pPr>
          </w:p>
        </w:tc>
        <w:tc>
          <w:tcPr>
            <w:tcW w:w="2820" w:type="dxa"/>
            <w:vAlign w:val="bottom"/>
            <w:gridSpan w:val="3"/>
          </w:tcPr>
          <w:p>
            <w:pPr>
              <w:ind w:left="80"/>
              <w:spacing w:after="0"/>
              <w:rPr>
                <w:sz w:val="20"/>
                <w:szCs w:val="20"/>
                <w:color w:val="auto"/>
              </w:rPr>
            </w:pPr>
            <w:r>
              <w:rPr>
                <w:rFonts w:ascii="Arial" w:cs="Arial" w:eastAsia="Arial" w:hAnsi="Arial"/>
                <w:sz w:val="14"/>
                <w:szCs w:val="14"/>
                <w:color w:val="auto"/>
              </w:rPr>
              <w:t>Membership Units (2,000,000 units)</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13,917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ind w:left="5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79"/>
              <w:spacing w:after="0"/>
              <w:rPr>
                <w:sz w:val="20"/>
                <w:szCs w:val="20"/>
                <w:color w:val="auto"/>
              </w:rPr>
            </w:pPr>
            <w:r>
              <w:rPr>
                <w:rFonts w:ascii="Arial" w:cs="Arial" w:eastAsia="Arial" w:hAnsi="Arial"/>
                <w:sz w:val="14"/>
                <w:szCs w:val="14"/>
                <w:color w:val="auto"/>
              </w:rPr>
              <w:t>(22,107)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60"/>
              <w:spacing w:after="0"/>
              <w:rPr>
                <w:sz w:val="20"/>
                <w:szCs w:val="20"/>
                <w:color w:val="auto"/>
              </w:rPr>
            </w:pPr>
            <w:r>
              <w:rPr>
                <w:rFonts w:ascii="Arial" w:cs="Arial" w:eastAsia="Arial" w:hAnsi="Arial"/>
                <w:sz w:val="14"/>
                <w:szCs w:val="14"/>
                <w:color w:val="auto"/>
              </w:rPr>
              <w:t>8,727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Source Capital SSCR,</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581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21,917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52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gridSpan w:val="2"/>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(30,107</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w w:val="85"/>
              </w:rPr>
              <w:t>8,727</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LLC</w:t>
            </w:r>
          </w:p>
        </w:tc>
        <w:tc>
          <w:tcPr>
            <w:tcW w:w="40" w:type="dxa"/>
            <w:vAlign w:val="bottom"/>
          </w:tcPr>
          <w:p>
            <w:pPr>
              <w:spacing w:after="0"/>
              <w:rPr>
                <w:sz w:val="14"/>
                <w:szCs w:val="14"/>
                <w:color w:val="auto"/>
              </w:rPr>
            </w:pPr>
          </w:p>
        </w:tc>
        <w:tc>
          <w:tcPr>
            <w:tcW w:w="2820" w:type="dxa"/>
            <w:vAlign w:val="bottom"/>
            <w:gridSpan w:val="3"/>
          </w:tcPr>
          <w:p>
            <w:pPr>
              <w:ind w:left="80"/>
              <w:spacing w:after="0"/>
              <w:rPr>
                <w:sz w:val="20"/>
                <w:szCs w:val="20"/>
                <w:color w:val="auto"/>
              </w:rPr>
            </w:pPr>
            <w:r>
              <w:rPr>
                <w:rFonts w:ascii="Arial" w:cs="Arial" w:eastAsia="Arial" w:hAnsi="Arial"/>
                <w:sz w:val="14"/>
                <w:szCs w:val="14"/>
                <w:color w:val="auto"/>
              </w:rPr>
              <w:t>Subordinated Debt</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4"/>
                <w:szCs w:val="14"/>
                <w:color w:val="auto"/>
              </w:rPr>
              <w:t>(245)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245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Source Capital</w:t>
            </w:r>
          </w:p>
        </w:tc>
        <w:tc>
          <w:tcPr>
            <w:tcW w:w="40" w:type="dxa"/>
            <w:vAlign w:val="bottom"/>
          </w:tcPr>
          <w:p>
            <w:pPr>
              <w:spacing w:after="0"/>
              <w:rPr>
                <w:sz w:val="12"/>
                <w:szCs w:val="12"/>
                <w:color w:val="auto"/>
              </w:rPr>
            </w:pPr>
          </w:p>
        </w:tc>
        <w:tc>
          <w:tcPr>
            <w:tcW w:w="270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 Lien Debt (12% Cash, 3% PIK, Due</w:t>
            </w: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52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gridSpan w:val="2"/>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380"/>
              <w:spacing w:after="0" w:line="142" w:lineRule="exact"/>
              <w:rPr>
                <w:sz w:val="20"/>
                <w:szCs w:val="20"/>
                <w:color w:val="auto"/>
              </w:rPr>
            </w:pPr>
            <w:r>
              <w:rPr>
                <w:rFonts w:ascii="Arial" w:cs="Arial" w:eastAsia="Arial" w:hAnsi="Arial"/>
                <w:sz w:val="14"/>
                <w:szCs w:val="14"/>
                <w:color w:val="auto"/>
                <w:w w:val="76"/>
              </w:rPr>
              <w:t>245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ABUTEC, LLC</w:t>
            </w:r>
          </w:p>
        </w:tc>
        <w:tc>
          <w:tcPr>
            <w:tcW w:w="2700" w:type="dxa"/>
            <w:vAlign w:val="bottom"/>
            <w:gridSpan w:val="2"/>
          </w:tcPr>
          <w:p>
            <w:pPr>
              <w:ind w:left="120"/>
              <w:spacing w:after="0"/>
              <w:rPr>
                <w:sz w:val="20"/>
                <w:szCs w:val="20"/>
                <w:color w:val="auto"/>
              </w:rPr>
            </w:pPr>
            <w:r>
              <w:rPr>
                <w:rFonts w:ascii="Arial" w:cs="Arial" w:eastAsia="Arial" w:hAnsi="Arial"/>
                <w:sz w:val="14"/>
                <w:szCs w:val="14"/>
                <w:color w:val="auto"/>
              </w:rPr>
              <w:t>12/28/17)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2,247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3,157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4"/>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220"/>
              <w:spacing w:after="0"/>
              <w:rPr>
                <w:sz w:val="20"/>
                <w:szCs w:val="20"/>
                <w:color w:val="auto"/>
              </w:rPr>
            </w:pPr>
            <w:r>
              <w:rPr>
                <w:rFonts w:ascii="Arial" w:cs="Arial" w:eastAsia="Arial" w:hAnsi="Arial"/>
                <w:sz w:val="14"/>
                <w:szCs w:val="14"/>
                <w:color w:val="auto"/>
              </w:rPr>
              <w:t>(5,404)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0" w:name="page141"/>
    <w:bookmarkEnd w:id="14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Transactions With Affiliated Companies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61575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51435</wp:posOffset>
            </wp:positionV>
            <wp:extent cx="615759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Amount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Interest Fees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or Dividends</w:t>
            </w:r>
          </w:p>
        </w:tc>
        <w:tc>
          <w:tcPr>
            <w:tcW w:w="4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35"/>
        </w:trPr>
        <w:tc>
          <w:tcPr>
            <w:tcW w:w="14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Portfolio Company</w:t>
            </w:r>
            <w:r>
              <w:rPr>
                <w:rFonts w:ascii="Arial" w:cs="Arial" w:eastAsia="Arial" w:hAnsi="Arial"/>
                <w:sz w:val="20"/>
                <w:szCs w:val="20"/>
                <w:b w:val="1"/>
                <w:bCs w:val="1"/>
                <w:color w:val="auto"/>
                <w:vertAlign w:val="superscript"/>
              </w:rPr>
              <w:t>(4)</w:t>
            </w: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Credited to</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2015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Gross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239"/>
              <w:spacing w:after="0" w:line="135" w:lineRule="exact"/>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28"/>
              <w:spacing w:after="0" w:line="135" w:lineRule="exact"/>
              <w:rPr>
                <w:sz w:val="20"/>
                <w:szCs w:val="20"/>
                <w:color w:val="auto"/>
              </w:rPr>
            </w:pPr>
            <w:r>
              <w:rPr>
                <w:rFonts w:ascii="Arial" w:cs="Arial" w:eastAsia="Arial" w:hAnsi="Arial"/>
                <w:sz w:val="13"/>
                <w:szCs w:val="13"/>
                <w:b w:val="1"/>
                <w:bCs w:val="1"/>
                <w:color w:val="auto"/>
              </w:rPr>
              <w:t>Realized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2016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Borders>
              <w:bottom w:val="single" w:sz="8" w:color="auto"/>
            </w:tcBorders>
          </w:tcPr>
          <w:p>
            <w:pPr>
              <w:ind w:left="82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1"/>
              </w:rPr>
              <w:t>Income</w:t>
            </w:r>
            <w:r>
              <w:rPr>
                <w:rFonts w:ascii="Arial" w:cs="Arial" w:eastAsia="Arial" w:hAnsi="Arial"/>
                <w:sz w:val="18"/>
                <w:szCs w:val="18"/>
                <w:b w:val="1"/>
                <w:bCs w:val="1"/>
                <w:color w:val="auto"/>
                <w:w w:val="91"/>
                <w:vertAlign w:val="superscript"/>
              </w:rPr>
              <w:t>(1)</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0"/>
              </w:rPr>
              <w:t>Fair Value</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1"/>
              </w:rPr>
              <w:t>Additions</w:t>
            </w:r>
            <w:r>
              <w:rPr>
                <w:rFonts w:ascii="Arial" w:cs="Arial" w:eastAsia="Arial" w:hAnsi="Arial"/>
                <w:sz w:val="18"/>
                <w:szCs w:val="18"/>
                <w:b w:val="1"/>
                <w:bCs w:val="1"/>
                <w:color w:val="auto"/>
                <w:w w:val="91"/>
                <w:vertAlign w:val="superscript"/>
              </w:rPr>
              <w:t>(2)</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9"/>
              <w:spacing w:after="0" w:line="162" w:lineRule="exact"/>
              <w:rPr>
                <w:sz w:val="20"/>
                <w:szCs w:val="20"/>
                <w:color w:val="auto"/>
              </w:rPr>
            </w:pPr>
            <w:r>
              <w:rPr>
                <w:rFonts w:ascii="Arial" w:cs="Arial" w:eastAsia="Arial" w:hAnsi="Arial"/>
                <w:sz w:val="12"/>
                <w:szCs w:val="12"/>
                <w:b w:val="1"/>
                <w:bCs w:val="1"/>
                <w:color w:val="auto"/>
                <w:w w:val="89"/>
              </w:rPr>
              <w:t>Reductions</w:t>
            </w:r>
            <w:r>
              <w:rPr>
                <w:rFonts w:ascii="Arial" w:cs="Arial" w:eastAsia="Arial" w:hAnsi="Arial"/>
                <w:sz w:val="18"/>
                <w:szCs w:val="18"/>
                <w:b w:val="1"/>
                <w:bCs w:val="1"/>
                <w:color w:val="auto"/>
                <w:w w:val="89"/>
                <w:vertAlign w:val="superscript"/>
              </w:rPr>
              <w:t>(3)</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3"/>
                <w:szCs w:val="13"/>
                <w:b w:val="1"/>
                <w:bCs w:val="1"/>
                <w:color w:val="auto"/>
                <w:w w:val="86"/>
              </w:rPr>
              <w:t>Gain (Loss)</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23"/>
        </w:trPr>
        <w:tc>
          <w:tcPr>
            <w:tcW w:w="14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Source Capital</w:t>
            </w:r>
          </w:p>
        </w:tc>
        <w:tc>
          <w:tcPr>
            <w:tcW w:w="40" w:type="dxa"/>
            <w:vAlign w:val="bottom"/>
          </w:tcPr>
          <w:p>
            <w:pPr>
              <w:spacing w:after="0"/>
              <w:rPr>
                <w:sz w:val="10"/>
                <w:szCs w:val="10"/>
                <w:color w:val="auto"/>
              </w:rPr>
            </w:pPr>
          </w:p>
        </w:tc>
        <w:tc>
          <w:tcPr>
            <w:tcW w:w="2660" w:type="dxa"/>
            <w:vAlign w:val="bottom"/>
          </w:tcPr>
          <w:p>
            <w:pPr>
              <w:ind w:left="80"/>
              <w:spacing w:after="0" w:line="123" w:lineRule="exact"/>
              <w:rPr>
                <w:sz w:val="20"/>
                <w:szCs w:val="20"/>
                <w:color w:val="auto"/>
              </w:rPr>
            </w:pPr>
            <w:r>
              <w:rPr>
                <w:rFonts w:ascii="Arial" w:cs="Arial" w:eastAsia="Arial" w:hAnsi="Arial"/>
                <w:sz w:val="14"/>
                <w:szCs w:val="14"/>
                <w:color w:val="auto"/>
              </w:rPr>
              <w:t>Preferred Membership Units (10.5% fully</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ABUTEC, 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diluted)</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1,240</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(1,240)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gridSpan w:val="3"/>
            <w:vMerge w:val="restart"/>
          </w:tcPr>
          <w:p>
            <w:pPr>
              <w:ind w:left="20"/>
              <w:spacing w:after="0"/>
              <w:rPr>
                <w:sz w:val="20"/>
                <w:szCs w:val="20"/>
                <w:color w:val="auto"/>
              </w:rPr>
            </w:pPr>
            <w:r>
              <w:rPr>
                <w:rFonts w:ascii="Arial" w:cs="Arial" w:eastAsia="Arial" w:hAnsi="Arial"/>
                <w:sz w:val="14"/>
                <w:szCs w:val="14"/>
                <w:color w:val="auto"/>
                <w:w w:val="97"/>
              </w:rPr>
              <w:t>Source Capital Penray,</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2,247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4,397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(6,644)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w w:val="94"/>
              </w:rPr>
              <w:t>Subordinated Debt (13% Cash, Due 4/8/19)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(1,075)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7"/>
              </w:rPr>
              <w:t>Source Capital Penray,</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 (11.3% ownership)</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(60)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7"/>
              </w:rPr>
              <w:t>Source Capital Penray,</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 (6.65%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ownership)</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616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4"/>
                <w:szCs w:val="14"/>
                <w:color w:val="auto"/>
              </w:rPr>
              <w:t>(1,191)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575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gridSpan w:val="3"/>
            <w:vMerge w:val="restart"/>
          </w:tcPr>
          <w:p>
            <w:pPr>
              <w:ind w:left="20"/>
              <w:spacing w:after="0"/>
              <w:rPr>
                <w:sz w:val="20"/>
                <w:szCs w:val="20"/>
                <w:color w:val="auto"/>
              </w:rPr>
            </w:pPr>
            <w:r>
              <w:rPr>
                <w:rFonts w:ascii="Arial" w:cs="Arial" w:eastAsia="Arial" w:hAnsi="Arial"/>
                <w:sz w:val="14"/>
                <w:szCs w:val="14"/>
                <w:color w:val="auto"/>
                <w:w w:val="98"/>
              </w:rPr>
              <w:t>Source Recycling, LLC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w w:val="94"/>
              </w:rPr>
              <w:t>Subordinated Debt (13% Cash, Due 9/2/16)</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3,981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(2,326)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3,106</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1,894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(2,500)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4"/>
                <w:szCs w:val="14"/>
                <w:color w:val="auto"/>
              </w:rPr>
              <w:t>(2,500)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8"/>
              </w:rPr>
              <w:t>Source Recycling, 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 (68,656 units)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8"/>
              </w:rPr>
              <w:t>Source Recycling, 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Membership Unit Warrants (1% fully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diluted)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gridSpan w:val="3"/>
            <w:vMerge w:val="restart"/>
          </w:tcPr>
          <w:p>
            <w:pPr>
              <w:ind w:left="20"/>
              <w:spacing w:after="0"/>
              <w:rPr>
                <w:sz w:val="20"/>
                <w:szCs w:val="20"/>
                <w:color w:val="auto"/>
              </w:rPr>
            </w:pPr>
            <w:r>
              <w:rPr>
                <w:rFonts w:ascii="Arial" w:cs="Arial" w:eastAsia="Arial" w:hAnsi="Arial"/>
                <w:sz w:val="14"/>
                <w:szCs w:val="14"/>
                <w:color w:val="auto"/>
              </w:rPr>
              <w:t>STX Healthcare</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Management</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(12.5% Cash,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Services, 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Due 7/31/18)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6,398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(6,425)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STX Healthcare</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Management</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Services, 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Common Stock (1,200,000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(1,445)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245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STX Healthcare</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Management</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 (1,154,254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Services, Inc.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1,007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4"/>
                <w:szCs w:val="14"/>
                <w:color w:val="auto"/>
              </w:rPr>
              <w:t>(2,179)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1,172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gridSpan w:val="3"/>
            <w:vMerge w:val="restart"/>
          </w:tcPr>
          <w:p>
            <w:pPr>
              <w:ind w:left="20"/>
              <w:spacing w:after="0"/>
              <w:rPr>
                <w:sz w:val="20"/>
                <w:szCs w:val="20"/>
                <w:color w:val="auto"/>
              </w:rPr>
            </w:pPr>
            <w:r>
              <w:rPr>
                <w:rFonts w:ascii="Arial" w:cs="Arial" w:eastAsia="Arial" w:hAnsi="Arial"/>
                <w:sz w:val="14"/>
                <w:szCs w:val="14"/>
                <w:color w:val="auto"/>
              </w:rPr>
              <w:t>TCE Holdings, Inc.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Subordinated Debt (12% Cash, 2% PIK,</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8,452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(10,049</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1,417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Due 2/1/19)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8,368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5,281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(13,649)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TCE Holdings, 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(12% Cash, 2% PIK,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Due 2/1/19)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6,668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4,209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(10,877)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440" w:type="dxa"/>
            <w:vAlign w:val="bottom"/>
            <w:gridSpan w:val="3"/>
          </w:tcPr>
          <w:p>
            <w:pPr>
              <w:ind w:left="20"/>
              <w:spacing w:after="0"/>
              <w:rPr>
                <w:sz w:val="20"/>
                <w:szCs w:val="20"/>
                <w:color w:val="auto"/>
              </w:rPr>
            </w:pPr>
            <w:r>
              <w:rPr>
                <w:rFonts w:ascii="Arial" w:cs="Arial" w:eastAsia="Arial" w:hAnsi="Arial"/>
                <w:sz w:val="14"/>
                <w:szCs w:val="14"/>
                <w:color w:val="auto"/>
              </w:rPr>
              <w:t>TCE Holdings, Inc.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Class A Common Stock (3,600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3,734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(3,734)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gridSpan w:val="3"/>
            <w:vMerge w:val="restart"/>
          </w:tcPr>
          <w:p>
            <w:pPr>
              <w:ind w:left="20"/>
              <w:spacing w:after="0"/>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First Lien Debt (15% PIK, Due 11/26/16)</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15,036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(28,260</w:t>
            </w:r>
          </w:p>
        </w:tc>
        <w:tc>
          <w:tcPr>
            <w:tcW w:w="160" w:type="dxa"/>
            <w:vAlign w:val="bottom"/>
          </w:tcPr>
          <w:p>
            <w:pPr>
              <w:jc w:val="right"/>
              <w:ind w:right="28"/>
              <w:spacing w:after="0" w:line="142"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1,047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68</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(1,115)</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(0% Cash, Due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11/26/16)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(663)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(0% Cash, Due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11/26/16)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(81)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(0% Cash, Due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11/26/16)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3,563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(2,925)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377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(0% Cash, Due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11/26/16)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(299)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(0% Cash, Due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11/26/16)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2,750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(3,830)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1,080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(0% Cash, Due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11/26/16)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(243)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Series A-1 Preferred Stock (255,102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(178)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w w:val="95"/>
              </w:rPr>
              <w:t>Series A-3 Preferred Stock (88,194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(55)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w w:val="95"/>
              </w:rPr>
              <w:t>Series A-5 Preferred Stock (20,530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(1,327)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 (2,063,629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warrants)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(10,716</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Total Affiliate Investments</w:t>
            </w: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5,838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117,350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27,214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(57,872</w:t>
            </w:r>
          </w:p>
        </w:tc>
        <w:tc>
          <w:tcPr>
            <w:tcW w:w="160" w:type="dxa"/>
            <w:vAlign w:val="bottom"/>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(24,172</w:t>
            </w:r>
          </w:p>
        </w:tc>
        <w:tc>
          <w:tcPr>
            <w:tcW w:w="1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84"/>
              </w:rPr>
              <w:t>)</w:t>
            </w: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61,464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1039" w:hanging="272"/>
        <w:spacing w:after="0" w:line="277" w:lineRule="auto"/>
        <w:tabs>
          <w:tab w:leader="none" w:pos="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the total amount of interest, fees or dividends credited to income for the portion of the year an investment was included in Control or Affiliate categories, respectively.</w:t>
      </w:r>
    </w:p>
    <w:p>
      <w:pPr>
        <w:spacing w:after="0" w:line="62" w:lineRule="exact"/>
        <w:rPr>
          <w:rFonts w:ascii="Arial" w:cs="Arial" w:eastAsia="Arial" w:hAnsi="Arial"/>
          <w:sz w:val="18"/>
          <w:szCs w:val="18"/>
          <w:color w:val="auto"/>
        </w:rPr>
      </w:pPr>
    </w:p>
    <w:p>
      <w:pPr>
        <w:ind w:left="300" w:right="1379" w:hanging="272"/>
        <w:spacing w:after="0" w:line="342" w:lineRule="auto"/>
        <w:tabs>
          <w:tab w:leader="none" w:pos="3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Gross additions include increases in the cost basis of investments resulting from new portfolio investment, follow-on investments and accrued PIK interest. Gross Additions also include net increases in unrealized appreciation.</w:t>
      </w:r>
    </w:p>
    <w:p>
      <w:pPr>
        <w:spacing w:after="0" w:line="200" w:lineRule="exact"/>
        <w:rPr>
          <w:sz w:val="20"/>
          <w:szCs w:val="20"/>
          <w:color w:val="auto"/>
        </w:rPr>
      </w:pPr>
    </w:p>
    <w:p>
      <w:pPr>
        <w:spacing w:after="0" w:line="26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Transactions With Affiliated Companies – (continued)</w:t>
      </w:r>
    </w:p>
    <w:p>
      <w:pPr>
        <w:spacing w:after="0" w:line="121" w:lineRule="exact"/>
        <w:rPr>
          <w:sz w:val="20"/>
          <w:szCs w:val="20"/>
          <w:color w:val="auto"/>
        </w:rPr>
      </w:pPr>
    </w:p>
    <w:p>
      <w:pPr>
        <w:ind w:left="280" w:right="719" w:hanging="272"/>
        <w:spacing w:after="0" w:line="277" w:lineRule="auto"/>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Gross reductions include decreases in the total cost basis of investments resulting from principal or PIK repayments, sales and net unrealized depreciation.</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All debt investments are income producing. Equity and warrant investments are non-income producing, unless otherwise noted.</w:t>
      </w:r>
    </w:p>
    <w:p>
      <w:pPr>
        <w:spacing w:after="0" w:line="140" w:lineRule="exact"/>
        <w:rPr>
          <w:rFonts w:ascii="Arial" w:cs="Arial" w:eastAsia="Arial" w:hAnsi="Arial"/>
          <w:sz w:val="16"/>
          <w:szCs w:val="16"/>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Agreements</w:t>
      </w:r>
    </w:p>
    <w:p>
      <w:pPr>
        <w:spacing w:after="0" w:line="121" w:lineRule="exact"/>
        <w:rPr>
          <w:sz w:val="20"/>
          <w:szCs w:val="20"/>
          <w:color w:val="auto"/>
        </w:rPr>
      </w:pPr>
    </w:p>
    <w:p>
      <w:pPr>
        <w:ind w:left="40" w:right="599" w:firstLine="270"/>
        <w:spacing w:after="0" w:line="254"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non-interested directors. The Investment Advisory Agreement was most recently re-approved by the Board, including by a majority of our non-interested directors, at an in-person meeting, on August 4, 2016.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84" w:lineRule="exact"/>
        <w:rPr>
          <w:sz w:val="20"/>
          <w:szCs w:val="20"/>
          <w:color w:val="auto"/>
        </w:rPr>
      </w:pPr>
    </w:p>
    <w:p>
      <w:pPr>
        <w:ind w:left="600" w:right="1139" w:hanging="322"/>
        <w:spacing w:after="0" w:line="277"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62" w:lineRule="exact"/>
        <w:rPr>
          <w:rFonts w:ascii="Arial" w:cs="Arial" w:eastAsia="Arial" w:hAnsi="Arial"/>
          <w:sz w:val="18"/>
          <w:szCs w:val="18"/>
          <w:color w:val="auto"/>
        </w:rPr>
      </w:pPr>
    </w:p>
    <w:p>
      <w:pPr>
        <w:ind w:left="600" w:right="819" w:hanging="322"/>
        <w:spacing w:after="0" w:line="277"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117"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62"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70" w:lineRule="exact"/>
        <w:rPr>
          <w:sz w:val="20"/>
          <w:szCs w:val="20"/>
          <w:color w:val="auto"/>
        </w:rPr>
      </w:pPr>
    </w:p>
    <w:p>
      <w:pPr>
        <w:ind w:left="40" w:right="699" w:firstLine="270"/>
        <w:spacing w:after="0" w:line="342" w:lineRule="auto"/>
        <w:rPr>
          <w:sz w:val="20"/>
          <w:szCs w:val="20"/>
          <w:color w:val="auto"/>
        </w:rPr>
      </w:pPr>
      <w:r>
        <w:rPr>
          <w:rFonts w:ascii="Arial" w:cs="Arial" w:eastAsia="Arial" w:hAnsi="Arial"/>
          <w:sz w:val="16"/>
          <w:szCs w:val="16"/>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6" w:lineRule="exact"/>
        <w:rPr>
          <w:sz w:val="20"/>
          <w:szCs w:val="20"/>
          <w:color w:val="auto"/>
        </w:rPr>
      </w:pPr>
    </w:p>
    <w:p>
      <w:pPr>
        <w:ind w:left="40" w:right="579" w:firstLine="270"/>
        <w:spacing w:after="0" w:line="293" w:lineRule="auto"/>
        <w:rPr>
          <w:sz w:val="20"/>
          <w:szCs w:val="20"/>
          <w:color w:val="auto"/>
        </w:rPr>
      </w:pPr>
      <w:r>
        <w:rPr>
          <w:rFonts w:ascii="Arial" w:cs="Arial" w:eastAsia="Arial" w:hAnsi="Arial"/>
          <w:sz w:val="16"/>
          <w:szCs w:val="16"/>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was initially calculated based on the value of the gross assets at the end of the first calendar quarter subsequent to the IPO,</w:t>
      </w:r>
    </w:p>
    <w:p>
      <w:pPr>
        <w:spacing w:after="0" w:line="200" w:lineRule="exact"/>
        <w:rPr>
          <w:sz w:val="20"/>
          <w:szCs w:val="20"/>
          <w:color w:val="auto"/>
        </w:rPr>
      </w:pPr>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Agreements – (continued)</w:t>
      </w:r>
    </w:p>
    <w:p>
      <w:pPr>
        <w:spacing w:after="0" w:line="121" w:lineRule="exact"/>
        <w:rPr>
          <w:sz w:val="20"/>
          <w:szCs w:val="20"/>
          <w:color w:val="auto"/>
        </w:rPr>
      </w:pPr>
    </w:p>
    <w:p>
      <w:pPr>
        <w:ind w:left="40" w:right="739"/>
        <w:spacing w:after="0" w:line="308" w:lineRule="auto"/>
        <w:rPr>
          <w:sz w:val="20"/>
          <w:szCs w:val="20"/>
          <w:color w:val="auto"/>
        </w:rPr>
      </w:pPr>
      <w:r>
        <w:rPr>
          <w:rFonts w:ascii="Arial" w:cs="Arial" w:eastAsia="Arial" w:hAnsi="Arial"/>
          <w:sz w:val="17"/>
          <w:szCs w:val="17"/>
          <w:color w:val="auto"/>
        </w:rPr>
        <w:t>and thereafter based on the average value of the gross assets at the end of the two most recently completed calendar quarters, and appropriately adjusted for any share issuances or repurchases during the current calendar quarter.</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incentive fee consists of the following two parts:</w:t>
      </w:r>
    </w:p>
    <w:p>
      <w:pPr>
        <w:spacing w:after="0" w:line="117"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6"/>
          <w:szCs w:val="16"/>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spacing w:after="0" w:line="61" w:lineRule="exact"/>
        <w:rPr>
          <w:sz w:val="20"/>
          <w:szCs w:val="20"/>
          <w:color w:val="auto"/>
        </w:rPr>
      </w:pPr>
    </w:p>
    <w:p>
      <w:pPr>
        <w:ind w:left="600" w:right="599" w:hanging="322"/>
        <w:spacing w:after="0" w:line="277"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w:t>
      </w:r>
    </w:p>
    <w:p>
      <w:pPr>
        <w:spacing w:after="0" w:line="62" w:lineRule="exact"/>
        <w:rPr>
          <w:rFonts w:ascii="Arial" w:cs="Arial" w:eastAsia="Arial" w:hAnsi="Arial"/>
          <w:sz w:val="18"/>
          <w:szCs w:val="18"/>
          <w:color w:val="auto"/>
        </w:rPr>
      </w:pPr>
    </w:p>
    <w:p>
      <w:pPr>
        <w:ind w:left="600" w:right="639" w:hanging="322"/>
        <w:spacing w:after="0" w:line="297" w:lineRule="auto"/>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50" w:lineRule="exact"/>
        <w:rPr>
          <w:rFonts w:ascii="Arial" w:cs="Arial" w:eastAsia="Arial" w:hAnsi="Arial"/>
          <w:sz w:val="16"/>
          <w:szCs w:val="16"/>
          <w:color w:val="auto"/>
        </w:rPr>
      </w:pPr>
    </w:p>
    <w:p>
      <w:pPr>
        <w:ind w:left="600" w:right="559" w:hanging="322"/>
        <w:spacing w:after="0" w:line="264"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73"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As announced on January 4, 2016, 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200" w:lineRule="exact"/>
        <w:rPr>
          <w:sz w:val="20"/>
          <w:szCs w:val="20"/>
          <w:color w:val="auto"/>
        </w:rPr>
      </w:pPr>
    </w:p>
    <w:p>
      <w:pPr>
        <w:spacing w:after="0" w:line="34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Agreements – (continued)</w:t>
      </w:r>
    </w:p>
    <w:p>
      <w:pPr>
        <w:spacing w:after="0" w:line="121"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80"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December 31, 2016 and December 31, 2015, the Company had incentive fees payable to the Investment Advisor of $6.4 million and $1.7 million, respectively.</w:t>
      </w:r>
    </w:p>
    <w:p>
      <w:pPr>
        <w:spacing w:after="0" w:line="84"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For the years ended December 31, 2016, 2015 and 2014, the Company incurred $10.6 million, $10.6 million and $9.3 million in base management fees, respectively. For the years ended December 31, 2016, 2015 and 2014, our Investment Advisor waived management fees of $0.0 million, $0.0 million and $0.2 million, respectively. The Company incurred $6.8 million, $6.0 million, and $2.8 million in incentive fees related to pre-incentive fee net investment income for the years ended December 31, 2016, 2015, and 2014, respectively. For the years ended December 31, 2016, 2015 and 2014, our Investment Advisor waived incentive fees of $1.7 million, $1.1 million and $0.0 million, respectively.</w:t>
      </w:r>
    </w:p>
    <w:p>
      <w:pPr>
        <w:spacing w:after="0" w:line="85"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59" w:lineRule="exact"/>
        <w:rPr>
          <w:sz w:val="20"/>
          <w:szCs w:val="20"/>
          <w:color w:val="auto"/>
        </w:rPr>
      </w:pPr>
    </w:p>
    <w:p>
      <w:pPr>
        <w:ind w:left="40" w:right="619" w:firstLine="270"/>
        <w:spacing w:after="0" w:line="270" w:lineRule="auto"/>
        <w:rPr>
          <w:sz w:val="20"/>
          <w:szCs w:val="20"/>
          <w:color w:val="auto"/>
        </w:rPr>
      </w:pPr>
      <w:r>
        <w:rPr>
          <w:rFonts w:ascii="Arial" w:cs="Arial" w:eastAsia="Arial" w:hAnsi="Arial"/>
          <w:sz w:val="17"/>
          <w:szCs w:val="17"/>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chief compliance officer and the allocable portion of the compensation of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August 4, 2016.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200" w:lineRule="exact"/>
        <w:rPr>
          <w:sz w:val="20"/>
          <w:szCs w:val="20"/>
          <w:color w:val="auto"/>
        </w:rPr>
      </w:pPr>
    </w:p>
    <w:p>
      <w:pPr>
        <w:spacing w:after="0" w:line="32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4" w:name="page145"/>
    <w:bookmarkEnd w:id="14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Agreements – (continued)</w:t>
      </w:r>
    </w:p>
    <w:p>
      <w:pPr>
        <w:spacing w:after="0" w:line="121" w:lineRule="exact"/>
        <w:rPr>
          <w:sz w:val="20"/>
          <w:szCs w:val="20"/>
          <w:color w:val="auto"/>
        </w:rPr>
      </w:pPr>
    </w:p>
    <w:p>
      <w:pPr>
        <w:ind w:left="60" w:right="1099" w:firstLine="270"/>
        <w:spacing w:after="0" w:line="277" w:lineRule="auto"/>
        <w:rPr>
          <w:sz w:val="20"/>
          <w:szCs w:val="20"/>
          <w:color w:val="auto"/>
        </w:rPr>
      </w:pPr>
      <w:r>
        <w:rPr>
          <w:rFonts w:ascii="Arial" w:cs="Arial" w:eastAsia="Arial" w:hAnsi="Arial"/>
          <w:sz w:val="18"/>
          <w:szCs w:val="18"/>
          <w:color w:val="auto"/>
        </w:rPr>
        <w:t>For the years ended December 31, 2016, 2015, and 2014, we paid the Administrator $1.1 million, $1.1 million, and $1.0 million, respectively, for our allocable portion of the Administrator’s overhead.</w:t>
      </w:r>
    </w:p>
    <w:p>
      <w:pPr>
        <w:spacing w:after="0" w:line="62" w:lineRule="exact"/>
        <w:rPr>
          <w:sz w:val="20"/>
          <w:szCs w:val="20"/>
          <w:color w:val="auto"/>
        </w:rPr>
      </w:pPr>
    </w:p>
    <w:p>
      <w:pPr>
        <w:ind w:left="60" w:right="659" w:firstLine="270"/>
        <w:spacing w:after="0" w:line="255"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Related Party Transactions</w:t>
      </w:r>
    </w:p>
    <w:p>
      <w:pPr>
        <w:spacing w:after="0" w:line="121" w:lineRule="exact"/>
        <w:rPr>
          <w:sz w:val="20"/>
          <w:szCs w:val="20"/>
          <w:color w:val="auto"/>
        </w:rPr>
      </w:pPr>
    </w:p>
    <w:p>
      <w:pPr>
        <w:jc w:val="both"/>
        <w:ind w:left="60" w:right="699" w:firstLine="270"/>
        <w:spacing w:after="0" w:line="264" w:lineRule="auto"/>
        <w:rPr>
          <w:sz w:val="20"/>
          <w:szCs w:val="20"/>
          <w:color w:val="auto"/>
        </w:rPr>
      </w:pPr>
      <w:r>
        <w:rPr>
          <w:rFonts w:ascii="Arial" w:cs="Arial" w:eastAsia="Arial" w:hAnsi="Arial"/>
          <w:sz w:val="18"/>
          <w:szCs w:val="18"/>
          <w:color w:val="auto"/>
        </w:rPr>
        <w:t>At December 31, 2016 and December 31, 2015, the Company had the following receivables from (payables to) related parties relating to certain management fees, incentive fees, reimbursable expenses, and other payments owed to related parties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47510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CapitalSouth Corporation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CapitalSouth Partners Florida Sidecar Fund II, L.P.</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Capitala Investment Advisors, LLC</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(1,689)</w:t>
            </w:r>
          </w:p>
        </w:tc>
      </w:tr>
      <w:tr>
        <w:trPr>
          <w:trHeight w:val="20"/>
        </w:trPr>
        <w:tc>
          <w:tcPr>
            <w:tcW w:w="55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(6,279)</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(1,437)</w:t>
            </w:r>
          </w:p>
        </w:tc>
      </w:tr>
      <w:tr>
        <w:trPr>
          <w:trHeight w:val="21"/>
        </w:trPr>
        <w:tc>
          <w:tcPr>
            <w:tcW w:w="5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These amounts are reflected in the accompanying consolidated statements of assets and liabilities under the captions, “Due from related parties”, “Management and incentive fee payable” and “Due to related parties.”</w:t>
      </w:r>
    </w:p>
    <w:p>
      <w:pPr>
        <w:spacing w:after="0" w:line="62" w:lineRule="exact"/>
        <w:rPr>
          <w:sz w:val="20"/>
          <w:szCs w:val="20"/>
          <w:color w:val="auto"/>
        </w:rPr>
      </w:pPr>
    </w:p>
    <w:p>
      <w:pPr>
        <w:ind w:left="60" w:right="879" w:firstLine="270"/>
        <w:spacing w:after="0" w:line="276" w:lineRule="auto"/>
        <w:rPr>
          <w:sz w:val="20"/>
          <w:szCs w:val="20"/>
          <w:color w:val="auto"/>
        </w:rPr>
      </w:pPr>
      <w:r>
        <w:rPr>
          <w:rFonts w:ascii="Arial" w:cs="Arial" w:eastAsia="Arial" w:hAnsi="Arial"/>
          <w:sz w:val="17"/>
          <w:szCs w:val="17"/>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 See Note 4 for a further description of this transaction.</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Borrowings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through its two wholly owned subsidiaries, uses debenture leverage provided through the SBA to fund a portion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 its investment portfolio. As of December 31, 2016, the Company has $170.7 million of SBA-guaranteed debentures outstanding.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has issued all SBA-guaranteed debentures that were permitted under each of the Legacy Funds’ respective SBIC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licenses (as applicable), and there are no unused SBA debenture commitments remaining. SBA-guaranteed debentures are secured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a lien on all assets of Fund II and Fund III. As of December 31, 2016, Fund II and Fund III had total assets of approximately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$349.4 million. On June 10, 2014, the Company received an exemptive order from the SEC exempting the Company, Fund II,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Fund III from certain provisions of the 1940 Act (including an exemptive order granting relief from the asset coverage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requirements for certain indebtedness issued by Fund II and Fund III as SBICs) and from certain reporting requirements mandated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by the Securities Exchange Act of 1934, as amended, with respect to Fund II and Fund III. The Company intends to comply with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conditions of the order.</w:t>
      </w:r>
    </w:p>
    <w:p>
      <w:pPr>
        <w:spacing w:after="0" w:line="200" w:lineRule="exact"/>
        <w:rPr>
          <w:sz w:val="20"/>
          <w:szCs w:val="20"/>
          <w:color w:val="auto"/>
        </w:rPr>
      </w:pPr>
    </w:p>
    <w:p>
      <w:pPr>
        <w:spacing w:after="0" w:line="36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5" w:name="page146"/>
    <w:bookmarkEnd w:id="14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Borrowings – (continued)</w:t>
      </w:r>
    </w:p>
    <w:p>
      <w:pPr>
        <w:spacing w:after="0" w:line="121"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For the years ended December 31, 2016, 2015 and 2014 we recorded $6.9 million, $7.5 million and $7.8 million, respectively, in interest expense and annual charges and $0.6 million, $0.7 million and $0.7 million, respectively, of amortization of deferred financing costs related to SBA-guaranteed debentures. The weighted average interest rate for all SBA-guaranteed debentures as of December 31, 2016 and December 31, 2015 was 3.29% and 3.45%, respectively. In addition to the stated interest rate, the SBA also charges an annual fee on all SBA-guaranteed debentures issued, which is included in the Company’s interest expense. The weighted average annual fee for all SBA-guaranteed debentures as of December 31, 2016 and December 31, 2015 was 0.43% and 0.46%, respectively.</w:t>
      </w:r>
    </w:p>
    <w:p>
      <w:pPr>
        <w:spacing w:after="0" w:line="81" w:lineRule="exact"/>
        <w:rPr>
          <w:sz w:val="20"/>
          <w:szCs w:val="20"/>
          <w:color w:val="auto"/>
        </w:rPr>
      </w:pPr>
    </w:p>
    <w:p>
      <w:pPr>
        <w:ind w:left="60" w:right="659" w:firstLine="270"/>
        <w:spacing w:after="0" w:line="277" w:lineRule="auto"/>
        <w:rPr>
          <w:sz w:val="20"/>
          <w:szCs w:val="20"/>
          <w:color w:val="auto"/>
        </w:rPr>
      </w:pPr>
      <w:r>
        <w:rPr>
          <w:rFonts w:ascii="Arial" w:cs="Arial" w:eastAsia="Arial" w:hAnsi="Arial"/>
          <w:sz w:val="18"/>
          <w:szCs w:val="18"/>
          <w:color w:val="auto"/>
        </w:rPr>
        <w:t>As of December 31, 2016 and December 31, 2015, the Company’s issued and outstanding SBA-guaranteed debentures mature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9684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SBA Annual</w:t>
            </w:r>
          </w:p>
        </w:tc>
        <w:tc>
          <w:tcPr>
            <w:tcW w:w="16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Charge</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2016</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5.524%</w:t>
            </w:r>
          </w:p>
        </w:tc>
        <w:tc>
          <w:tcPr>
            <w:tcW w:w="9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0.871%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September 1, 2016</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5.535%</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0.941%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2019</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4.620%</w:t>
            </w:r>
          </w:p>
        </w:tc>
        <w:tc>
          <w:tcPr>
            <w:tcW w:w="9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0.941%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September 1, 2020</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3.215%</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0.285%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2021</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4.084%</w:t>
            </w:r>
          </w:p>
        </w:tc>
        <w:tc>
          <w:tcPr>
            <w:tcW w:w="9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0.515%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March 1, 2021</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4.084%</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0.285%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2022</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2.766%</w:t>
            </w:r>
          </w:p>
        </w:tc>
        <w:tc>
          <w:tcPr>
            <w:tcW w:w="9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0.285%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March 1, 2022</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2.766%</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0.515%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2023</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2.351%</w:t>
            </w:r>
          </w:p>
        </w:tc>
        <w:tc>
          <w:tcPr>
            <w:tcW w:w="9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0.515%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170,700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184,200</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Notes</w:t>
      </w:r>
    </w:p>
    <w:p>
      <w:pPr>
        <w:spacing w:after="0" w:line="117"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On June 16, 2014, the Company issued $113.4 million in aggregate principal amount of 7.125% fixed-rate notes due 2021 (the “Notes”). The Notes will mature on June 16, 2021, and may be redeemed in whole or in part at any time or from time to time at the Company’s option on or after June 16, 2017 at a redemption price equal to 100% of the outstanding principal, plus accrued and unpaid interest. Interest was payable quarterly beginning September 16, 2014.</w:t>
      </w:r>
    </w:p>
    <w:p>
      <w:pPr>
        <w:spacing w:after="0" w:line="79" w:lineRule="exact"/>
        <w:rPr>
          <w:sz w:val="20"/>
          <w:szCs w:val="20"/>
          <w:color w:val="auto"/>
        </w:rPr>
      </w:pPr>
    </w:p>
    <w:p>
      <w:pPr>
        <w:ind w:left="60" w:right="519" w:firstLine="270"/>
        <w:spacing w:after="0" w:line="257" w:lineRule="auto"/>
        <w:rPr>
          <w:sz w:val="20"/>
          <w:szCs w:val="20"/>
          <w:color w:val="auto"/>
        </w:rPr>
      </w:pPr>
      <w:r>
        <w:rPr>
          <w:rFonts w:ascii="Arial" w:cs="Arial" w:eastAsia="Arial" w:hAnsi="Arial"/>
          <w:sz w:val="18"/>
          <w:szCs w:val="18"/>
          <w:color w:val="auto"/>
        </w:rPr>
        <w:t>For the year ended December 31, 2016, the Company recorded $8.1 million of interest expense and $0.6 million of amortization of deferred financing costs related to the Notes. For the year ended December 31, 2015, the Company recorded $8.1 million of interest expense and $0.5 million of amortization of deferred financing costs related to the Notes. For the year ended December 31, 2014, the Company recorded $4.4 million of interest expense and $0.3 million of amortization of deferred financing costs related to the Notes.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60" w:right="739" w:firstLine="270"/>
        <w:spacing w:after="0" w:line="259" w:lineRule="auto"/>
        <w:rPr>
          <w:sz w:val="20"/>
          <w:szCs w:val="20"/>
          <w:color w:val="auto"/>
        </w:rPr>
      </w:pPr>
      <w:r>
        <w:rPr>
          <w:rFonts w:ascii="Arial" w:cs="Arial" w:eastAsia="Arial" w:hAnsi="Arial"/>
          <w:sz w:val="18"/>
          <w:szCs w:val="18"/>
          <w:color w:val="auto"/>
        </w:rPr>
        <w:t>On October 17, 2014, the Company entered into a senior secured revolving credit agreement (the “Credit Facility”) with ING Capital, LLC, as administrative agent, arranger, and bookrunner, and the lenders party thereto. The Credit Facility currently provides for borrowings up to $120.0 million and may be increased up to $150.0 million pursuant to its “accordion” feature. The Credit Facility matures on October 17, 2018.</w:t>
      </w:r>
    </w:p>
    <w:p>
      <w:pPr>
        <w:spacing w:after="0" w:line="79" w:lineRule="exact"/>
        <w:rPr>
          <w:sz w:val="20"/>
          <w:szCs w:val="20"/>
          <w:color w:val="auto"/>
        </w:rPr>
      </w:pPr>
    </w:p>
    <w:p>
      <w:pPr>
        <w:ind w:left="60" w:right="519" w:firstLine="270"/>
        <w:spacing w:after="0" w:line="257" w:lineRule="auto"/>
        <w:rPr>
          <w:sz w:val="20"/>
          <w:szCs w:val="20"/>
          <w:color w:val="auto"/>
        </w:rPr>
      </w:pPr>
      <w:r>
        <w:rPr>
          <w:rFonts w:ascii="Arial" w:cs="Arial" w:eastAsia="Arial" w:hAnsi="Arial"/>
          <w:sz w:val="18"/>
          <w:szCs w:val="18"/>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w:t>
      </w: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Borrowings – (continued)</w:t>
      </w:r>
    </w:p>
    <w:p>
      <w:pPr>
        <w:spacing w:after="0" w:line="121" w:lineRule="exact"/>
        <w:rPr>
          <w:sz w:val="20"/>
          <w:szCs w:val="20"/>
          <w:color w:val="auto"/>
        </w:rPr>
      </w:pPr>
    </w:p>
    <w:p>
      <w:pPr>
        <w:ind w:left="40" w:right="599"/>
        <w:spacing w:after="0" w:line="270" w:lineRule="auto"/>
        <w:rPr>
          <w:sz w:val="20"/>
          <w:szCs w:val="20"/>
          <w:color w:val="auto"/>
        </w:rPr>
      </w:pPr>
      <w:r>
        <w:rPr>
          <w:rFonts w:ascii="Arial" w:cs="Arial" w:eastAsia="Arial" w:hAnsi="Arial"/>
          <w:sz w:val="17"/>
          <w:szCs w:val="17"/>
          <w:color w:val="auto"/>
        </w:rPr>
        <w:t>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74" w:lineRule="exact"/>
        <w:rPr>
          <w:sz w:val="20"/>
          <w:szCs w:val="20"/>
          <w:color w:val="auto"/>
        </w:rPr>
      </w:pPr>
    </w:p>
    <w:p>
      <w:pPr>
        <w:ind w:left="40" w:right="679" w:firstLine="270"/>
        <w:spacing w:after="0" w:line="272" w:lineRule="auto"/>
        <w:rPr>
          <w:sz w:val="20"/>
          <w:szCs w:val="20"/>
          <w:color w:val="auto"/>
        </w:rPr>
      </w:pPr>
      <w:r>
        <w:rPr>
          <w:rFonts w:ascii="Arial" w:cs="Arial" w:eastAsia="Arial" w:hAnsi="Arial"/>
          <w:sz w:val="17"/>
          <w:szCs w:val="17"/>
          <w:color w:val="auto"/>
        </w:rPr>
        <w:t>As of December 31, 2016 and 2015, the Company had $44.0 million and $70.0 million, respectively, outstanding under the Credit Facility. For the year ended December 31, 2016 the Company recorded $2.3 million of interest expense, $1.0 million of amortization of deferred financing costs, and $0.3 million of unused commitment fees related to the Credit Facility. For the year ended December 31, 2015 the Company recorded $0.7 million of interest expense, $0.8 million of amortization of deferred financing costs, and $0.7 million of unused commitment fees related to the Credit Facility. For the year ended December 31, 2014 the Company recorded $0.0 million of interest expense, $0.1 million of amortization of deferred financing costs, and $0.1 million of unused commitment fees related to the Credit Facility.</w:t>
      </w:r>
    </w:p>
    <w:p>
      <w:pPr>
        <w:spacing w:after="0" w:line="70"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The Credit Facility is secured by investments and cash held by Capitala Finance Corp., exclusive of assets held at our two SBIC subsidiaries. Assets pledged to secure the Credit Facility were $235.2 million at December 31, 2016. As part of the terms of the Credit Facility, the Company may not make cash distributions with respect to any taxable year that exceed 110% (125% if the Company is not in default and our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The Company has elected to be treated as a RIC under Subchapter M of the Code. As a RIC, the Company is not taxed on any investment company taxable income or capital gains which it distributes to shareholders. The Company intends to make the requisite distributions to its stockholders which will relieve the Company from U.S. federal income taxes. Accordingly, no provision for U.S. federal income tax has been made in the consolidated financial statements. The Company’s tax year-end is August 31.</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Dividends from net investment income and distributions from net realized capital gains are determined in accordance with U.S.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federal tax regulations, which may differ from amounts in accordance with U.S. GAAP and those differences could be material.</w:t>
      </w:r>
    </w:p>
    <w:p>
      <w:pPr>
        <w:spacing w:after="0" w:line="200" w:lineRule="exact"/>
        <w:rPr>
          <w:sz w:val="20"/>
          <w:szCs w:val="20"/>
          <w:color w:val="auto"/>
        </w:rPr>
      </w:pPr>
    </w:p>
    <w:p>
      <w:pPr>
        <w:spacing w:after="0" w:line="36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7" w:name="page148"/>
    <w:bookmarkEnd w:id="147"/>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10. Income Taxes – (continued)</w:t>
      </w:r>
    </w:p>
    <w:p>
      <w:pPr>
        <w:spacing w:after="0" w:line="121" w:lineRule="exact"/>
        <w:rPr>
          <w:sz w:val="20"/>
          <w:szCs w:val="20"/>
          <w:color w:val="auto"/>
        </w:rPr>
      </w:pPr>
    </w:p>
    <w:p>
      <w:pPr>
        <w:ind w:left="180" w:right="599" w:firstLine="270"/>
        <w:spacing w:after="0" w:line="273" w:lineRule="auto"/>
        <w:rPr>
          <w:sz w:val="20"/>
          <w:szCs w:val="20"/>
          <w:color w:val="auto"/>
        </w:rPr>
      </w:pPr>
      <w:r>
        <w:rPr>
          <w:rFonts w:ascii="Arial" w:cs="Arial" w:eastAsia="Arial" w:hAnsi="Arial"/>
          <w:sz w:val="17"/>
          <w:szCs w:val="17"/>
          <w:color w:val="auto"/>
        </w:rPr>
        <w:t>Permanent differences between taxable income and net investment income for financial reporting purpose are reclassified among the capital accounts in the financial statements to reflect their tax character. During the years ended December 31, 2016, 2015, and 2014, the Company reclassified for book purposes amounts arising from permanent differences in the book and tax basis of partnership investments sold and book and tax character of distributions paid. Such reclassifications are reported in “Tax reclassification of stockholders’ equity in accordance with generally accepted accounting principles” in the statements of changes in net assets for years ended December 31, 2016, 2015, and 2014, respectively.</w:t>
      </w:r>
    </w:p>
    <w:p>
      <w:pPr>
        <w:spacing w:after="0" w:line="70" w:lineRule="exact"/>
        <w:rPr>
          <w:sz w:val="20"/>
          <w:szCs w:val="20"/>
          <w:color w:val="auto"/>
        </w:rPr>
      </w:pPr>
    </w:p>
    <w:p>
      <w:pPr>
        <w:ind w:left="180" w:right="1059" w:firstLine="270"/>
        <w:spacing w:after="0" w:line="277" w:lineRule="auto"/>
        <w:rPr>
          <w:sz w:val="20"/>
          <w:szCs w:val="20"/>
          <w:color w:val="auto"/>
        </w:rPr>
      </w:pPr>
      <w:r>
        <w:rPr>
          <w:rFonts w:ascii="Arial" w:cs="Arial" w:eastAsia="Arial" w:hAnsi="Arial"/>
          <w:sz w:val="18"/>
          <w:szCs w:val="18"/>
          <w:color w:val="auto"/>
        </w:rPr>
        <w:t>As of August 31, 2016, August 31, 2015 and August 31, 2014 the tax basis components of distributable earnings were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421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Tax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Tax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Tax year</w:t>
            </w:r>
          </w:p>
        </w:tc>
      </w:tr>
      <w:tr>
        <w:trPr>
          <w:trHeight w:val="149"/>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480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August 31,</w:t>
            </w:r>
          </w:p>
        </w:tc>
        <w:tc>
          <w:tcPr>
            <w:tcW w:w="16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August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August 31,</w:t>
            </w:r>
          </w:p>
        </w:tc>
      </w:tr>
      <w:tr>
        <w:trPr>
          <w:trHeight w:val="171"/>
        </w:trPr>
        <w:tc>
          <w:tcPr>
            <w:tcW w:w="4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auto"/>
            </w:tcBorders>
          </w:tcPr>
          <w:p>
            <w:pPr>
              <w:spacing w:after="0"/>
              <w:rPr>
                <w:sz w:val="14"/>
                <w:szCs w:val="14"/>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Undistributed ordinary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w:t>
            </w: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Accumulated capital gains (losses)</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(44,296)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8,378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(7,566)</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25,269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62,726</w:t>
            </w: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Other temporary differences</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(8,196)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r>
      <w:tr>
        <w:trPr>
          <w:trHeight w:val="20"/>
        </w:trPr>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25,451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54,275</w:t>
            </w: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4751070" cy="342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180" w:right="539" w:firstLine="270"/>
        <w:spacing w:after="0" w:line="312" w:lineRule="auto"/>
        <w:rPr>
          <w:sz w:val="20"/>
          <w:szCs w:val="20"/>
          <w:color w:val="auto"/>
        </w:rPr>
      </w:pPr>
      <w:r>
        <w:rPr>
          <w:rFonts w:ascii="Arial" w:cs="Arial" w:eastAsia="Arial" w:hAnsi="Arial"/>
          <w:sz w:val="16"/>
          <w:szCs w:val="16"/>
          <w:color w:val="auto"/>
        </w:rPr>
        <w:t>Taxable income generally differs from net increase (decrease) in net assets resulting from operations for financial reporting purposes due to temporary and permanent differences in the recognition of income and expenses and generally excludes unrealized appreciation (depreciation) on investments as investment gains and losses are not included in taxable income until they are realized.</w:t>
      </w:r>
    </w:p>
    <w:p>
      <w:pPr>
        <w:spacing w:after="0" w:line="39" w:lineRule="exact"/>
        <w:rPr>
          <w:sz w:val="20"/>
          <w:szCs w:val="20"/>
          <w:color w:val="auto"/>
        </w:rPr>
      </w:pPr>
    </w:p>
    <w:p>
      <w:pPr>
        <w:ind w:left="180" w:right="719" w:firstLine="270"/>
        <w:spacing w:after="0" w:line="279" w:lineRule="auto"/>
        <w:rPr>
          <w:sz w:val="20"/>
          <w:szCs w:val="20"/>
          <w:color w:val="auto"/>
        </w:rPr>
      </w:pPr>
      <w:r>
        <w:rPr>
          <w:rFonts w:ascii="Arial" w:cs="Arial" w:eastAsia="Arial" w:hAnsi="Arial"/>
          <w:sz w:val="17"/>
          <w:szCs w:val="17"/>
          <w:color w:val="auto"/>
        </w:rPr>
        <w:t>Capital losses in excess of capital gains earned in a tax year may generally be carried forward and used to offset capital gains, subject to certain limitations. Under the Regulated Investment Company Modernization Act of 2010, capital losses incurred after September 30, 2011 will not be subject to expiration. As of August 31, 2016, the Company has a short-term capital loss carry forward of $4.4 million and a long-term capital loss carry forward of $39.9 million.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net increase in net assets resulting from operations to taxable income for the tax years ended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August 31, 2016, August 31, 2015 and August 31,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47510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Tax year</w:t>
            </w: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Tax 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Tax year</w:t>
            </w:r>
          </w:p>
        </w:tc>
        <w:tc>
          <w:tcPr>
            <w:tcW w:w="198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ended</w:t>
            </w:r>
          </w:p>
        </w:tc>
        <w:tc>
          <w:tcPr>
            <w:tcW w:w="198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August 31,</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August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August 31,</w:t>
            </w:r>
          </w:p>
        </w:tc>
        <w:tc>
          <w:tcPr>
            <w:tcW w:w="198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resulting from operations</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$ 10,291</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$ 10,983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9,894</w:t>
            </w:r>
          </w:p>
        </w:tc>
        <w:tc>
          <w:tcPr>
            <w:tcW w:w="1980" w:type="dxa"/>
            <w:vAlign w:val="bottom"/>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4320" w:type="dxa"/>
            <w:vAlign w:val="bottom"/>
          </w:tcPr>
          <w:p>
            <w:pPr>
              <w:ind w:left="20"/>
              <w:spacing w:after="0" w:line="201" w:lineRule="exact"/>
              <w:rPr>
                <w:sz w:val="20"/>
                <w:szCs w:val="20"/>
                <w:color w:val="auto"/>
              </w:rPr>
            </w:pPr>
            <w:r>
              <w:rPr>
                <w:rFonts w:ascii="Arial" w:cs="Arial" w:eastAsia="Arial" w:hAnsi="Arial"/>
                <w:sz w:val="18"/>
                <w:szCs w:val="18"/>
                <w:color w:val="auto"/>
                <w:w w:val="96"/>
              </w:rPr>
              <w:t>Net change in unrealized (appreciation)/depreciation on</w:t>
            </w: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investments and written call option</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(20,809)</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35,557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2,658</w:t>
            </w:r>
          </w:p>
        </w:tc>
        <w:tc>
          <w:tcPr>
            <w:tcW w:w="198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loss carryforward/(utilization)</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44,296</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w w:val="94"/>
              </w:rPr>
              <w:t>Other deductions for book in excess of deductions for tax</w:t>
            </w:r>
          </w:p>
        </w:tc>
        <w:tc>
          <w:tcPr>
            <w:tcW w:w="5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(3,654)</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4,488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2,967</w:t>
            </w:r>
          </w:p>
        </w:tc>
        <w:tc>
          <w:tcPr>
            <w:tcW w:w="19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taxable income</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$ 30,124</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43,463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18,977</w:t>
            </w:r>
          </w:p>
        </w:tc>
        <w:tc>
          <w:tcPr>
            <w:tcW w:w="1980" w:type="dxa"/>
            <w:vAlign w:val="bottom"/>
          </w:tcPr>
          <w:p>
            <w:pPr>
              <w:spacing w:after="0"/>
              <w:rPr>
                <w:sz w:val="21"/>
                <w:szCs w:val="21"/>
                <w:color w:val="auto"/>
              </w:rPr>
            </w:pPr>
          </w:p>
        </w:tc>
      </w:tr>
      <w:tr>
        <w:trPr>
          <w:trHeight w:val="777"/>
        </w:trPr>
        <w:tc>
          <w:tcPr>
            <w:tcW w:w="120" w:type="dxa"/>
            <w:vAlign w:val="bottom"/>
          </w:tcPr>
          <w:p>
            <w:pPr>
              <w:spacing w:after="0"/>
              <w:rPr>
                <w:sz w:val="24"/>
                <w:szCs w:val="24"/>
                <w:color w:val="auto"/>
              </w:rPr>
            </w:pPr>
          </w:p>
        </w:tc>
        <w:tc>
          <w:tcPr>
            <w:tcW w:w="43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w w:val="86"/>
              </w:rPr>
              <w:t>F-48</w:t>
            </w: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32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3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-668020</wp:posOffset>
            </wp:positionV>
            <wp:extent cx="4751070" cy="342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48" w:name="page149"/>
    <w:bookmarkEnd w:id="14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Income Taxes – (continued)</w:t>
      </w:r>
    </w:p>
    <w:p>
      <w:pPr>
        <w:spacing w:after="0" w:line="121"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For income tax purposes, distributions paid to shareholders are reported as ordinary income, return of capital, long term capital gains or a combination thereof. The tax character of distributions paid for the tax years ended August 31, 2016, 2015, and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47339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Tax year</w:t>
            </w: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Tax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Tax year</w:t>
            </w:r>
          </w:p>
        </w:tc>
      </w:tr>
      <w:tr>
        <w:trPr>
          <w:trHeight w:val="149"/>
        </w:trPr>
        <w:tc>
          <w:tcPr>
            <w:tcW w:w="48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48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August 31,</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August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August 31,</w:t>
            </w:r>
          </w:p>
        </w:tc>
      </w:tr>
      <w:tr>
        <w:trPr>
          <w:trHeight w:val="171"/>
        </w:trPr>
        <w:tc>
          <w:tcPr>
            <w:tcW w:w="48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4"/>
                <w:szCs w:val="14"/>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Ordinary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$ 24,478</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$ 25,063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18,294</w:t>
            </w: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Long-term capital gains</w:t>
            </w:r>
          </w:p>
        </w:tc>
        <w:tc>
          <w:tcPr>
            <w:tcW w:w="660" w:type="dxa"/>
            <w:vAlign w:val="bottom"/>
          </w:tcPr>
          <w:p>
            <w:pPr>
              <w:jc w:val="right"/>
              <w:spacing w:after="0"/>
              <w:rPr>
                <w:sz w:val="20"/>
                <w:szCs w:val="20"/>
                <w:color w:val="auto"/>
              </w:rPr>
            </w:pPr>
            <w:r>
              <w:rPr>
                <w:rFonts w:ascii="Arial" w:cs="Arial" w:eastAsia="Arial" w:hAnsi="Arial"/>
                <w:sz w:val="18"/>
                <w:szCs w:val="18"/>
                <w:color w:val="auto"/>
              </w:rPr>
              <w:t>8,378</w:t>
            </w:r>
          </w:p>
        </w:tc>
        <w:tc>
          <w:tcPr>
            <w:tcW w:w="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10,705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of capital</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$ 32,856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$ 35,768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18,294</w:t>
            </w:r>
          </w:p>
        </w:tc>
      </w:tr>
      <w:tr>
        <w:trPr>
          <w:trHeight w:val="21"/>
        </w:trPr>
        <w:tc>
          <w:tcPr>
            <w:tcW w:w="4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U.S federal income tax purposes, as of August 31, 2016, the aggregate net unrealized appreciation for all securities was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$47.8 million. As of August 31, 2016, gross unrealized appreciation was $74.2 million and gross unrealized depreciation was $26.4</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million. The aggregate cost of securities for U.S. federal income tax purposes was $486.3 million.</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Directors Fees</w:t>
      </w:r>
    </w:p>
    <w:p>
      <w:pPr>
        <w:spacing w:after="0" w:line="121" w:lineRule="exact"/>
        <w:rPr>
          <w:sz w:val="20"/>
          <w:szCs w:val="20"/>
          <w:color w:val="auto"/>
        </w:rPr>
      </w:pPr>
    </w:p>
    <w:p>
      <w:pPr>
        <w:ind w:left="60" w:right="559" w:firstLine="270"/>
        <w:spacing w:after="0" w:line="291" w:lineRule="auto"/>
        <w:rPr>
          <w:sz w:val="20"/>
          <w:szCs w:val="20"/>
          <w:color w:val="auto"/>
        </w:rPr>
      </w:pPr>
      <w:r>
        <w:rPr>
          <w:rFonts w:ascii="Arial" w:cs="Arial" w:eastAsia="Arial" w:hAnsi="Arial"/>
          <w:sz w:val="16"/>
          <w:szCs w:val="16"/>
          <w:color w:val="auto"/>
        </w:rPr>
        <w:t>Our independent directors receive an annual fee of $50,000. They also receive $5,000 plus reimbursement of reasonable out-of-pocket expenses incurred in connection with attending each Board meeting, and also receive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years ended December 31, 2016, 2015 and 2014, the Company recognized director fee expense of $0.4 million, $0.4 million and $0.4 million, respectively. No compensation is expected to be paid to directors who are “interested persons” of the Company, as such term is defined in Section 2(a)(19) of the 1940 Act.</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Stockholders’ Equity</w:t>
      </w:r>
    </w:p>
    <w:p>
      <w:pPr>
        <w:spacing w:after="0" w:line="121" w:lineRule="exact"/>
        <w:rPr>
          <w:sz w:val="20"/>
          <w:szCs w:val="20"/>
          <w:color w:val="auto"/>
        </w:rPr>
      </w:pPr>
    </w:p>
    <w:p>
      <w:pPr>
        <w:ind w:left="60" w:right="599" w:firstLine="270"/>
        <w:spacing w:after="0" w:line="257" w:lineRule="auto"/>
        <w:rPr>
          <w:sz w:val="20"/>
          <w:szCs w:val="20"/>
          <w:color w:val="auto"/>
        </w:rPr>
      </w:pPr>
      <w:r>
        <w:rPr>
          <w:rFonts w:ascii="Arial" w:cs="Arial" w:eastAsia="Arial" w:hAnsi="Arial"/>
          <w:sz w:val="18"/>
          <w:szCs w:val="18"/>
          <w:color w:val="auto"/>
        </w:rPr>
        <w:t>On September 24, 2013, we issued 8,974,420 shares of common stock to the limited partners of the Legacy Funds, in exchange for 100% of their membership interests or certain investment assets of such Legacy Funds, as the case may be. On September 30, 2013, we issued 4,000,000 shares of common stock in connection with the closing of our IPO. The shares issued in the IPO were priced at $20.00 per share. We received proceeds of $74.25 million in the IPO, net of underwriters’ discounts and commissions of $5.75 million.</w:t>
      </w:r>
    </w:p>
    <w:p>
      <w:pPr>
        <w:spacing w:after="0" w:line="80" w:lineRule="exact"/>
        <w:rPr>
          <w:sz w:val="20"/>
          <w:szCs w:val="20"/>
          <w:color w:val="auto"/>
        </w:rPr>
      </w:pPr>
    </w:p>
    <w:p>
      <w:pPr>
        <w:ind w:left="60" w:right="579" w:firstLine="270"/>
        <w:spacing w:after="0" w:line="312" w:lineRule="auto"/>
        <w:rPr>
          <w:sz w:val="20"/>
          <w:szCs w:val="20"/>
          <w:color w:val="auto"/>
        </w:rPr>
      </w:pPr>
      <w:r>
        <w:rPr>
          <w:rFonts w:ascii="Arial" w:cs="Arial" w:eastAsia="Arial" w:hAnsi="Arial"/>
          <w:sz w:val="16"/>
          <w:szCs w:val="16"/>
          <w:color w:val="auto"/>
        </w:rPr>
        <w:t>On April 13, 2015, the Company completed an underwritten offering of 3,500,000 shares of its common stock at a public offering price of $18.32 per share. The total proceeds received in the offering net of underwriting discounts and offering costs were approximately $61.7 million. As of December 31, 2016, the Company had 15,868,045 shares of common stock outstanding.</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Summarized Financial Information of Our Unconsolidated Subsidiaries</w:t>
      </w:r>
    </w:p>
    <w:p>
      <w:pPr>
        <w:spacing w:after="0" w:line="121"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The Company holds a control interest, as defined by the 1940 Act, in five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December 31, 2016 and December 31, 2015 and for the three years in the period then ended.</w:t>
      </w:r>
    </w:p>
    <w:p>
      <w:pPr>
        <w:spacing w:after="0" w:line="200" w:lineRule="exact"/>
        <w:rPr>
          <w:sz w:val="20"/>
          <w:szCs w:val="20"/>
          <w:color w:val="auto"/>
        </w:rPr>
      </w:pPr>
    </w:p>
    <w:p>
      <w:pPr>
        <w:spacing w:after="0" w:line="3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Summarized Financial Information of Our Unconsolidated Subsidiaries – (continued)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Print Direction, Inc.</w:t>
      </w:r>
    </w:p>
    <w:p>
      <w:pPr>
        <w:spacing w:after="0" w:line="117" w:lineRule="exact"/>
        <w:rPr>
          <w:sz w:val="20"/>
          <w:szCs w:val="20"/>
          <w:color w:val="auto"/>
        </w:rPr>
      </w:pPr>
    </w:p>
    <w:p>
      <w:pPr>
        <w:ind w:left="40" w:right="639" w:firstLine="270"/>
        <w:spacing w:after="0" w:line="297" w:lineRule="auto"/>
        <w:rPr>
          <w:sz w:val="20"/>
          <w:szCs w:val="20"/>
          <w:color w:val="auto"/>
        </w:rPr>
      </w:pPr>
      <w:r>
        <w:rPr>
          <w:rFonts w:ascii="Arial" w:cs="Arial" w:eastAsia="Arial" w:hAnsi="Arial"/>
          <w:sz w:val="16"/>
          <w:szCs w:val="16"/>
          <w:color w:val="auto"/>
        </w:rPr>
        <w:t>Print Direction, Inc., incorporated in Georgia on May 11, 2006, is a professional printing services firm serving customers, particularly fast food, retail, and other similar chains, throughout the U.S. Print Direction, Inc. also provides warehousing and distribution services for these customers. The income (loss) the Company generated from Print Direction, Inc., which includes all interest, dividends, PIK interest and dividends, fees, and unrealized appreciation (depreciation), was $(3.8) million, $(1.1) million, and $2.6 million for the years ended December 31, 2016, December 31, 2015 and December 31, 2014, respectively.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117" w:lineRule="exact"/>
        <w:rPr>
          <w:sz w:val="20"/>
          <w:szCs w:val="20"/>
          <w:color w:val="auto"/>
        </w:rPr>
      </w:pPr>
    </w:p>
    <w:p>
      <w:pPr>
        <w:ind w:left="40" w:right="699" w:firstLine="270"/>
        <w:spacing w:after="0" w:line="302" w:lineRule="auto"/>
        <w:rPr>
          <w:sz w:val="20"/>
          <w:szCs w:val="20"/>
          <w:color w:val="auto"/>
        </w:rPr>
      </w:pPr>
      <w:r>
        <w:rPr>
          <w:rFonts w:ascii="Arial" w:cs="Arial" w:eastAsia="Arial" w:hAnsi="Arial"/>
          <w:sz w:val="16"/>
          <w:szCs w:val="16"/>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 (depreciation), was $1.9 million, $4.2 million and $4.2 million for the years ended December 31, 2016, December 31, 2015 and December 31, 2014, respectively.</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On-Site Fuel Service, Inc.</w:t>
      </w:r>
    </w:p>
    <w:p>
      <w:pPr>
        <w:spacing w:after="0" w:line="117"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On-Site Fuel Service, Inc. is a 100% owned subsidiary of On-Site Fuel Holdings, Inc., which was incorporated in Delaware on December 19, 2011. On-Site Fuel Service, Inc. provides fueling services for commercial and government vehicle fleets throughout the southeast U.S. The income (loss) the Company generated from On-Site Fuel Service, Inc., which includes all interest, dividends, PIK interest and dividends, fees, and unrealized appreciation (depreciation), was $4.5 million, $(3.2) million, and $(4.8) million for the years ended December 31, 2016, December 31, 2015, and December 31, 2014, respectively.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CableOrganizer Holdings, LLC</w:t>
      </w:r>
    </w:p>
    <w:p>
      <w:pPr>
        <w:spacing w:after="0" w:line="117"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CableOrganizer Holdings, LLC, a Delaware limited liability company that began operations on April 23, 2013, is a leading online provider of cable and wire management products. The income the Company generated from CableOrganizer Holdings, LLC, which includes all interest, dividends, PIK interest and dividends, fees, and unrealized appreciation (depreciation), was $1.9 million, $0.4 million, and $2.9 million for the years ended December 31, 2016, December 31, 2015 and December 31, 2014, respectively.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Eastport Holdings, LLC</w:t>
      </w:r>
    </w:p>
    <w:p>
      <w:pPr>
        <w:spacing w:after="0" w:line="117"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Eastport Holdings, LLC, an Ohio limited liability company organized on November 1, 2011, is a holding company consisting of marketing and advertising companies located across the U.S. The income the Company generated from Eastport Holdings, LLC, which includes all interest, dividends, PIK interest and dividends, fees, and unrealized appreciation (depreciation), was $14.3 million for the year ended December 31, 2016. The Company invested in the portfolio company in January 2016. As such, comparative financial information for the prior periods is not presented.</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0" w:name="page151"/>
    <w:bookmarkEnd w:id="150"/>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13. Summarized Financial Information of Our Unconsolidated Subsidiaries – (continued)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summarized financial information of our unconsolidated subsidiaries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510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4"/>
                <w:szCs w:val="14"/>
                <w:b w:val="1"/>
                <w:bCs w:val="1"/>
                <w:color w:val="auto"/>
              </w:rPr>
              <w:t>As of</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Sheet – Print Direction, Inc.</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6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3,596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4,934</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9,739</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14,602</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18,323</w:t>
            </w:r>
          </w:p>
        </w:tc>
        <w:tc>
          <w:tcPr>
            <w:tcW w:w="14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17,599</w:t>
            </w:r>
          </w:p>
        </w:tc>
        <w:tc>
          <w:tcPr>
            <w:tcW w:w="180" w:type="dxa"/>
            <w:vAlign w:val="bottom"/>
            <w:tcBorders>
              <w:left w:val="single" w:sz="8" w:color="CCEEFF"/>
            </w:tcBorders>
            <w:shd w:val="clear" w:color="auto" w:fill="CCEEFF"/>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Total deficit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(9,704)</w:t>
            </w:r>
          </w:p>
        </w:tc>
        <w:tc>
          <w:tcPr>
            <w:tcW w:w="20" w:type="dxa"/>
            <w:vAlign w:val="bottom"/>
          </w:tcPr>
          <w:p>
            <w:pPr>
              <w:spacing w:after="0"/>
              <w:rPr>
                <w:sz w:val="18"/>
                <w:szCs w:val="18"/>
                <w:color w:val="auto"/>
              </w:rPr>
            </w:pPr>
          </w:p>
        </w:tc>
        <w:tc>
          <w:tcPr>
            <w:tcW w:w="38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(7,860)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jc w:val="right"/>
              <w:ind w:right="104"/>
              <w:spacing w:after="0"/>
              <w:rPr>
                <w:sz w:val="20"/>
                <w:szCs w:val="20"/>
                <w:color w:val="auto"/>
              </w:rPr>
            </w:pPr>
            <w:r>
              <w:rPr>
                <w:rFonts w:ascii="Arial" w:cs="Arial" w:eastAsia="Arial" w:hAnsi="Arial"/>
                <w:sz w:val="14"/>
                <w:szCs w:val="14"/>
                <w:b w:val="1"/>
                <w:bCs w:val="1"/>
                <w:color w:val="auto"/>
                <w:w w:val="95"/>
              </w:rPr>
              <w:t>For the year ended</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Statements of Operations – Print Direction, Inc.</w:t>
            </w:r>
          </w:p>
        </w:tc>
        <w:tc>
          <w:tcPr>
            <w:tcW w:w="8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8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4"/>
              </w:rPr>
              <w:t>16,357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17,637</w:t>
            </w:r>
          </w:p>
        </w:tc>
        <w:tc>
          <w:tcPr>
            <w:tcW w:w="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22,553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8,994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13,559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12,315</w:t>
            </w:r>
          </w:p>
        </w:tc>
        <w:tc>
          <w:tcPr>
            <w:tcW w:w="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11,544</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13,455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(1,335)</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6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4"/>
                <w:szCs w:val="14"/>
                <w:b w:val="1"/>
                <w:bCs w:val="1"/>
                <w:color w:val="auto"/>
              </w:rPr>
              <w:t>As of</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Sheet – Navis Holdings, Inc.</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6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8,454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8,963</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6,926</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14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180" w:type="dxa"/>
            <w:vAlign w:val="bottom"/>
            <w:tcBorders>
              <w:left w:val="single" w:sz="8" w:color="CCEEFF"/>
            </w:tcBorders>
            <w:shd w:val="clear" w:color="auto" w:fill="CCEEFF"/>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Total deficit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jc w:val="right"/>
              <w:ind w:right="104"/>
              <w:spacing w:after="0"/>
              <w:rPr>
                <w:sz w:val="20"/>
                <w:szCs w:val="20"/>
                <w:color w:val="auto"/>
              </w:rPr>
            </w:pPr>
            <w:r>
              <w:rPr>
                <w:rFonts w:ascii="Arial" w:cs="Arial" w:eastAsia="Arial" w:hAnsi="Arial"/>
                <w:sz w:val="14"/>
                <w:szCs w:val="14"/>
                <w:b w:val="1"/>
                <w:bCs w:val="1"/>
                <w:color w:val="auto"/>
                <w:w w:val="95"/>
              </w:rPr>
              <w:t>For the year ended</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Statements of Operations – Navis Holdings, Inc.</w:t>
            </w:r>
          </w:p>
        </w:tc>
        <w:tc>
          <w:tcPr>
            <w:tcW w:w="88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8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17,803</w:t>
            </w: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17,076</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16,114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10,933</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11,087</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10,444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6,870</w:t>
            </w:r>
          </w:p>
        </w:tc>
        <w:tc>
          <w:tcPr>
            <w:tcW w:w="10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5,989</w:t>
            </w:r>
          </w:p>
        </w:tc>
        <w:tc>
          <w:tcPr>
            <w:tcW w:w="20" w:type="dxa"/>
            <w:vAlign w:val="bottom"/>
          </w:tcPr>
          <w:p>
            <w:pPr>
              <w:spacing w:after="0"/>
              <w:rPr>
                <w:sz w:val="18"/>
                <w:szCs w:val="18"/>
                <w:color w:val="auto"/>
              </w:rPr>
            </w:pPr>
          </w:p>
        </w:tc>
        <w:tc>
          <w:tcPr>
            <w:tcW w:w="38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5,670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0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5,414</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697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343</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c>
          <w:tcPr>
            <w:tcW w:w="38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4"/>
          </w:tcPr>
          <w:p>
            <w:pPr>
              <w:ind w:left="40"/>
              <w:spacing w:after="0"/>
              <w:rPr>
                <w:sz w:val="20"/>
                <w:szCs w:val="20"/>
                <w:color w:val="auto"/>
              </w:rPr>
            </w:pPr>
            <w:r>
              <w:rPr>
                <w:rFonts w:ascii="Arial" w:cs="Arial" w:eastAsia="Arial" w:hAnsi="Arial"/>
                <w:sz w:val="18"/>
                <w:szCs w:val="18"/>
                <w:color w:val="auto"/>
              </w:rPr>
              <w:t>F-51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2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-5873750</wp:posOffset>
            </wp:positionV>
            <wp:extent cx="4751070" cy="1803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-5273675</wp:posOffset>
            </wp:positionV>
            <wp:extent cx="4751070" cy="2057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-4356100</wp:posOffset>
            </wp:positionV>
            <wp:extent cx="4751070" cy="1543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-3789680</wp:posOffset>
            </wp:positionV>
            <wp:extent cx="4751070" cy="1803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-2898140</wp:posOffset>
            </wp:positionV>
            <wp:extent cx="4751070" cy="1803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-2297430</wp:posOffset>
            </wp:positionV>
            <wp:extent cx="4751070" cy="2057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-1379855</wp:posOffset>
            </wp:positionV>
            <wp:extent cx="4751070" cy="1543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-814070</wp:posOffset>
            </wp:positionV>
            <wp:extent cx="4751070" cy="1803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-5041900</wp:posOffset>
            </wp:positionV>
            <wp:extent cx="47421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74218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-3583940</wp:posOffset>
            </wp:positionV>
            <wp:extent cx="475107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-2066290</wp:posOffset>
            </wp:positionV>
            <wp:extent cx="475107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51" w:name="page152"/>
    <w:bookmarkEnd w:id="151"/>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13. Summarized Financial Information of Our Unconsolidated Subsidiaries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475107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Sheet – On-Site Fuel Service, Inc.</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4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w w:val="90"/>
              </w:rPr>
              <w:t>12,151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8,112</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0"/>
              </w:rPr>
              <w:t>17,644</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16,036</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w w:val="90"/>
              </w:rPr>
              <w:t>29,795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24,148</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0"/>
              </w:rPr>
              <w:t>17,911</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w w:val="90"/>
              </w:rPr>
              <w:t>17,929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16,906</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4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0"/>
              </w:rPr>
              <w:t>35,840</w:t>
            </w:r>
          </w:p>
        </w:tc>
        <w:tc>
          <w:tcPr>
            <w:tcW w:w="8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26,158</w:t>
            </w:r>
          </w:p>
        </w:tc>
        <w:tc>
          <w:tcPr>
            <w:tcW w:w="180" w:type="dxa"/>
            <w:vAlign w:val="bottom"/>
            <w:tcBorders>
              <w:left w:val="single" w:sz="8" w:color="CCEEFF"/>
            </w:tcBorders>
            <w:shd w:val="clear" w:color="auto" w:fill="CCEEFF"/>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Total deficit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ind w:left="140"/>
              <w:spacing w:after="0"/>
              <w:rPr>
                <w:sz w:val="20"/>
                <w:szCs w:val="20"/>
                <w:color w:val="auto"/>
              </w:rPr>
            </w:pPr>
            <w:r>
              <w:rPr>
                <w:rFonts w:ascii="Arial" w:cs="Arial" w:eastAsia="Arial" w:hAnsi="Arial"/>
                <w:sz w:val="18"/>
                <w:szCs w:val="18"/>
                <w:color w:val="auto"/>
              </w:rPr>
              <w:t>(6,045)</w:t>
            </w:r>
          </w:p>
        </w:tc>
        <w:tc>
          <w:tcPr>
            <w:tcW w:w="20" w:type="dxa"/>
            <w:vAlign w:val="bottom"/>
          </w:tcPr>
          <w:p>
            <w:pPr>
              <w:spacing w:after="0"/>
              <w:rPr>
                <w:sz w:val="18"/>
                <w:szCs w:val="18"/>
                <w:color w:val="auto"/>
              </w:rPr>
            </w:pP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(2,010)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8"/>
          </w:tcPr>
          <w:p>
            <w:pPr>
              <w:jc w:val="right"/>
              <w:ind w:right="92"/>
              <w:spacing w:after="0"/>
              <w:rPr>
                <w:sz w:val="20"/>
                <w:szCs w:val="20"/>
                <w:color w:val="auto"/>
              </w:rPr>
            </w:pPr>
            <w:r>
              <w:rPr>
                <w:rFonts w:ascii="Arial" w:cs="Arial" w:eastAsia="Arial" w:hAnsi="Arial"/>
                <w:sz w:val="14"/>
                <w:szCs w:val="14"/>
                <w:b w:val="1"/>
                <w:bCs w:val="1"/>
                <w:color w:val="auto"/>
                <w:w w:val="94"/>
              </w:rPr>
              <w:t>For the year ended</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Statements of Operations – On-Site Fuel Service, Inc.</w:t>
            </w:r>
          </w:p>
        </w:tc>
        <w:tc>
          <w:tcPr>
            <w:tcW w:w="9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8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87"/>
              </w:rPr>
              <w:t>$ 107,776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$ 114,137</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189,778</w:t>
            </w:r>
          </w:p>
        </w:tc>
        <w:tc>
          <w:tcPr>
            <w:tcW w:w="18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102,679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106,668</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180,528</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9,250</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14,589</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(4,035)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(6,123)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(5,339)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3"/>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(4,035)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(8,090)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(3,513)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Sheet – CableOrganizer Holdings, LLC</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4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3,850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11,402</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11,385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ind w:left="180"/>
              <w:spacing w:after="0"/>
              <w:rPr>
                <w:sz w:val="20"/>
                <w:szCs w:val="20"/>
                <w:color w:val="auto"/>
              </w:rPr>
            </w:pPr>
            <w:r>
              <w:rPr>
                <w:rFonts w:ascii="Arial" w:cs="Arial" w:eastAsia="Arial" w:hAnsi="Arial"/>
                <w:sz w:val="18"/>
                <w:szCs w:val="18"/>
                <w:color w:val="auto"/>
                <w:w w:val="98"/>
              </w:rPr>
              <w:t>17,239</w:t>
            </w:r>
          </w:p>
        </w:tc>
        <w:tc>
          <w:tcPr>
            <w:tcW w:w="20" w:type="dxa"/>
            <w:vAlign w:val="bottom"/>
          </w:tcPr>
          <w:p>
            <w:pPr>
              <w:spacing w:after="0"/>
              <w:rPr>
                <w:sz w:val="18"/>
                <w:szCs w:val="18"/>
                <w:color w:val="auto"/>
              </w:rPr>
            </w:pP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15,235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ind w:left="180"/>
              <w:spacing w:after="0"/>
              <w:rPr>
                <w:sz w:val="20"/>
                <w:szCs w:val="20"/>
                <w:color w:val="auto"/>
              </w:rPr>
            </w:pPr>
            <w:r>
              <w:rPr>
                <w:rFonts w:ascii="Arial" w:cs="Arial" w:eastAsia="Arial" w:hAnsi="Arial"/>
                <w:sz w:val="18"/>
                <w:szCs w:val="18"/>
                <w:color w:val="auto"/>
                <w:w w:val="98"/>
              </w:rPr>
              <w:t>12,134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11,285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4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8"/>
              </w:rPr>
              <w:t>16,571</w:t>
            </w:r>
          </w:p>
        </w:tc>
        <w:tc>
          <w:tcPr>
            <w:tcW w:w="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14,119</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1,116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8"/>
          </w:tcPr>
          <w:p>
            <w:pPr>
              <w:jc w:val="right"/>
              <w:ind w:right="72"/>
              <w:spacing w:after="0"/>
              <w:rPr>
                <w:sz w:val="20"/>
                <w:szCs w:val="20"/>
                <w:color w:val="auto"/>
              </w:rPr>
            </w:pPr>
            <w:r>
              <w:rPr>
                <w:rFonts w:ascii="Arial" w:cs="Arial" w:eastAsia="Arial" w:hAnsi="Arial"/>
                <w:sz w:val="14"/>
                <w:szCs w:val="14"/>
                <w:b w:val="1"/>
                <w:bCs w:val="1"/>
                <w:color w:val="auto"/>
                <w:w w:val="95"/>
              </w:rPr>
              <w:t>For the year ended</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Statements of Operations – CableOrganizer Holdings, LLC</w:t>
            </w:r>
          </w:p>
        </w:tc>
        <w:tc>
          <w:tcPr>
            <w:tcW w:w="90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8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23,277</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25,315</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20,887</w:t>
            </w:r>
          </w:p>
        </w:tc>
        <w:tc>
          <w:tcPr>
            <w:tcW w:w="18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16,874</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13,486</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180"/>
              <w:spacing w:after="0"/>
              <w:rPr>
                <w:sz w:val="20"/>
                <w:szCs w:val="20"/>
                <w:color w:val="auto"/>
              </w:rPr>
            </w:pPr>
            <w:r>
              <w:rPr>
                <w:rFonts w:ascii="Arial" w:cs="Arial" w:eastAsia="Arial" w:hAnsi="Arial"/>
                <w:sz w:val="18"/>
                <w:szCs w:val="18"/>
                <w:color w:val="auto"/>
                <w:w w:val="79"/>
              </w:rPr>
              <w:t>8,441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7,401</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w w:val="87"/>
              </w:rPr>
              <w:t>(1,571)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(1,293)</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3"/>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w w:val="87"/>
              </w:rPr>
              <w:t>(1,571)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(1,293)</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5"/>
          </w:tcPr>
          <w:p>
            <w:pPr>
              <w:ind w:left="60"/>
              <w:spacing w:after="0"/>
              <w:rPr>
                <w:sz w:val="20"/>
                <w:szCs w:val="20"/>
                <w:color w:val="auto"/>
              </w:rPr>
            </w:pPr>
            <w:r>
              <w:rPr>
                <w:rFonts w:ascii="Arial" w:cs="Arial" w:eastAsia="Arial" w:hAnsi="Arial"/>
                <w:sz w:val="18"/>
                <w:szCs w:val="18"/>
                <w:color w:val="auto"/>
              </w:rPr>
              <w:t>F-52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2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-5873750</wp:posOffset>
            </wp:positionV>
            <wp:extent cx="4751070" cy="1803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-5273675</wp:posOffset>
            </wp:positionV>
            <wp:extent cx="4751070" cy="2057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-4356100</wp:posOffset>
            </wp:positionV>
            <wp:extent cx="4751070" cy="1543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-3789680</wp:posOffset>
            </wp:positionV>
            <wp:extent cx="4751070" cy="1803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-2898140</wp:posOffset>
            </wp:positionV>
            <wp:extent cx="4751070" cy="1803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-2297430</wp:posOffset>
            </wp:positionV>
            <wp:extent cx="4751070" cy="2057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-1379855</wp:posOffset>
            </wp:positionV>
            <wp:extent cx="4751070" cy="1543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-814070</wp:posOffset>
            </wp:positionV>
            <wp:extent cx="4751070" cy="1803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-5041900</wp:posOffset>
            </wp:positionV>
            <wp:extent cx="473392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733925"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-3583940</wp:posOffset>
            </wp:positionV>
            <wp:extent cx="47510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-2066290</wp:posOffset>
            </wp:positionV>
            <wp:extent cx="473392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52" w:name="page153"/>
    <w:bookmarkEnd w:id="15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Summarized Financial Information of Our Unconsolidated Subsidiaries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475107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 Eastport Holdings, LLC</w:t>
            </w:r>
          </w:p>
        </w:tc>
        <w:tc>
          <w:tcPr>
            <w:tcW w:w="16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3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106,388</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255,092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157,393</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209,437</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6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For the year</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 of Operations – Eastport Holdings, LLC‘</w:t>
            </w:r>
          </w:p>
        </w:tc>
        <w:tc>
          <w:tcPr>
            <w:tcW w:w="16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3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552,004</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122,915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108,822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14,093</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-2169160</wp:posOffset>
            </wp:positionV>
            <wp:extent cx="4751070" cy="1714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-1860550</wp:posOffset>
            </wp:positionV>
            <wp:extent cx="4751070" cy="1803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-1543050</wp:posOffset>
            </wp:positionV>
            <wp:extent cx="4751070" cy="342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-599440</wp:posOffset>
            </wp:positionV>
            <wp:extent cx="4751070" cy="1460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-1482725</wp:posOffset>
            </wp:positionV>
            <wp:extent cx="475107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Earnings Per Share</w:t>
      </w:r>
    </w:p>
    <w:p>
      <w:pPr>
        <w:spacing w:after="0" w:line="121" w:lineRule="exact"/>
        <w:rPr>
          <w:sz w:val="20"/>
          <w:szCs w:val="20"/>
          <w:color w:val="auto"/>
        </w:rPr>
      </w:pPr>
    </w:p>
    <w:p>
      <w:pPr>
        <w:ind w:left="60" w:right="539" w:firstLine="270"/>
        <w:spacing w:after="0" w:line="279" w:lineRule="auto"/>
        <w:rPr>
          <w:sz w:val="20"/>
          <w:szCs w:val="20"/>
          <w:color w:val="auto"/>
        </w:rPr>
      </w:pPr>
      <w:r>
        <w:rPr>
          <w:rFonts w:ascii="Arial" w:cs="Arial" w:eastAsia="Arial" w:hAnsi="Arial"/>
          <w:sz w:val="17"/>
          <w:szCs w:val="17"/>
          <w:color w:val="auto"/>
        </w:rPr>
        <w:t xml:space="preserve">In accordance with the provisions of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 As of December 31, 2016, 2015, and 2014, there were no dilutive shares.</w:t>
      </w:r>
    </w:p>
    <w:p>
      <w:pPr>
        <w:spacing w:after="0" w:line="63" w:lineRule="exact"/>
        <w:rPr>
          <w:sz w:val="20"/>
          <w:szCs w:val="20"/>
          <w:color w:val="auto"/>
        </w:rPr>
      </w:pPr>
    </w:p>
    <w:p>
      <w:pPr>
        <w:ind w:left="60" w:right="799" w:firstLine="270"/>
        <w:spacing w:after="0" w:line="264" w:lineRule="auto"/>
        <w:rPr>
          <w:sz w:val="20"/>
          <w:szCs w:val="20"/>
          <w:color w:val="auto"/>
        </w:rPr>
      </w:pPr>
      <w:r>
        <w:rPr>
          <w:rFonts w:ascii="Arial" w:cs="Arial" w:eastAsia="Arial" w:hAnsi="Arial"/>
          <w:sz w:val="18"/>
          <w:szCs w:val="18"/>
          <w:color w:val="auto"/>
        </w:rPr>
        <w:t>The following information sets forth the computation of the weighted average basic and diluted net increase in net assets per share from operations for the years ended December 31, 2016, 2015 and 2014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47250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2"/>
              </w:rPr>
              <w:t>For the year ended</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Basic and diluted</w:t>
            </w: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11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December 31,</w:t>
            </w:r>
          </w:p>
        </w:tc>
        <w:tc>
          <w:tcPr>
            <w:tcW w:w="1020" w:type="dxa"/>
            <w:vAlign w:val="bottom"/>
            <w:gridSpan w:val="2"/>
          </w:tcPr>
          <w:p>
            <w:pPr>
              <w:jc w:val="right"/>
              <w:ind w:right="14"/>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Net increase (decrease) in net assets from operations</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9,152</w:t>
            </w:r>
          </w:p>
        </w:tc>
        <w:tc>
          <w:tcPr>
            <w:tcW w:w="1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13,850</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15,819,175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15,210,577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6"/>
              </w:rPr>
              <w:t>12,974,420</w:t>
            </w:r>
          </w:p>
        </w:tc>
        <w:tc>
          <w:tcPr>
            <w:tcW w:w="0" w:type="dxa"/>
            <w:vAlign w:val="bottom"/>
          </w:tcPr>
          <w:p>
            <w:pPr>
              <w:spacing w:after="0"/>
              <w:rPr>
                <w:sz w:val="1"/>
                <w:szCs w:val="1"/>
                <w:color w:val="auto"/>
              </w:rPr>
            </w:pPr>
          </w:p>
        </w:tc>
      </w:tr>
      <w:tr>
        <w:trPr>
          <w:trHeight w:val="202"/>
        </w:trPr>
        <w:tc>
          <w:tcPr>
            <w:tcW w:w="42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Net increase (decrease) in net assets per share from</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00"/>
              <w:spacing w:after="0"/>
              <w:rPr>
                <w:sz w:val="20"/>
                <w:szCs w:val="20"/>
                <w:color w:val="auto"/>
              </w:rPr>
            </w:pPr>
            <w:r>
              <w:rPr>
                <w:rFonts w:ascii="Arial" w:cs="Arial" w:eastAsia="Arial" w:hAnsi="Arial"/>
                <w:sz w:val="18"/>
                <w:szCs w:val="18"/>
                <w:color w:val="auto"/>
              </w:rPr>
              <w:t>operations-basic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Distributions</w:t>
      </w:r>
    </w:p>
    <w:p>
      <w:pPr>
        <w:spacing w:after="0" w:line="121" w:lineRule="exact"/>
        <w:rPr>
          <w:sz w:val="20"/>
          <w:szCs w:val="20"/>
          <w:color w:val="auto"/>
        </w:rPr>
      </w:pPr>
    </w:p>
    <w:p>
      <w:pPr>
        <w:ind w:left="60" w:right="659" w:firstLine="270"/>
        <w:spacing w:after="0" w:line="277" w:lineRule="auto"/>
        <w:rPr>
          <w:sz w:val="20"/>
          <w:szCs w:val="20"/>
          <w:color w:val="auto"/>
        </w:rPr>
      </w:pPr>
      <w:r>
        <w:rPr>
          <w:rFonts w:ascii="Arial" w:cs="Arial" w:eastAsia="Arial" w:hAnsi="Arial"/>
          <w:sz w:val="18"/>
          <w:szCs w:val="18"/>
          <w:color w:val="auto"/>
        </w:rPr>
        <w:t>The Company’s distributions are recorded as payable on the declaration date. Shareholders have the option to receive payment of the distribution in cash, shares of common stock, or a combination of cash and common stock.</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3" w:name="page154"/>
    <w:bookmarkEnd w:id="15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Distributions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summarize the Company’s distribution declarations during the years ended December 31, 2016, 2015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2014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Cash</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DRIP</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9"/>
        </w:trPr>
        <w:tc>
          <w:tcPr>
            <w:tcW w:w="16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60" w:type="dxa"/>
            <w:vAlign w:val="bottom"/>
          </w:tcPr>
          <w:p>
            <w:pPr>
              <w:spacing w:after="0"/>
              <w:rPr>
                <w:sz w:val="12"/>
                <w:szCs w:val="12"/>
                <w:color w:val="auto"/>
              </w:rPr>
            </w:pPr>
          </w:p>
        </w:tc>
        <w:tc>
          <w:tcPr>
            <w:tcW w:w="15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Payment Date</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71"/>
        </w:trPr>
        <w:tc>
          <w:tcPr>
            <w:tcW w:w="1640" w:type="dxa"/>
            <w:vAlign w:val="bottom"/>
            <w:tcBorders>
              <w:bottom w:val="single" w:sz="8" w:color="auto"/>
            </w:tcBorders>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Per Share</w:t>
            </w:r>
          </w:p>
        </w:tc>
        <w:tc>
          <w:tcPr>
            <w:tcW w:w="80" w:type="dxa"/>
            <w:vAlign w:val="bottom"/>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Issued</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January 4, 2016</w:t>
            </w:r>
          </w:p>
        </w:tc>
        <w:tc>
          <w:tcPr>
            <w:tcW w:w="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January 22, 2016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January 28, 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2,392</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8,135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January 4, 2016</w:t>
            </w:r>
          </w:p>
        </w:tc>
        <w:tc>
          <w:tcPr>
            <w:tcW w:w="6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color w:val="auto"/>
              </w:rPr>
              <w:t>February 19, 2016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February 26, 2016</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2,405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7,076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3"/>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January 4, 2016</w:t>
            </w:r>
          </w:p>
        </w:tc>
        <w:tc>
          <w:tcPr>
            <w:tcW w:w="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March 22, 2016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March 30, 2016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2,397</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7,079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April 1, 2016</w:t>
            </w:r>
          </w:p>
        </w:tc>
        <w:tc>
          <w:tcPr>
            <w:tcW w:w="6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color w:val="auto"/>
              </w:rPr>
              <w:t>April 22, 2016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April 28, 2016</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2,392</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6,625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3"/>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April 1, 2016</w:t>
            </w:r>
          </w:p>
        </w:tc>
        <w:tc>
          <w:tcPr>
            <w:tcW w:w="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May 23, 2016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May 30, 2016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2,372</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8,147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April 1, 2016</w:t>
            </w:r>
          </w:p>
        </w:tc>
        <w:tc>
          <w:tcPr>
            <w:tcW w:w="6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color w:val="auto"/>
              </w:rPr>
              <w:t>June 21, 2016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June 29, 2016</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2,369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8,229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3"/>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July 1, 2016</w:t>
            </w:r>
          </w:p>
        </w:tc>
        <w:tc>
          <w:tcPr>
            <w:tcW w:w="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July 22, 2016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July 29, 2016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2,382</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7,025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July 1, 2016</w:t>
            </w:r>
          </w:p>
        </w:tc>
        <w:tc>
          <w:tcPr>
            <w:tcW w:w="6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color w:val="auto"/>
              </w:rPr>
              <w:t>August 22, 2016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August 30, 2016</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2,391</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6,256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July 1, 2016</w:t>
            </w:r>
          </w:p>
        </w:tc>
        <w:tc>
          <w:tcPr>
            <w:tcW w:w="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September 22, 2016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September 29, 2016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2,380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8,242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September 22, 2016</w:t>
            </w:r>
          </w:p>
        </w:tc>
        <w:tc>
          <w:tcPr>
            <w:tcW w:w="6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color w:val="auto"/>
              </w:rPr>
              <w:t>October 21, 2016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October 28, 2016</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0.1300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1,977</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6,619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3"/>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September 22, 2016</w:t>
            </w:r>
          </w:p>
        </w:tc>
        <w:tc>
          <w:tcPr>
            <w:tcW w:w="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November 21, 2016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November 29, 2016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0.1300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1,926</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11,384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September 22, 2016</w:t>
            </w:r>
          </w:p>
        </w:tc>
        <w:tc>
          <w:tcPr>
            <w:tcW w:w="6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color w:val="auto"/>
              </w:rPr>
              <w:t>December 21, 2016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December 29, 2016</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1300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1,989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5,883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920" w:type="dxa"/>
            <w:vAlign w:val="bottom"/>
            <w:gridSpan w:val="11"/>
            <w:shd w:val="clear" w:color="auto" w:fill="CCEEFF"/>
          </w:tcPr>
          <w:p>
            <w:pPr>
              <w:ind w:left="940"/>
              <w:spacing w:after="0"/>
              <w:rPr>
                <w:sz w:val="20"/>
                <w:szCs w:val="20"/>
                <w:color w:val="auto"/>
              </w:rPr>
            </w:pPr>
            <w:r>
              <w:rPr>
                <w:rFonts w:ascii="Arial" w:cs="Arial" w:eastAsia="Arial" w:hAnsi="Arial"/>
                <w:sz w:val="16"/>
                <w:szCs w:val="16"/>
                <w:color w:val="auto"/>
                <w:w w:val="94"/>
              </w:rPr>
              <w:t>Total Distributions Declared and Distributed for Fiscal 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1.80</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27,372</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90,700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268"/>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top w:val="single" w:sz="8" w:color="CCEEFF"/>
            </w:tcBorders>
            <w:vMerge w:val="restart"/>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vMerge w:val="restart"/>
          </w:tcPr>
          <w:p>
            <w:pPr>
              <w:jc w:val="center"/>
              <w:ind w:right="19"/>
              <w:spacing w:after="0"/>
              <w:rPr>
                <w:sz w:val="20"/>
                <w:szCs w:val="20"/>
                <w:color w:val="auto"/>
              </w:rPr>
            </w:pPr>
            <w:r>
              <w:rPr>
                <w:rFonts w:ascii="Arial" w:cs="Arial" w:eastAsia="Arial" w:hAnsi="Arial"/>
                <w:sz w:val="14"/>
                <w:szCs w:val="14"/>
                <w:b w:val="1"/>
                <w:bCs w:val="1"/>
                <w:color w:val="auto"/>
                <w:w w:val="93"/>
              </w:rPr>
              <w:t>Cash</w:t>
            </w:r>
          </w:p>
        </w:tc>
        <w:tc>
          <w:tcPr>
            <w:tcW w:w="60" w:type="dxa"/>
            <w:vAlign w:val="bottom"/>
            <w:tcBorders>
              <w:top w:val="single" w:sz="8" w:color="CCEEFF"/>
            </w:tcBorders>
            <w:vMerge w:val="restart"/>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20" w:type="dxa"/>
            <w:vAlign w:val="bottom"/>
            <w:tcBorders>
              <w:top w:val="single" w:sz="8" w:color="auto"/>
            </w:tcBorders>
          </w:tcPr>
          <w:p>
            <w:pPr>
              <w:jc w:val="center"/>
              <w:ind w:left="4"/>
              <w:spacing w:after="0"/>
              <w:rPr>
                <w:sz w:val="20"/>
                <w:szCs w:val="20"/>
                <w:color w:val="auto"/>
              </w:rPr>
            </w:pPr>
            <w:r>
              <w:rPr>
                <w:rFonts w:ascii="Arial" w:cs="Arial" w:eastAsia="Arial" w:hAnsi="Arial"/>
                <w:sz w:val="14"/>
                <w:szCs w:val="14"/>
                <w:b w:val="1"/>
                <w:bCs w:val="1"/>
                <w:color w:val="auto"/>
              </w:rPr>
              <w:t>DRIP</w:t>
            </w: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DRIP</w:t>
            </w:r>
          </w:p>
        </w:tc>
        <w:tc>
          <w:tcPr>
            <w:tcW w:w="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Record Date</w:t>
            </w:r>
          </w:p>
        </w:tc>
        <w:tc>
          <w:tcPr>
            <w:tcW w:w="4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Payment Date</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71"/>
        </w:trPr>
        <w:tc>
          <w:tcPr>
            <w:tcW w:w="1520" w:type="dxa"/>
            <w:vAlign w:val="bottom"/>
            <w:tcBorders>
              <w:bottom w:val="single" w:sz="8" w:color="auto"/>
            </w:tcBorders>
            <w:gridSpan w:val="3"/>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Per Share</w:t>
            </w:r>
          </w:p>
        </w:tc>
        <w:tc>
          <w:tcPr>
            <w:tcW w:w="80" w:type="dxa"/>
            <w:vAlign w:val="bottom"/>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Issued</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January 2, 2015</w:t>
            </w:r>
          </w:p>
        </w:tc>
        <w:tc>
          <w:tcPr>
            <w:tcW w:w="16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January 22, 2015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January 29,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2,033</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January 2, 2015</w:t>
            </w:r>
          </w:p>
        </w:tc>
        <w:tc>
          <w:tcPr>
            <w:tcW w:w="1640" w:type="dxa"/>
            <w:vAlign w:val="bottom"/>
            <w:gridSpan w:val="3"/>
          </w:tcPr>
          <w:p>
            <w:pPr>
              <w:ind w:left="40"/>
              <w:spacing w:after="0"/>
              <w:rPr>
                <w:sz w:val="20"/>
                <w:szCs w:val="20"/>
                <w:color w:val="auto"/>
              </w:rPr>
            </w:pPr>
            <w:r>
              <w:rPr>
                <w:rFonts w:ascii="Arial" w:cs="Arial" w:eastAsia="Arial" w:hAnsi="Arial"/>
                <w:sz w:val="16"/>
                <w:szCs w:val="16"/>
                <w:color w:val="auto"/>
              </w:rPr>
              <w:t>February 20, 2015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color w:val="auto"/>
              </w:rPr>
              <w:t>February 26,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2,033</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January 2, 2015</w:t>
            </w:r>
          </w:p>
        </w:tc>
        <w:tc>
          <w:tcPr>
            <w:tcW w:w="16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March 23, 2015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March 30, 2015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1,994</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2,139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February 26, 2015</w:t>
            </w:r>
          </w:p>
        </w:tc>
        <w:tc>
          <w:tcPr>
            <w:tcW w:w="1640" w:type="dxa"/>
            <w:vAlign w:val="bottom"/>
            <w:gridSpan w:val="3"/>
          </w:tcPr>
          <w:p>
            <w:pPr>
              <w:ind w:left="40"/>
              <w:spacing w:after="0" w:line="242" w:lineRule="exact"/>
              <w:rPr>
                <w:sz w:val="20"/>
                <w:szCs w:val="20"/>
                <w:color w:val="auto"/>
              </w:rPr>
            </w:pPr>
            <w:r>
              <w:rPr>
                <w:rFonts w:ascii="Arial" w:cs="Arial" w:eastAsia="Arial" w:hAnsi="Arial"/>
                <w:sz w:val="16"/>
                <w:szCs w:val="16"/>
                <w:color w:val="auto"/>
              </w:rPr>
              <w:t>March 23, 2015</w:t>
            </w:r>
            <w:r>
              <w:rPr>
                <w:rFonts w:ascii="Arial" w:cs="Arial" w:eastAsia="Arial" w:hAnsi="Arial"/>
                <w:sz w:val="27"/>
                <w:szCs w:val="27"/>
                <w:color w:val="auto"/>
                <w:vertAlign w:val="superscript"/>
              </w:rPr>
              <w:t>(1)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color w:val="auto"/>
              </w:rPr>
              <w:t>March 30, 2015</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635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683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3"/>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February 26, 2015</w:t>
            </w:r>
          </w:p>
        </w:tc>
        <w:tc>
          <w:tcPr>
            <w:tcW w:w="1640" w:type="dxa"/>
            <w:vAlign w:val="bottom"/>
            <w:gridSpan w:val="3"/>
            <w:shd w:val="clear" w:color="auto" w:fill="CCEEFF"/>
          </w:tcPr>
          <w:p>
            <w:pPr>
              <w:ind w:left="40"/>
              <w:spacing w:after="0" w:line="242" w:lineRule="exact"/>
              <w:rPr>
                <w:sz w:val="20"/>
                <w:szCs w:val="20"/>
                <w:color w:val="auto"/>
              </w:rPr>
            </w:pPr>
            <w:r>
              <w:rPr>
                <w:rFonts w:ascii="Arial" w:cs="Arial" w:eastAsia="Arial" w:hAnsi="Arial"/>
                <w:sz w:val="16"/>
                <w:szCs w:val="16"/>
                <w:color w:val="auto"/>
              </w:rPr>
              <w:t>April 23, 2015</w:t>
            </w:r>
            <w:r>
              <w:rPr>
                <w:rFonts w:ascii="Arial" w:cs="Arial" w:eastAsia="Arial" w:hAnsi="Arial"/>
                <w:sz w:val="27"/>
                <w:szCs w:val="27"/>
                <w:color w:val="auto"/>
                <w:vertAlign w:val="superscript"/>
              </w:rPr>
              <w:t>(1)</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April 29, 2015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824</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February 26, 2015</w:t>
            </w:r>
          </w:p>
        </w:tc>
        <w:tc>
          <w:tcPr>
            <w:tcW w:w="1640" w:type="dxa"/>
            <w:vAlign w:val="bottom"/>
            <w:gridSpan w:val="3"/>
          </w:tcPr>
          <w:p>
            <w:pPr>
              <w:ind w:left="40"/>
              <w:spacing w:after="0" w:line="242" w:lineRule="exact"/>
              <w:rPr>
                <w:sz w:val="20"/>
                <w:szCs w:val="20"/>
                <w:color w:val="auto"/>
              </w:rPr>
            </w:pPr>
            <w:r>
              <w:rPr>
                <w:rFonts w:ascii="Arial" w:cs="Arial" w:eastAsia="Arial" w:hAnsi="Arial"/>
                <w:sz w:val="16"/>
                <w:szCs w:val="16"/>
                <w:color w:val="auto"/>
              </w:rPr>
              <w:t>May 21, 2015</w:t>
            </w:r>
            <w:r>
              <w:rPr>
                <w:rFonts w:ascii="Arial" w:cs="Arial" w:eastAsia="Arial" w:hAnsi="Arial"/>
                <w:sz w:val="27"/>
                <w:szCs w:val="27"/>
                <w:color w:val="auto"/>
                <w:vertAlign w:val="superscript"/>
              </w:rPr>
              <w:t>(1)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color w:val="auto"/>
              </w:rPr>
              <w:t>May 28, 2015</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808</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998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3"/>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February 26, 2015</w:t>
            </w:r>
          </w:p>
        </w:tc>
        <w:tc>
          <w:tcPr>
            <w:tcW w:w="1640" w:type="dxa"/>
            <w:vAlign w:val="bottom"/>
            <w:gridSpan w:val="3"/>
            <w:shd w:val="clear" w:color="auto" w:fill="CCEEFF"/>
          </w:tcPr>
          <w:p>
            <w:pPr>
              <w:ind w:left="40"/>
              <w:spacing w:after="0" w:line="242" w:lineRule="exact"/>
              <w:rPr>
                <w:sz w:val="20"/>
                <w:szCs w:val="20"/>
                <w:color w:val="auto"/>
              </w:rPr>
            </w:pPr>
            <w:r>
              <w:rPr>
                <w:rFonts w:ascii="Arial" w:cs="Arial" w:eastAsia="Arial" w:hAnsi="Arial"/>
                <w:sz w:val="16"/>
                <w:szCs w:val="16"/>
                <w:color w:val="auto"/>
              </w:rPr>
              <w:t>June 22, 2015</w:t>
            </w:r>
            <w:r>
              <w:rPr>
                <w:rFonts w:ascii="Arial" w:cs="Arial" w:eastAsia="Arial" w:hAnsi="Arial"/>
                <w:sz w:val="27"/>
                <w:szCs w:val="27"/>
                <w:color w:val="auto"/>
                <w:vertAlign w:val="superscript"/>
              </w:rPr>
              <w:t>(1)</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June 29, 2015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793</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1,361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February 26, 2015</w:t>
            </w:r>
          </w:p>
        </w:tc>
        <w:tc>
          <w:tcPr>
            <w:tcW w:w="1640" w:type="dxa"/>
            <w:vAlign w:val="bottom"/>
            <w:gridSpan w:val="3"/>
          </w:tcPr>
          <w:p>
            <w:pPr>
              <w:ind w:left="40"/>
              <w:spacing w:after="0" w:line="242" w:lineRule="exact"/>
              <w:rPr>
                <w:sz w:val="20"/>
                <w:szCs w:val="20"/>
                <w:color w:val="auto"/>
              </w:rPr>
            </w:pPr>
            <w:r>
              <w:rPr>
                <w:rFonts w:ascii="Arial" w:cs="Arial" w:eastAsia="Arial" w:hAnsi="Arial"/>
                <w:sz w:val="16"/>
                <w:szCs w:val="16"/>
                <w:color w:val="auto"/>
              </w:rPr>
              <w:t>July 23, 2015</w:t>
            </w:r>
            <w:r>
              <w:rPr>
                <w:rFonts w:ascii="Arial" w:cs="Arial" w:eastAsia="Arial" w:hAnsi="Arial"/>
                <w:sz w:val="27"/>
                <w:szCs w:val="27"/>
                <w:color w:val="auto"/>
                <w:vertAlign w:val="superscript"/>
              </w:rPr>
              <w:t>(1)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color w:val="auto"/>
              </w:rPr>
              <w:t>July 30, 2015</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783</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1,600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3"/>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February 26, 2015</w:t>
            </w:r>
          </w:p>
        </w:tc>
        <w:tc>
          <w:tcPr>
            <w:tcW w:w="1640" w:type="dxa"/>
            <w:vAlign w:val="bottom"/>
            <w:gridSpan w:val="3"/>
            <w:shd w:val="clear" w:color="auto" w:fill="CCEEFF"/>
          </w:tcPr>
          <w:p>
            <w:pPr>
              <w:ind w:left="40"/>
              <w:spacing w:after="0" w:line="242" w:lineRule="exact"/>
              <w:rPr>
                <w:sz w:val="20"/>
                <w:szCs w:val="20"/>
                <w:color w:val="auto"/>
              </w:rPr>
            </w:pPr>
            <w:r>
              <w:rPr>
                <w:rFonts w:ascii="Arial" w:cs="Arial" w:eastAsia="Arial" w:hAnsi="Arial"/>
                <w:sz w:val="16"/>
                <w:szCs w:val="16"/>
                <w:color w:val="auto"/>
              </w:rPr>
              <w:t>August 21, 2015</w:t>
            </w:r>
            <w:r>
              <w:rPr>
                <w:rFonts w:ascii="Arial" w:cs="Arial" w:eastAsia="Arial" w:hAnsi="Arial"/>
                <w:sz w:val="27"/>
                <w:szCs w:val="27"/>
                <w:color w:val="auto"/>
                <w:vertAlign w:val="superscript"/>
              </w:rPr>
              <w:t>(1)</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August 28, 2015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776</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1,819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February 26, 2015</w:t>
            </w:r>
          </w:p>
        </w:tc>
        <w:tc>
          <w:tcPr>
            <w:tcW w:w="1640" w:type="dxa"/>
            <w:vAlign w:val="bottom"/>
            <w:gridSpan w:val="3"/>
          </w:tcPr>
          <w:p>
            <w:pPr>
              <w:ind w:left="40"/>
              <w:spacing w:after="0" w:line="242" w:lineRule="exact"/>
              <w:rPr>
                <w:sz w:val="20"/>
                <w:szCs w:val="20"/>
                <w:color w:val="auto"/>
              </w:rPr>
            </w:pPr>
            <w:r>
              <w:rPr>
                <w:rFonts w:ascii="Arial" w:cs="Arial" w:eastAsia="Arial" w:hAnsi="Arial"/>
                <w:sz w:val="16"/>
                <w:szCs w:val="16"/>
                <w:color w:val="auto"/>
                <w:w w:val="94"/>
              </w:rPr>
              <w:t>September 23, 2015</w:t>
            </w:r>
            <w:r>
              <w:rPr>
                <w:rFonts w:ascii="Arial" w:cs="Arial" w:eastAsia="Arial" w:hAnsi="Arial"/>
                <w:sz w:val="27"/>
                <w:szCs w:val="27"/>
                <w:color w:val="auto"/>
                <w:w w:val="94"/>
                <w:vertAlign w:val="superscript"/>
              </w:rPr>
              <w:t>(1)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color w:val="auto"/>
              </w:rPr>
              <w:t>September 29, 2015</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739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4,475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3"/>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February 26, 2015</w:t>
            </w:r>
          </w:p>
        </w:tc>
        <w:tc>
          <w:tcPr>
            <w:tcW w:w="1640" w:type="dxa"/>
            <w:vAlign w:val="bottom"/>
            <w:gridSpan w:val="3"/>
            <w:shd w:val="clear" w:color="auto" w:fill="CCEEFF"/>
          </w:tcPr>
          <w:p>
            <w:pPr>
              <w:ind w:left="40"/>
              <w:spacing w:after="0" w:line="242" w:lineRule="exact"/>
              <w:rPr>
                <w:sz w:val="20"/>
                <w:szCs w:val="20"/>
                <w:color w:val="auto"/>
              </w:rPr>
            </w:pPr>
            <w:r>
              <w:rPr>
                <w:rFonts w:ascii="Arial" w:cs="Arial" w:eastAsia="Arial" w:hAnsi="Arial"/>
                <w:sz w:val="16"/>
                <w:szCs w:val="16"/>
                <w:color w:val="auto"/>
              </w:rPr>
              <w:t>October 23, 2015</w:t>
            </w:r>
            <w:r>
              <w:rPr>
                <w:rFonts w:ascii="Arial" w:cs="Arial" w:eastAsia="Arial" w:hAnsi="Arial"/>
                <w:sz w:val="27"/>
                <w:szCs w:val="27"/>
                <w:color w:val="auto"/>
                <w:vertAlign w:val="superscript"/>
              </w:rPr>
              <w:t>(1)</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October 29, 2015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2,974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February 26, 2015</w:t>
            </w:r>
          </w:p>
        </w:tc>
        <w:tc>
          <w:tcPr>
            <w:tcW w:w="1640" w:type="dxa"/>
            <w:vAlign w:val="bottom"/>
            <w:gridSpan w:val="3"/>
          </w:tcPr>
          <w:p>
            <w:pPr>
              <w:ind w:left="40"/>
              <w:spacing w:after="0" w:line="242" w:lineRule="exact"/>
              <w:rPr>
                <w:sz w:val="20"/>
                <w:szCs w:val="20"/>
                <w:color w:val="auto"/>
              </w:rPr>
            </w:pPr>
            <w:r>
              <w:rPr>
                <w:rFonts w:ascii="Arial" w:cs="Arial" w:eastAsia="Arial" w:hAnsi="Arial"/>
                <w:sz w:val="16"/>
                <w:szCs w:val="16"/>
                <w:color w:val="auto"/>
                <w:w w:val="97"/>
              </w:rPr>
              <w:t>November 20, 2015</w:t>
            </w:r>
            <w:r>
              <w:rPr>
                <w:rFonts w:ascii="Arial" w:cs="Arial" w:eastAsia="Arial" w:hAnsi="Arial"/>
                <w:sz w:val="27"/>
                <w:szCs w:val="27"/>
                <w:color w:val="auto"/>
                <w:w w:val="97"/>
                <w:vertAlign w:val="superscript"/>
              </w:rPr>
              <w:t>(1)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color w:val="auto"/>
              </w:rPr>
              <w:t>November 27, 2015</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753</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2,694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3"/>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February 26, 2015</w:t>
            </w:r>
          </w:p>
        </w:tc>
        <w:tc>
          <w:tcPr>
            <w:tcW w:w="1640" w:type="dxa"/>
            <w:vAlign w:val="bottom"/>
            <w:gridSpan w:val="3"/>
            <w:shd w:val="clear" w:color="auto" w:fill="CCEEFF"/>
          </w:tcPr>
          <w:p>
            <w:pPr>
              <w:ind w:left="40"/>
              <w:spacing w:after="0" w:line="242" w:lineRule="exact"/>
              <w:rPr>
                <w:sz w:val="20"/>
                <w:szCs w:val="20"/>
                <w:color w:val="auto"/>
              </w:rPr>
            </w:pPr>
            <w:r>
              <w:rPr>
                <w:rFonts w:ascii="Arial" w:cs="Arial" w:eastAsia="Arial" w:hAnsi="Arial"/>
                <w:sz w:val="16"/>
                <w:szCs w:val="16"/>
                <w:color w:val="auto"/>
                <w:w w:val="97"/>
              </w:rPr>
              <w:t>December 22, 2015</w:t>
            </w:r>
            <w:r>
              <w:rPr>
                <w:rFonts w:ascii="Arial" w:cs="Arial" w:eastAsia="Arial" w:hAnsi="Arial"/>
                <w:sz w:val="27"/>
                <w:szCs w:val="27"/>
                <w:color w:val="auto"/>
                <w:w w:val="97"/>
                <w:vertAlign w:val="superscript"/>
              </w:rPr>
              <w:t>(1)</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December 30, 2015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764</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2,216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April 1, 2015</w:t>
            </w:r>
          </w:p>
        </w:tc>
        <w:tc>
          <w:tcPr>
            <w:tcW w:w="1640" w:type="dxa"/>
            <w:vAlign w:val="bottom"/>
            <w:gridSpan w:val="3"/>
          </w:tcPr>
          <w:p>
            <w:pPr>
              <w:ind w:left="40"/>
              <w:spacing w:after="0"/>
              <w:rPr>
                <w:sz w:val="20"/>
                <w:szCs w:val="20"/>
                <w:color w:val="auto"/>
              </w:rPr>
            </w:pPr>
            <w:r>
              <w:rPr>
                <w:rFonts w:ascii="Arial" w:cs="Arial" w:eastAsia="Arial" w:hAnsi="Arial"/>
                <w:sz w:val="16"/>
                <w:szCs w:val="16"/>
                <w:color w:val="auto"/>
              </w:rPr>
              <w:t>April 23, 2015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color w:val="auto"/>
              </w:rPr>
              <w:t>April 29,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2,581</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April 1, 2015</w:t>
            </w:r>
          </w:p>
        </w:tc>
        <w:tc>
          <w:tcPr>
            <w:tcW w:w="16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May 21, 2015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May 28, 2015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2,529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3,126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April 1, 2015</w:t>
            </w:r>
          </w:p>
        </w:tc>
        <w:tc>
          <w:tcPr>
            <w:tcW w:w="1640" w:type="dxa"/>
            <w:vAlign w:val="bottom"/>
            <w:gridSpan w:val="3"/>
          </w:tcPr>
          <w:p>
            <w:pPr>
              <w:ind w:left="40"/>
              <w:spacing w:after="0"/>
              <w:rPr>
                <w:sz w:val="20"/>
                <w:szCs w:val="20"/>
                <w:color w:val="auto"/>
              </w:rPr>
            </w:pPr>
            <w:r>
              <w:rPr>
                <w:rFonts w:ascii="Arial" w:cs="Arial" w:eastAsia="Arial" w:hAnsi="Arial"/>
                <w:sz w:val="16"/>
                <w:szCs w:val="16"/>
                <w:color w:val="auto"/>
              </w:rPr>
              <w:t>June 22, 2015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color w:val="auto"/>
              </w:rPr>
              <w:t>June 29,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2,483</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4,266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July 1, 2015</w:t>
            </w:r>
          </w:p>
        </w:tc>
        <w:tc>
          <w:tcPr>
            <w:tcW w:w="16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July 23, 2015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July 30, 2015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2,454</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5,016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July 1, 2015</w:t>
            </w:r>
          </w:p>
        </w:tc>
        <w:tc>
          <w:tcPr>
            <w:tcW w:w="1640" w:type="dxa"/>
            <w:vAlign w:val="bottom"/>
            <w:gridSpan w:val="3"/>
          </w:tcPr>
          <w:p>
            <w:pPr>
              <w:ind w:left="40"/>
              <w:spacing w:after="0"/>
              <w:rPr>
                <w:sz w:val="20"/>
                <w:szCs w:val="20"/>
                <w:color w:val="auto"/>
              </w:rPr>
            </w:pPr>
            <w:r>
              <w:rPr>
                <w:rFonts w:ascii="Arial" w:cs="Arial" w:eastAsia="Arial" w:hAnsi="Arial"/>
                <w:sz w:val="16"/>
                <w:szCs w:val="16"/>
                <w:color w:val="auto"/>
              </w:rPr>
              <w:t>August 21, 2015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color w:val="auto"/>
              </w:rPr>
              <w:t>August, 28,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2,434</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5,701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3"/>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July 1, 2015</w:t>
            </w:r>
          </w:p>
        </w:tc>
        <w:tc>
          <w:tcPr>
            <w:tcW w:w="16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September 23, 2015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September 29, 2015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2,320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14,026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October 1, 2015</w:t>
            </w:r>
          </w:p>
        </w:tc>
        <w:tc>
          <w:tcPr>
            <w:tcW w:w="1640" w:type="dxa"/>
            <w:vAlign w:val="bottom"/>
            <w:gridSpan w:val="3"/>
          </w:tcPr>
          <w:p>
            <w:pPr>
              <w:ind w:left="40"/>
              <w:spacing w:after="0"/>
              <w:rPr>
                <w:sz w:val="20"/>
                <w:szCs w:val="20"/>
                <w:color w:val="auto"/>
              </w:rPr>
            </w:pPr>
            <w:r>
              <w:rPr>
                <w:rFonts w:ascii="Arial" w:cs="Arial" w:eastAsia="Arial" w:hAnsi="Arial"/>
                <w:sz w:val="16"/>
                <w:szCs w:val="16"/>
                <w:color w:val="auto"/>
              </w:rPr>
              <w:t>October 23, 2015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color w:val="auto"/>
              </w:rPr>
              <w:t>October 29,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2,349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9,317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3"/>
        </w:trPr>
        <w:tc>
          <w:tcPr>
            <w:tcW w:w="16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October 1, 2015</w:t>
            </w:r>
          </w:p>
        </w:tc>
        <w:tc>
          <w:tcPr>
            <w:tcW w:w="16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November 20, 2015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November 27, 2015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2,358</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8,443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3"/>
        </w:trPr>
        <w:tc>
          <w:tcPr>
            <w:tcW w:w="1640" w:type="dxa"/>
            <w:vAlign w:val="bottom"/>
            <w:gridSpan w:val="5"/>
          </w:tcPr>
          <w:p>
            <w:pPr>
              <w:ind w:left="20"/>
              <w:spacing w:after="0"/>
              <w:rPr>
                <w:sz w:val="20"/>
                <w:szCs w:val="20"/>
                <w:color w:val="auto"/>
              </w:rPr>
            </w:pPr>
            <w:r>
              <w:rPr>
                <w:rFonts w:ascii="Arial" w:cs="Arial" w:eastAsia="Arial" w:hAnsi="Arial"/>
                <w:sz w:val="16"/>
                <w:szCs w:val="16"/>
                <w:color w:val="auto"/>
              </w:rPr>
              <w:t>October 1, 2015</w:t>
            </w:r>
          </w:p>
        </w:tc>
        <w:tc>
          <w:tcPr>
            <w:tcW w:w="1640" w:type="dxa"/>
            <w:vAlign w:val="bottom"/>
            <w:gridSpan w:val="3"/>
          </w:tcPr>
          <w:p>
            <w:pPr>
              <w:ind w:left="40"/>
              <w:spacing w:after="0"/>
              <w:rPr>
                <w:sz w:val="20"/>
                <w:szCs w:val="20"/>
                <w:color w:val="auto"/>
              </w:rPr>
            </w:pPr>
            <w:r>
              <w:rPr>
                <w:rFonts w:ascii="Arial" w:cs="Arial" w:eastAsia="Arial" w:hAnsi="Arial"/>
                <w:sz w:val="16"/>
                <w:szCs w:val="16"/>
                <w:color w:val="auto"/>
              </w:rPr>
              <w:t>December 22, 2015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color w:val="auto"/>
              </w:rPr>
              <w:t>December 30,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2,392</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6,929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920" w:type="dxa"/>
            <w:vAlign w:val="bottom"/>
            <w:gridSpan w:val="11"/>
            <w:shd w:val="clear" w:color="auto" w:fill="CCEEFF"/>
          </w:tcPr>
          <w:p>
            <w:pPr>
              <w:ind w:left="940"/>
              <w:spacing w:after="0"/>
              <w:rPr>
                <w:sz w:val="20"/>
                <w:szCs w:val="20"/>
                <w:color w:val="auto"/>
              </w:rPr>
            </w:pPr>
            <w:r>
              <w:rPr>
                <w:rFonts w:ascii="Arial" w:cs="Arial" w:eastAsia="Arial" w:hAnsi="Arial"/>
                <w:sz w:val="16"/>
                <w:szCs w:val="16"/>
                <w:color w:val="auto"/>
                <w:w w:val="94"/>
              </w:rPr>
              <w:t>Total Distributions Declared and Distributed for Fiscal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2.38</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35,585</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77,783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-3867150</wp:posOffset>
            </wp:positionV>
            <wp:extent cx="5213985"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-3806825</wp:posOffset>
            </wp:positionV>
            <wp:extent cx="521398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February 26, 2015, the Company’s Board declared a special distribution of $0.50 per share of the Company’s common stock, to be paid monthly over the remainder of 2015.</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4" w:name="page155"/>
    <w:bookmarkEnd w:id="15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ind w:left="60"/>
              <w:spacing w:after="0"/>
              <w:rPr>
                <w:sz w:val="20"/>
                <w:szCs w:val="20"/>
                <w:color w:val="auto"/>
              </w:rPr>
            </w:pPr>
            <w:r>
              <w:rPr>
                <w:rFonts w:ascii="Arial" w:cs="Arial" w:eastAsia="Arial" w:hAnsi="Arial"/>
                <w:sz w:val="18"/>
                <w:szCs w:val="18"/>
                <w:b w:val="1"/>
                <w:bCs w:val="1"/>
                <w:color w:val="auto"/>
                <w:w w:val="92"/>
              </w:rPr>
              <w:t>Note 15. Distributions</w:t>
            </w:r>
          </w:p>
        </w:tc>
        <w:tc>
          <w:tcPr>
            <w:tcW w:w="3600" w:type="dxa"/>
            <w:vAlign w:val="bottom"/>
            <w:gridSpan w:val="3"/>
          </w:tcPr>
          <w:p>
            <w:pPr>
              <w:ind w:left="40"/>
              <w:spacing w:after="0"/>
              <w:rPr>
                <w:sz w:val="20"/>
                <w:szCs w:val="20"/>
                <w:color w:val="auto"/>
              </w:rPr>
            </w:pPr>
            <w:r>
              <w:rPr>
                <w:rFonts w:ascii="Arial" w:cs="Arial" w:eastAsia="Arial" w:hAnsi="Arial"/>
                <w:sz w:val="18"/>
                <w:szCs w:val="18"/>
                <w:b w:val="1"/>
                <w:bCs w:val="1"/>
                <w:color w:val="auto"/>
              </w:rPr>
              <w:t>– (continued)</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0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1800" w:type="dxa"/>
            <w:vAlign w:val="bottom"/>
            <w:tcBorders>
              <w:bottom w:val="single" w:sz="8" w:color="auto"/>
            </w:tcBorders>
            <w:vMerge w:val="continue"/>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210"/>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27, 2014</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14, 2014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26, 2014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0.4700</w:t>
            </w:r>
          </w:p>
        </w:tc>
        <w:tc>
          <w:tcPr>
            <w:tcW w:w="0" w:type="dxa"/>
            <w:vAlign w:val="bottom"/>
          </w:tcPr>
          <w:p>
            <w:pPr>
              <w:spacing w:after="0"/>
              <w:rPr>
                <w:sz w:val="1"/>
                <w:szCs w:val="1"/>
                <w:color w:val="auto"/>
              </w:rPr>
            </w:pPr>
          </w:p>
        </w:tc>
      </w:tr>
      <w:tr>
        <w:trPr>
          <w:trHeight w:val="216"/>
        </w:trPr>
        <w:tc>
          <w:tcPr>
            <w:tcW w:w="1800" w:type="dxa"/>
            <w:vAlign w:val="bottom"/>
          </w:tcPr>
          <w:p>
            <w:pPr>
              <w:ind w:left="20"/>
              <w:spacing w:after="0"/>
              <w:rPr>
                <w:sz w:val="20"/>
                <w:szCs w:val="20"/>
                <w:color w:val="auto"/>
              </w:rPr>
            </w:pPr>
            <w:r>
              <w:rPr>
                <w:rFonts w:ascii="Arial" w:cs="Arial" w:eastAsia="Arial" w:hAnsi="Arial"/>
                <w:sz w:val="18"/>
                <w:szCs w:val="18"/>
                <w:color w:val="auto"/>
              </w:rPr>
              <w:t>May 8, 2014</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June 9, 2014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June 26, 2014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0.4700</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7, 2014</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12, 2014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26, 2014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0.4700</w:t>
            </w:r>
          </w:p>
        </w:tc>
        <w:tc>
          <w:tcPr>
            <w:tcW w:w="0" w:type="dxa"/>
            <w:vAlign w:val="bottom"/>
          </w:tcPr>
          <w:p>
            <w:pPr>
              <w:spacing w:after="0"/>
              <w:rPr>
                <w:sz w:val="1"/>
                <w:szCs w:val="1"/>
                <w:color w:val="auto"/>
              </w:rPr>
            </w:pPr>
          </w:p>
        </w:tc>
      </w:tr>
      <w:tr>
        <w:trPr>
          <w:trHeight w:val="216"/>
        </w:trPr>
        <w:tc>
          <w:tcPr>
            <w:tcW w:w="1800" w:type="dxa"/>
            <w:vAlign w:val="bottom"/>
          </w:tcPr>
          <w:p>
            <w:pPr>
              <w:ind w:left="20"/>
              <w:spacing w:after="0"/>
              <w:rPr>
                <w:sz w:val="20"/>
                <w:szCs w:val="20"/>
                <w:color w:val="auto"/>
              </w:rPr>
            </w:pPr>
            <w:r>
              <w:rPr>
                <w:rFonts w:ascii="Arial" w:cs="Arial" w:eastAsia="Arial" w:hAnsi="Arial"/>
                <w:sz w:val="18"/>
                <w:szCs w:val="18"/>
                <w:color w:val="auto"/>
              </w:rPr>
              <w:t>October 2, 2014</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October 22, 2014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October 30, 2014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 2014</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21, 2014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1800" w:type="dxa"/>
            <w:vAlign w:val="bottom"/>
          </w:tcPr>
          <w:p>
            <w:pPr>
              <w:ind w:left="20"/>
              <w:spacing w:after="0"/>
              <w:rPr>
                <w:sz w:val="20"/>
                <w:szCs w:val="20"/>
                <w:color w:val="auto"/>
              </w:rPr>
            </w:pPr>
            <w:r>
              <w:rPr>
                <w:rFonts w:ascii="Arial" w:cs="Arial" w:eastAsia="Arial" w:hAnsi="Arial"/>
                <w:sz w:val="18"/>
                <w:szCs w:val="18"/>
                <w:color w:val="auto"/>
              </w:rPr>
              <w:t>October 2, 2014</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19, 2014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December 30, 2014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195"/>
        </w:trPr>
        <w:tc>
          <w:tcPr>
            <w:tcW w:w="5400" w:type="dxa"/>
            <w:vAlign w:val="bottom"/>
            <w:gridSpan w:val="4"/>
            <w:shd w:val="clear" w:color="auto" w:fill="CCEEFF"/>
          </w:tcPr>
          <w:p>
            <w:pPr>
              <w:ind w:left="200"/>
              <w:spacing w:after="0" w:line="195" w:lineRule="exact"/>
              <w:rPr>
                <w:sz w:val="20"/>
                <w:szCs w:val="20"/>
                <w:color w:val="auto"/>
              </w:rPr>
            </w:pPr>
            <w:r>
              <w:rPr>
                <w:rFonts w:ascii="Arial" w:cs="Arial" w:eastAsia="Arial" w:hAnsi="Arial"/>
                <w:sz w:val="18"/>
                <w:szCs w:val="18"/>
                <w:color w:val="auto"/>
              </w:rPr>
              <w:t>Total Distributions Declared and Distributed</w:t>
            </w: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 Fiscal 2014</w:t>
            </w: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-1414145</wp:posOffset>
            </wp:positionV>
            <wp:extent cx="521398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Share Repurchase Program</w:t>
      </w:r>
    </w:p>
    <w:p>
      <w:pPr>
        <w:spacing w:after="0" w:line="121" w:lineRule="exact"/>
        <w:rPr>
          <w:sz w:val="20"/>
          <w:szCs w:val="20"/>
          <w:color w:val="auto"/>
        </w:rPr>
      </w:pPr>
    </w:p>
    <w:p>
      <w:pPr>
        <w:ind w:left="60" w:right="539" w:firstLine="270"/>
        <w:spacing w:after="0" w:line="272" w:lineRule="auto"/>
        <w:rPr>
          <w:sz w:val="20"/>
          <w:szCs w:val="20"/>
          <w:color w:val="auto"/>
        </w:rPr>
      </w:pPr>
      <w:r>
        <w:rPr>
          <w:rFonts w:ascii="Arial" w:cs="Arial" w:eastAsia="Arial" w:hAnsi="Arial"/>
          <w:sz w:val="17"/>
          <w:szCs w:val="17"/>
          <w:color w:val="auto"/>
        </w:rPr>
        <w:t>On February 26, 2015, the Company’s Board authorized a program for the purpose of repurchasing up to $12.0 million worth of its common stock. Under the repurchase program, the Company could have, but was not obligated to, repurchase its outstanding common stock in the open market from time to time provided that the Company complied with the prohibitions under its Insider Trading Policies and Procedures and the guidelines specified in Rule 10b-18 of the Securities Exchange Act of 1934, as amended, including certain price, market volume and timing constraints. The repurchase program was in place until the earlier of March 31, 2016 or until $12.0 million of the Company’s outstanding shares of common stock had been repurchased. As of December 31, 2016, the repurchase program has expired and has not been extended by the Board.</w:t>
      </w:r>
    </w:p>
    <w:p>
      <w:pPr>
        <w:spacing w:after="0" w:line="70" w:lineRule="exact"/>
        <w:rPr>
          <w:sz w:val="20"/>
          <w:szCs w:val="20"/>
          <w:color w:val="auto"/>
        </w:rPr>
      </w:pPr>
    </w:p>
    <w:p>
      <w:pPr>
        <w:ind w:left="60" w:right="539" w:firstLine="270"/>
        <w:spacing w:after="0" w:line="293" w:lineRule="auto"/>
        <w:rPr>
          <w:sz w:val="20"/>
          <w:szCs w:val="20"/>
          <w:color w:val="auto"/>
        </w:rPr>
      </w:pPr>
      <w:r>
        <w:rPr>
          <w:rFonts w:ascii="Arial" w:cs="Arial" w:eastAsia="Arial" w:hAnsi="Arial"/>
          <w:sz w:val="16"/>
          <w:szCs w:val="16"/>
          <w:color w:val="auto"/>
        </w:rPr>
        <w:t>During the year ended December 31, 2016, no shares were repurchased under the repurchase program. Since the approval of the repurchase program, the Company repurchased 774,858 shares of common stock in open market transactions for an aggregate cost (including transaction costs) of $12.0 million, utilizing the maximum amount available under the repurchase program. The Company is incorporated in Maryland and under the laws of the state, shares repurchased are considered retired (repurchased shares become authorized but unissued shares) rather than treasury stock. As a result, the cost of the stock repurchased is recorded as a reduction to capital in excess of par value on the consolidated statement of changes in net assets.</w:t>
      </w:r>
    </w:p>
    <w:p>
      <w:pPr>
        <w:spacing w:after="0" w:line="200" w:lineRule="exact"/>
        <w:rPr>
          <w:sz w:val="20"/>
          <w:szCs w:val="20"/>
          <w:color w:val="auto"/>
        </w:rPr>
      </w:pPr>
    </w:p>
    <w:p>
      <w:pPr>
        <w:spacing w:after="0" w:line="30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5" w:name="page156"/>
    <w:bookmarkEnd w:id="15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Financial Highlights</w:t>
      </w:r>
    </w:p>
    <w:p>
      <w:pPr>
        <w:spacing w:after="0" w:line="121" w:lineRule="exact"/>
        <w:rPr>
          <w:sz w:val="20"/>
          <w:szCs w:val="20"/>
          <w:color w:val="auto"/>
        </w:rPr>
      </w:pPr>
    </w:p>
    <w:p>
      <w:pPr>
        <w:ind w:left="60" w:right="819" w:firstLine="270"/>
        <w:spacing w:after="0" w:line="277" w:lineRule="auto"/>
        <w:rPr>
          <w:sz w:val="20"/>
          <w:szCs w:val="20"/>
          <w:color w:val="auto"/>
        </w:rPr>
      </w:pPr>
      <w:r>
        <w:rPr>
          <w:rFonts w:ascii="Arial" w:cs="Arial" w:eastAsia="Arial" w:hAnsi="Arial"/>
          <w:sz w:val="18"/>
          <w:szCs w:val="18"/>
          <w:color w:val="auto"/>
        </w:rPr>
        <w:t>The following is a schedule of financial highlights for the years ended December 31, 2016, 2015, 2014, and 2013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400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92"/>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auto"/>
            </w:tcBorders>
          </w:tcPr>
          <w:p>
            <w:pPr>
              <w:spacing w:after="0"/>
              <w:rPr>
                <w:sz w:val="14"/>
                <w:szCs w:val="14"/>
                <w:color w:val="auto"/>
              </w:rPr>
            </w:pPr>
          </w:p>
        </w:tc>
      </w:tr>
      <w:tr>
        <w:trPr>
          <w:trHeight w:val="210"/>
        </w:trPr>
        <w:tc>
          <w:tcPr>
            <w:tcW w:w="3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620" w:type="dxa"/>
            <w:vAlign w:val="bottom"/>
            <w:gridSpan w:val="3"/>
          </w:tcPr>
          <w:p>
            <w:pPr>
              <w:ind w:left="20"/>
              <w:spacing w:after="0"/>
              <w:rPr>
                <w:sz w:val="20"/>
                <w:szCs w:val="20"/>
                <w:color w:val="auto"/>
              </w:rPr>
            </w:pPr>
            <w:r>
              <w:rPr>
                <w:rFonts w:ascii="Arial" w:cs="Arial" w:eastAsia="Arial" w:hAnsi="Arial"/>
                <w:sz w:val="18"/>
                <w:szCs w:val="18"/>
                <w:color w:val="auto"/>
              </w:rPr>
              <w:t>Net asset value at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17.04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18.56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17.61</w:t>
            </w:r>
          </w:p>
        </w:tc>
      </w:tr>
      <w:tr>
        <w:trPr>
          <w:trHeight w:val="257"/>
        </w:trPr>
        <w:tc>
          <w:tcPr>
            <w:tcW w:w="36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r>
      <w:tr>
        <w:trPr>
          <w:trHeight w:val="257"/>
        </w:trPr>
        <w:tc>
          <w:tcPr>
            <w:tcW w:w="36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Net realized gain (loss) on investments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2"/>
                <w:szCs w:val="22"/>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2"/>
                <w:szCs w:val="22"/>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0.17</w:t>
            </w:r>
          </w:p>
        </w:tc>
      </w:tr>
      <w:tr>
        <w:trPr>
          <w:trHeight w:val="205"/>
        </w:trPr>
        <w:tc>
          <w:tcPr>
            <w:tcW w:w="362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w w:val="99"/>
              </w:rPr>
              <w:t>Net unrealized appreciation (depreciation) 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67"/>
        </w:trPr>
        <w:tc>
          <w:tcPr>
            <w:tcW w:w="20" w:type="dxa"/>
            <w:vAlign w:val="bottom"/>
            <w:shd w:val="clear" w:color="auto" w:fill="CCEEFF"/>
          </w:tcPr>
          <w:p>
            <w:pPr>
              <w:spacing w:after="0"/>
              <w:rPr>
                <w:sz w:val="23"/>
                <w:szCs w:val="23"/>
                <w:color w:val="auto"/>
              </w:rPr>
            </w:pPr>
          </w:p>
        </w:tc>
        <w:tc>
          <w:tcPr>
            <w:tcW w:w="360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investments and on Written Call Option</w:t>
            </w:r>
            <w:r>
              <w:rPr>
                <w:rFonts w:ascii="Arial" w:cs="Arial" w:eastAsia="Arial" w:hAnsi="Arial"/>
                <w:sz w:val="30"/>
                <w:szCs w:val="30"/>
                <w:color w:val="auto"/>
                <w:vertAlign w:val="superscript"/>
              </w:rPr>
              <w:t>(1)</w:t>
            </w:r>
          </w:p>
        </w:tc>
        <w:tc>
          <w:tcPr>
            <w:tcW w:w="100" w:type="dxa"/>
            <w:vAlign w:val="bottom"/>
            <w:shd w:val="clear" w:color="auto" w:fill="CCEEFF"/>
          </w:tcPr>
          <w:p>
            <w:pPr>
              <w:spacing w:after="0"/>
              <w:rPr>
                <w:sz w:val="23"/>
                <w:szCs w:val="23"/>
                <w:color w:val="auto"/>
              </w:rPr>
            </w:pP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23"/>
                <w:szCs w:val="23"/>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3"/>
                <w:szCs w:val="23"/>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0.55</w:t>
            </w:r>
          </w:p>
        </w:tc>
      </w:tr>
      <w:tr>
        <w:trPr>
          <w:trHeight w:val="202"/>
        </w:trPr>
        <w:tc>
          <w:tcPr>
            <w:tcW w:w="36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Distributions declared from net investment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tcPr>
          <w:p>
            <w:pPr>
              <w:ind w:left="18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(0.47)</w:t>
            </w:r>
          </w:p>
        </w:tc>
      </w:tr>
      <w:tr>
        <w:trPr>
          <w:trHeight w:val="216"/>
        </w:trPr>
        <w:tc>
          <w:tcPr>
            <w:tcW w:w="3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Distributions declared from net realized gains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gridSpan w:val="3"/>
          </w:tcPr>
          <w:p>
            <w:pPr>
              <w:ind w:left="20"/>
              <w:spacing w:after="0"/>
              <w:rPr>
                <w:sz w:val="20"/>
                <w:szCs w:val="20"/>
                <w:color w:val="auto"/>
              </w:rPr>
            </w:pPr>
            <w:r>
              <w:rPr>
                <w:rFonts w:ascii="Arial" w:cs="Arial" w:eastAsia="Arial" w:hAnsi="Arial"/>
                <w:sz w:val="18"/>
                <w:szCs w:val="18"/>
                <w:color w:val="auto"/>
              </w:rPr>
              <w:t>Partners’ capital contribution</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r>
      <w:tr>
        <w:trPr>
          <w:trHeight w:val="216"/>
        </w:trPr>
        <w:tc>
          <w:tcPr>
            <w:tcW w:w="3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Distribution to partners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(0.57)</w:t>
            </w:r>
          </w:p>
        </w:tc>
      </w:tr>
      <w:tr>
        <w:trPr>
          <w:trHeight w:val="216"/>
        </w:trPr>
        <w:tc>
          <w:tcPr>
            <w:tcW w:w="3620" w:type="dxa"/>
            <w:vAlign w:val="bottom"/>
            <w:gridSpan w:val="3"/>
          </w:tcPr>
          <w:p>
            <w:pPr>
              <w:ind w:left="20"/>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Accretive impact of stock repurchase</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57"/>
        </w:trPr>
        <w:tc>
          <w:tcPr>
            <w:tcW w:w="36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(7)</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2"/>
                <w:szCs w:val="22"/>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asset value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20.71</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3620" w:type="dxa"/>
            <w:vAlign w:val="bottom"/>
            <w:gridSpan w:val="3"/>
          </w:tcPr>
          <w:p>
            <w:pPr>
              <w:ind w:left="20"/>
              <w:spacing w:after="0"/>
              <w:rPr>
                <w:sz w:val="20"/>
                <w:szCs w:val="20"/>
                <w:color w:val="auto"/>
              </w:rPr>
            </w:pPr>
            <w:r>
              <w:rPr>
                <w:rFonts w:ascii="Arial" w:cs="Arial" w:eastAsia="Arial" w:hAnsi="Arial"/>
                <w:sz w:val="18"/>
                <w:szCs w:val="18"/>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250,582</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268,802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240,837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268,670</w:t>
            </w:r>
          </w:p>
        </w:tc>
      </w:tr>
      <w:tr>
        <w:trPr>
          <w:trHeight w:val="216"/>
        </w:trPr>
        <w:tc>
          <w:tcPr>
            <w:tcW w:w="3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15,868,045</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15,777,345</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12,974,420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12,974,420</w:t>
            </w:r>
          </w:p>
        </w:tc>
      </w:tr>
      <w:tr>
        <w:trPr>
          <w:trHeight w:val="216"/>
        </w:trPr>
        <w:tc>
          <w:tcPr>
            <w:tcW w:w="3620" w:type="dxa"/>
            <w:vAlign w:val="bottom"/>
            <w:gridSpan w:val="3"/>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19.90</w:t>
            </w:r>
          </w:p>
        </w:tc>
      </w:tr>
      <w:tr>
        <w:trPr>
          <w:trHeight w:val="257"/>
        </w:trPr>
        <w:tc>
          <w:tcPr>
            <w:tcW w:w="36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24.07%</w:t>
            </w:r>
          </w:p>
        </w:tc>
        <w:tc>
          <w:tcPr>
            <w:tcW w:w="8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r>
      <w:tr>
        <w:trPr>
          <w:trHeight w:val="216"/>
        </w:trPr>
        <w:tc>
          <w:tcPr>
            <w:tcW w:w="3620" w:type="dxa"/>
            <w:vAlign w:val="bottom"/>
            <w:gridSpan w:val="3"/>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36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Ratio of net investment income to average net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3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11.32%</w:t>
            </w:r>
          </w:p>
        </w:tc>
        <w:tc>
          <w:tcPr>
            <w:tcW w:w="8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w:t>
            </w:r>
          </w:p>
        </w:tc>
      </w:tr>
      <w:tr>
        <w:trPr>
          <w:trHeight w:val="205"/>
        </w:trPr>
        <w:tc>
          <w:tcPr>
            <w:tcW w:w="3620" w:type="dxa"/>
            <w:vAlign w:val="bottom"/>
            <w:gridSpan w:val="3"/>
          </w:tcPr>
          <w:p>
            <w:pPr>
              <w:ind w:left="20"/>
              <w:spacing w:after="0" w:line="206" w:lineRule="exact"/>
              <w:rPr>
                <w:sz w:val="20"/>
                <w:szCs w:val="20"/>
                <w:color w:val="auto"/>
              </w:rPr>
            </w:pPr>
            <w:r>
              <w:rPr>
                <w:rFonts w:ascii="Arial" w:cs="Arial" w:eastAsia="Arial" w:hAnsi="Arial"/>
                <w:sz w:val="18"/>
                <w:szCs w:val="18"/>
                <w:color w:val="auto"/>
              </w:rPr>
              <w:t>Ratio of incentive fee, net of incentive fee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7"/>
        </w:trPr>
        <w:tc>
          <w:tcPr>
            <w:tcW w:w="20" w:type="dxa"/>
            <w:vAlign w:val="bottom"/>
          </w:tcPr>
          <w:p>
            <w:pPr>
              <w:spacing w:after="0"/>
              <w:rPr>
                <w:sz w:val="23"/>
                <w:szCs w:val="23"/>
                <w:color w:val="auto"/>
              </w:rPr>
            </w:pPr>
          </w:p>
        </w:tc>
        <w:tc>
          <w:tcPr>
            <w:tcW w:w="360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waiver, to average net assets</w:t>
            </w:r>
            <w:r>
              <w:rPr>
                <w:rFonts w:ascii="Arial" w:cs="Arial" w:eastAsia="Arial" w:hAnsi="Arial"/>
                <w:sz w:val="30"/>
                <w:szCs w:val="30"/>
                <w:color w:val="auto"/>
                <w:vertAlign w:val="superscript"/>
              </w:rPr>
              <w:t>(6)</w:t>
            </w:r>
          </w:p>
        </w:tc>
        <w:tc>
          <w:tcPr>
            <w:tcW w:w="10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3"/>
                <w:szCs w:val="2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0.60%</w:t>
            </w:r>
          </w:p>
        </w:tc>
      </w:tr>
      <w:tr>
        <w:trPr>
          <w:trHeight w:val="202"/>
        </w:trPr>
        <w:tc>
          <w:tcPr>
            <w:tcW w:w="36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Ratio of debt related expenses to average net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3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w:t>
            </w:r>
          </w:p>
        </w:tc>
        <w:tc>
          <w:tcPr>
            <w:tcW w:w="8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r>
      <w:tr>
        <w:trPr>
          <w:trHeight w:val="202"/>
        </w:trPr>
        <w:tc>
          <w:tcPr>
            <w:tcW w:w="362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1"/>
              </w:rPr>
              <w:t>Ratio of other operating expenses to average net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r>
      <w:tr>
        <w:trPr>
          <w:trHeight w:val="205"/>
        </w:trPr>
        <w:tc>
          <w:tcPr>
            <w:tcW w:w="362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rPr>
              <w:t>Ratio of total expenses, net of fee waivers to</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67"/>
        </w:trPr>
        <w:tc>
          <w:tcPr>
            <w:tcW w:w="20" w:type="dxa"/>
            <w:vAlign w:val="bottom"/>
            <w:shd w:val="clear" w:color="auto" w:fill="CCEEFF"/>
          </w:tcPr>
          <w:p>
            <w:pPr>
              <w:spacing w:after="0"/>
              <w:rPr>
                <w:sz w:val="23"/>
                <w:szCs w:val="23"/>
                <w:color w:val="auto"/>
              </w:rPr>
            </w:pPr>
          </w:p>
        </w:tc>
        <w:tc>
          <w:tcPr>
            <w:tcW w:w="360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(6)</w:t>
            </w:r>
          </w:p>
        </w:tc>
        <w:tc>
          <w:tcPr>
            <w:tcW w:w="100" w:type="dxa"/>
            <w:vAlign w:val="bottom"/>
            <w:shd w:val="clear" w:color="auto" w:fill="CCEEFF"/>
          </w:tcPr>
          <w:p>
            <w:pPr>
              <w:spacing w:after="0"/>
              <w:rPr>
                <w:sz w:val="23"/>
                <w:szCs w:val="23"/>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15.31%</w:t>
            </w:r>
          </w:p>
        </w:tc>
        <w:tc>
          <w:tcPr>
            <w:tcW w:w="80" w:type="dxa"/>
            <w:vAlign w:val="bottom"/>
            <w:shd w:val="clear" w:color="auto" w:fill="CCEEFF"/>
          </w:tcPr>
          <w:p>
            <w:pPr>
              <w:spacing w:after="0"/>
              <w:rPr>
                <w:sz w:val="23"/>
                <w:szCs w:val="23"/>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23"/>
                <w:szCs w:val="23"/>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r>
      <w:tr>
        <w:trPr>
          <w:trHeight w:val="257"/>
        </w:trPr>
        <w:tc>
          <w:tcPr>
            <w:tcW w:w="36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21.33%</w:t>
            </w:r>
          </w:p>
        </w:tc>
        <w:tc>
          <w:tcPr>
            <w:tcW w:w="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16.77%</w:t>
            </w:r>
          </w:p>
        </w:tc>
      </w:tr>
      <w:tr>
        <w:trPr>
          <w:trHeight w:val="257"/>
        </w:trPr>
        <w:tc>
          <w:tcPr>
            <w:tcW w:w="36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9"/>
                <w:szCs w:val="29"/>
                <w:color w:val="auto"/>
                <w:vertAlign w:val="superscript"/>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356,758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324,824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255,268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198,159</w:t>
            </w:r>
          </w:p>
        </w:tc>
      </w:tr>
      <w:tr>
        <w:trPr>
          <w:trHeight w:val="216"/>
        </w:trPr>
        <w:tc>
          <w:tcPr>
            <w:tcW w:w="3620" w:type="dxa"/>
            <w:vAlign w:val="bottom"/>
            <w:gridSpan w:val="3"/>
          </w:tcPr>
          <w:p>
            <w:pPr>
              <w:ind w:left="20"/>
              <w:spacing w:after="0"/>
              <w:rPr>
                <w:sz w:val="20"/>
                <w:szCs w:val="20"/>
                <w:color w:val="auto"/>
              </w:rPr>
            </w:pPr>
            <w:r>
              <w:rPr>
                <w:rFonts w:ascii="Arial" w:cs="Arial" w:eastAsia="Arial" w:hAnsi="Arial"/>
                <w:sz w:val="18"/>
                <w:szCs w:val="18"/>
                <w:color w:val="auto"/>
                <w:w w:val="99"/>
              </w:rPr>
              <w:t>Average debt outstanding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22.48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19.67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15.27</w:t>
            </w:r>
          </w:p>
        </w:tc>
      </w:tr>
      <w:tr>
        <w:trPr>
          <w:trHeight w:val="257"/>
        </w:trPr>
        <w:tc>
          <w:tcPr>
            <w:tcW w:w="36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Asset coverage ratio per unit</w:t>
            </w:r>
            <w:r>
              <w:rPr>
                <w:rFonts w:ascii="Arial" w:cs="Arial" w:eastAsia="Arial" w:hAnsi="Arial"/>
                <w:sz w:val="29"/>
                <w:szCs w:val="29"/>
                <w:color w:val="auto"/>
                <w:vertAlign w:val="superscript"/>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2,376</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-2957830</wp:posOffset>
            </wp:positionV>
            <wp:extent cx="5282565" cy="146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282565" cy="14605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117" w:lineRule="exact"/>
        <w:rPr>
          <w:rFonts w:ascii="Arial" w:cs="Arial" w:eastAsia="Arial" w:hAnsi="Arial"/>
          <w:sz w:val="18"/>
          <w:szCs w:val="18"/>
          <w:color w:val="auto"/>
        </w:rPr>
      </w:pPr>
    </w:p>
    <w:p>
      <w:pPr>
        <w:ind w:left="300" w:right="759" w:hanging="272"/>
        <w:spacing w:after="0" w:line="259" w:lineRule="auto"/>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w:t>
      </w:r>
    </w:p>
    <w:p>
      <w:pPr>
        <w:spacing w:after="0" w:line="200" w:lineRule="exact"/>
        <w:rPr>
          <w:sz w:val="20"/>
          <w:szCs w:val="20"/>
          <w:color w:val="auto"/>
        </w:rPr>
      </w:pPr>
    </w:p>
    <w:p>
      <w:pPr>
        <w:spacing w:after="0" w:line="3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6" w:name="page157"/>
    <w:bookmarkEnd w:id="15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Financial Highlights – (continued)</w:t>
      </w:r>
    </w:p>
    <w:p>
      <w:pPr>
        <w:spacing w:after="0" w:line="121" w:lineRule="exact"/>
        <w:rPr>
          <w:sz w:val="20"/>
          <w:szCs w:val="20"/>
          <w:color w:val="auto"/>
        </w:rPr>
      </w:pPr>
    </w:p>
    <w:p>
      <w:pPr>
        <w:ind w:left="300" w:right="1039" w:hanging="272"/>
        <w:spacing w:after="0" w:line="277" w:lineRule="auto"/>
        <w:tabs>
          <w:tab w:leader="none" w:pos="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117" w:lineRule="exact"/>
        <w:rPr>
          <w:rFonts w:ascii="Arial" w:cs="Arial" w:eastAsia="Arial" w:hAnsi="Arial"/>
          <w:sz w:val="18"/>
          <w:szCs w:val="18"/>
          <w:color w:val="auto"/>
        </w:rPr>
      </w:pPr>
    </w:p>
    <w:p>
      <w:pPr>
        <w:ind w:left="300" w:right="619" w:hanging="272"/>
        <w:spacing w:after="0" w:line="273" w:lineRule="auto"/>
        <w:tabs>
          <w:tab w:leader="none" w:pos="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indebtness not represented by senior securities, to the aggregate amount of senior securities representing indebtness. We have excluded our SBA-guaranteed debentures from the asset coverage calculation as of December 31, 2016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indebtness.</w:t>
      </w:r>
    </w:p>
    <w:p>
      <w:pPr>
        <w:spacing w:after="0" w:line="70" w:lineRule="exact"/>
        <w:rPr>
          <w:rFonts w:ascii="Arial" w:cs="Arial" w:eastAsia="Arial" w:hAnsi="Arial"/>
          <w:sz w:val="17"/>
          <w:szCs w:val="17"/>
          <w:color w:val="auto"/>
        </w:rPr>
      </w:pPr>
    </w:p>
    <w:p>
      <w:pPr>
        <w:ind w:left="300" w:right="859" w:hanging="272"/>
        <w:spacing w:after="0" w:line="277" w:lineRule="auto"/>
        <w:tabs>
          <w:tab w:leader="none" w:pos="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ratio of waived fees to average net assets was 0.65%, 0.40%, 0.09% and 0.13% for the years ended December 31, 2016, 2015, 2014 and 2013, respectively.</w:t>
      </w:r>
    </w:p>
    <w:p>
      <w:pPr>
        <w:spacing w:after="0" w:line="62" w:lineRule="exact"/>
        <w:rPr>
          <w:rFonts w:ascii="Arial" w:cs="Arial" w:eastAsia="Arial" w:hAnsi="Arial"/>
          <w:sz w:val="18"/>
          <w:szCs w:val="18"/>
          <w:color w:val="auto"/>
        </w:rPr>
      </w:pPr>
    </w:p>
    <w:p>
      <w:pPr>
        <w:ind w:left="300" w:right="639" w:hanging="272"/>
        <w:spacing w:after="0" w:line="264" w:lineRule="auto"/>
        <w:tabs>
          <w:tab w:leader="none" w:pos="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18. Selected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For the quarter ended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w w:val="95"/>
              </w:rPr>
              <w:t>September</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9"/>
        </w:trPr>
        <w:tc>
          <w:tcPr>
            <w:tcW w:w="41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Total investment income</w:t>
            </w:r>
          </w:p>
        </w:tc>
        <w:tc>
          <w:tcPr>
            <w:tcW w:w="16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16,515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17,357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17,449</w:t>
            </w:r>
          </w:p>
        </w:tc>
        <w:tc>
          <w:tcPr>
            <w:tcW w:w="0" w:type="dxa"/>
            <w:vAlign w:val="bottom"/>
          </w:tcPr>
          <w:p>
            <w:pPr>
              <w:spacing w:after="0"/>
              <w:rPr>
                <w:sz w:val="1"/>
                <w:szCs w:val="1"/>
                <w:color w:val="auto"/>
              </w:rPr>
            </w:pPr>
          </w:p>
        </w:tc>
      </w:tr>
      <w:tr>
        <w:trPr>
          <w:trHeight w:val="216"/>
        </w:trPr>
        <w:tc>
          <w:tcPr>
            <w:tcW w:w="4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7,441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r>
        <w:trPr>
          <w:trHeight w:val="216"/>
        </w:trPr>
        <w:tc>
          <w:tcPr>
            <w:tcW w:w="4160" w:type="dxa"/>
            <w:vAlign w:val="bottom"/>
            <w:gridSpan w:val="4"/>
          </w:tcPr>
          <w:p>
            <w:pPr>
              <w:ind w:left="20"/>
              <w:spacing w:after="0"/>
              <w:rPr>
                <w:sz w:val="20"/>
                <w:szCs w:val="20"/>
                <w:color w:val="auto"/>
              </w:rPr>
            </w:pPr>
            <w:r>
              <w:rPr>
                <w:rFonts w:ascii="Arial" w:cs="Arial" w:eastAsia="Arial" w:hAnsi="Arial"/>
                <w:sz w:val="18"/>
                <w:szCs w:val="18"/>
                <w:color w:val="auto"/>
                <w:w w:val="96"/>
              </w:rPr>
              <w:t>Net increase (decrease) in net assets from operations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8,097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57"/>
        </w:trPr>
        <w:tc>
          <w:tcPr>
            <w:tcW w:w="4160" w:type="dxa"/>
            <w:vAlign w:val="bottom"/>
            <w:gridSpan w:val="4"/>
            <w:shd w:val="clear" w:color="auto" w:fill="CCEEFF"/>
          </w:tcPr>
          <w:p>
            <w:pPr>
              <w:ind w:left="20"/>
              <w:spacing w:after="0" w:line="256" w:lineRule="exact"/>
              <w:rPr>
                <w:sz w:val="20"/>
                <w:szCs w:val="20"/>
                <w:color w:val="auto"/>
              </w:rPr>
            </w:pPr>
            <w:r>
              <w:rPr>
                <w:rFonts w:ascii="Arial" w:cs="Arial" w:eastAsia="Arial" w:hAnsi="Arial"/>
                <w:sz w:val="18"/>
                <w:szCs w:val="18"/>
                <w:color w:val="auto"/>
              </w:rPr>
              <w:t>Net investment income per share</w:t>
            </w:r>
            <w:r>
              <w:rPr>
                <w:rFonts w:ascii="Arial" w:cs="Arial" w:eastAsia="Arial" w:hAnsi="Arial"/>
                <w:sz w:val="29"/>
                <w:szCs w:val="29"/>
                <w:color w:val="auto"/>
                <w:vertAlign w:val="superscript"/>
              </w:rPr>
              <w:t>(1)</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0.47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5"/>
        </w:trPr>
        <w:tc>
          <w:tcPr>
            <w:tcW w:w="4160" w:type="dxa"/>
            <w:vAlign w:val="bottom"/>
            <w:gridSpan w:val="4"/>
          </w:tcPr>
          <w:p>
            <w:pPr>
              <w:ind w:left="20"/>
              <w:spacing w:after="0" w:line="206" w:lineRule="exact"/>
              <w:rPr>
                <w:sz w:val="20"/>
                <w:szCs w:val="20"/>
                <w:color w:val="auto"/>
              </w:rPr>
            </w:pPr>
            <w:r>
              <w:rPr>
                <w:rFonts w:ascii="Arial" w:cs="Arial" w:eastAsia="Arial" w:hAnsi="Arial"/>
                <w:sz w:val="18"/>
                <w:szCs w:val="18"/>
                <w:color w:val="auto"/>
                <w:w w:val="96"/>
              </w:rPr>
              <w:t>Net increase (decrease) in net assets from operations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140" w:type="dxa"/>
            <w:vAlign w:val="bottom"/>
            <w:gridSpan w:val="3"/>
          </w:tcPr>
          <w:p>
            <w:pPr>
              <w:ind w:left="180"/>
              <w:spacing w:after="0" w:line="266" w:lineRule="exact"/>
              <w:rPr>
                <w:sz w:val="20"/>
                <w:szCs w:val="20"/>
                <w:color w:val="auto"/>
              </w:rPr>
            </w:pPr>
            <w:r>
              <w:rPr>
                <w:rFonts w:ascii="Arial" w:cs="Arial" w:eastAsia="Arial" w:hAnsi="Arial"/>
                <w:sz w:val="18"/>
                <w:szCs w:val="18"/>
                <w:color w:val="auto"/>
              </w:rPr>
              <w:t>per share</w:t>
            </w:r>
            <w:r>
              <w:rPr>
                <w:rFonts w:ascii="Arial" w:cs="Arial" w:eastAsia="Arial" w:hAnsi="Arial"/>
                <w:sz w:val="30"/>
                <w:szCs w:val="30"/>
                <w:color w:val="auto"/>
                <w:vertAlign w:val="superscript"/>
              </w:rPr>
              <w:t>(1)</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0.51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asset value per share at end of period</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15.68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For the quarter ended</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w w:val="95"/>
              </w:rPr>
              <w:t>September</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9"/>
        </w:trPr>
        <w:tc>
          <w:tcPr>
            <w:tcW w:w="41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Total investment income</w:t>
            </w:r>
          </w:p>
        </w:tc>
        <w:tc>
          <w:tcPr>
            <w:tcW w:w="16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8"/>
              </w:rPr>
              <w:t>16,547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18,304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14,041</w:t>
            </w:r>
          </w:p>
        </w:tc>
        <w:tc>
          <w:tcPr>
            <w:tcW w:w="0" w:type="dxa"/>
            <w:vAlign w:val="bottom"/>
          </w:tcPr>
          <w:p>
            <w:pPr>
              <w:spacing w:after="0"/>
              <w:rPr>
                <w:sz w:val="1"/>
                <w:szCs w:val="1"/>
                <w:color w:val="auto"/>
              </w:rPr>
            </w:pPr>
          </w:p>
        </w:tc>
      </w:tr>
      <w:tr>
        <w:trPr>
          <w:trHeight w:val="216"/>
        </w:trPr>
        <w:tc>
          <w:tcPr>
            <w:tcW w:w="4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7,406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16"/>
        </w:trPr>
        <w:tc>
          <w:tcPr>
            <w:tcW w:w="4160" w:type="dxa"/>
            <w:vAlign w:val="bottom"/>
            <w:gridSpan w:val="4"/>
          </w:tcPr>
          <w:p>
            <w:pPr>
              <w:ind w:left="20"/>
              <w:spacing w:after="0"/>
              <w:rPr>
                <w:sz w:val="20"/>
                <w:szCs w:val="20"/>
                <w:color w:val="auto"/>
              </w:rPr>
            </w:pPr>
            <w:r>
              <w:rPr>
                <w:rFonts w:ascii="Arial" w:cs="Arial" w:eastAsia="Arial" w:hAnsi="Arial"/>
                <w:sz w:val="18"/>
                <w:szCs w:val="18"/>
                <w:color w:val="auto"/>
                <w:w w:val="96"/>
              </w:rPr>
              <w:t>Net increase (decrease) in net assets from operations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(8,917)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9,867</w:t>
            </w:r>
          </w:p>
        </w:tc>
        <w:tc>
          <w:tcPr>
            <w:tcW w:w="0" w:type="dxa"/>
            <w:vAlign w:val="bottom"/>
          </w:tcPr>
          <w:p>
            <w:pPr>
              <w:spacing w:after="0"/>
              <w:rPr>
                <w:sz w:val="1"/>
                <w:szCs w:val="1"/>
                <w:color w:val="auto"/>
              </w:rPr>
            </w:pPr>
          </w:p>
        </w:tc>
      </w:tr>
      <w:tr>
        <w:trPr>
          <w:trHeight w:val="257"/>
        </w:trPr>
        <w:tc>
          <w:tcPr>
            <w:tcW w:w="4160" w:type="dxa"/>
            <w:vAlign w:val="bottom"/>
            <w:gridSpan w:val="4"/>
            <w:shd w:val="clear" w:color="auto" w:fill="CCEEFF"/>
          </w:tcPr>
          <w:p>
            <w:pPr>
              <w:ind w:left="20"/>
              <w:spacing w:after="0" w:line="256" w:lineRule="exact"/>
              <w:rPr>
                <w:sz w:val="20"/>
                <w:szCs w:val="20"/>
                <w:color w:val="auto"/>
              </w:rPr>
            </w:pPr>
            <w:r>
              <w:rPr>
                <w:rFonts w:ascii="Arial" w:cs="Arial" w:eastAsia="Arial" w:hAnsi="Arial"/>
                <w:sz w:val="18"/>
                <w:szCs w:val="18"/>
                <w:color w:val="auto"/>
              </w:rPr>
              <w:t>Net investment income per share</w:t>
            </w:r>
            <w:r>
              <w:rPr>
                <w:rFonts w:ascii="Arial" w:cs="Arial" w:eastAsia="Arial" w:hAnsi="Arial"/>
                <w:sz w:val="29"/>
                <w:szCs w:val="29"/>
                <w:color w:val="auto"/>
                <w:vertAlign w:val="superscript"/>
              </w:rPr>
              <w:t>(1)</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5"/>
        </w:trPr>
        <w:tc>
          <w:tcPr>
            <w:tcW w:w="4160" w:type="dxa"/>
            <w:vAlign w:val="bottom"/>
            <w:gridSpan w:val="4"/>
          </w:tcPr>
          <w:p>
            <w:pPr>
              <w:ind w:left="20"/>
              <w:spacing w:after="0" w:line="206" w:lineRule="exact"/>
              <w:rPr>
                <w:sz w:val="20"/>
                <w:szCs w:val="20"/>
                <w:color w:val="auto"/>
              </w:rPr>
            </w:pPr>
            <w:r>
              <w:rPr>
                <w:rFonts w:ascii="Arial" w:cs="Arial" w:eastAsia="Arial" w:hAnsi="Arial"/>
                <w:sz w:val="18"/>
                <w:szCs w:val="18"/>
                <w:color w:val="auto"/>
                <w:w w:val="96"/>
              </w:rPr>
              <w:t>Net increase (decrease) in net assets from operations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140" w:type="dxa"/>
            <w:vAlign w:val="bottom"/>
            <w:gridSpan w:val="3"/>
          </w:tcPr>
          <w:p>
            <w:pPr>
              <w:ind w:left="180"/>
              <w:spacing w:after="0" w:line="266" w:lineRule="exact"/>
              <w:rPr>
                <w:sz w:val="20"/>
                <w:szCs w:val="20"/>
                <w:color w:val="auto"/>
              </w:rPr>
            </w:pPr>
            <w:r>
              <w:rPr>
                <w:rFonts w:ascii="Arial" w:cs="Arial" w:eastAsia="Arial" w:hAnsi="Arial"/>
                <w:sz w:val="18"/>
                <w:szCs w:val="18"/>
                <w:color w:val="auto"/>
              </w:rPr>
              <w:t>per share</w:t>
            </w:r>
            <w:r>
              <w:rPr>
                <w:rFonts w:ascii="Arial" w:cs="Arial" w:eastAsia="Arial" w:hAnsi="Arial"/>
                <w:sz w:val="30"/>
                <w:szCs w:val="30"/>
                <w:color w:val="auto"/>
                <w:vertAlign w:val="superscript"/>
              </w:rPr>
              <w:t>(1)</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(0.57)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4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asset value per share at end of period</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-1697355</wp:posOffset>
            </wp:positionV>
            <wp:extent cx="521398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4500" w:right="4299" w:hanging="4472"/>
        <w:spacing w:after="0" w:line="1004" w:lineRule="auto"/>
        <w:tabs>
          <w:tab w:leader="none" w:pos="299" w:val="left"/>
        </w:tabs>
        <w:numPr>
          <w:ilvl w:val="0"/>
          <w:numId w:val="80"/>
        </w:numPr>
        <w:rPr>
          <w:rFonts w:ascii="Arial" w:cs="Arial" w:eastAsia="Arial" w:hAnsi="Arial"/>
          <w:sz w:val="17"/>
          <w:szCs w:val="17"/>
          <w:color w:val="auto"/>
        </w:rPr>
      </w:pPr>
      <w:r>
        <w:rPr>
          <w:rFonts w:ascii="Arial" w:cs="Arial" w:eastAsia="Arial" w:hAnsi="Arial"/>
          <w:sz w:val="17"/>
          <w:szCs w:val="17"/>
          <w:color w:val="auto"/>
        </w:rPr>
        <w:t>Calculated based on weighted average shares outstanding during the quarter. 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-304165</wp:posOffset>
            </wp:positionV>
            <wp:extent cx="6114415" cy="596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7" w:name="page158"/>
    <w:bookmarkEnd w:id="15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19. Subsequent Events</w:t>
      </w:r>
    </w:p>
    <w:p>
      <w:pPr>
        <w:spacing w:after="0" w:line="121" w:lineRule="exact"/>
        <w:rPr>
          <w:sz w:val="20"/>
          <w:szCs w:val="20"/>
          <w:color w:val="auto"/>
        </w:rPr>
      </w:pPr>
    </w:p>
    <w:p>
      <w:pPr>
        <w:ind w:left="60" w:right="819" w:firstLine="270"/>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and for the year ended December 31, 2016.</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On January 3, 2017, the Company’s Board declared normal monthly distributions for January, February and March of 2017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0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0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71"/>
        </w:trPr>
        <w:tc>
          <w:tcPr>
            <w:tcW w:w="3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3, 2017</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20, 2017</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30, 2017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January 3, 2017</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February 20, 2017</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February 27, 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3, 2017</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23, 2017</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ind w:left="200"/>
              <w:spacing w:after="0"/>
              <w:rPr>
                <w:sz w:val="20"/>
                <w:szCs w:val="20"/>
                <w:color w:val="auto"/>
              </w:rPr>
            </w:pPr>
            <w:r>
              <w:rPr>
                <w:rFonts w:ascii="Arial" w:cs="Arial" w:eastAsia="Arial" w:hAnsi="Arial"/>
                <w:sz w:val="18"/>
                <w:szCs w:val="18"/>
                <w:color w:val="auto"/>
              </w:rPr>
              <w:t>Total Distributions Declared for Fiscal 2017</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117" w:lineRule="exact"/>
        <w:rPr>
          <w:sz w:val="20"/>
          <w:szCs w:val="20"/>
          <w:color w:val="auto"/>
        </w:rPr>
      </w:pPr>
    </w:p>
    <w:p>
      <w:pPr>
        <w:ind w:left="60" w:right="639" w:firstLine="270"/>
        <w:spacing w:after="0" w:line="264" w:lineRule="auto"/>
        <w:rPr>
          <w:sz w:val="20"/>
          <w:szCs w:val="20"/>
          <w:color w:val="auto"/>
        </w:rPr>
      </w:pPr>
      <w:r>
        <w:rPr>
          <w:rFonts w:ascii="Arial" w:cs="Arial" w:eastAsia="Arial" w:hAnsi="Arial"/>
          <w:sz w:val="18"/>
          <w:szCs w:val="18"/>
          <w:color w:val="auto"/>
        </w:rPr>
        <w:t>On January 3, 2017, the Company exited its investment in Medical Depot Inc., receiving $14.7 million in cash for its subordinated debt investment repaid at par and $6.3 million in cash related to its equity investment. The equity realization resulted in a $5.0 million realized gain.</w:t>
      </w:r>
    </w:p>
    <w:p>
      <w:pPr>
        <w:spacing w:after="0" w:line="73" w:lineRule="exact"/>
        <w:rPr>
          <w:sz w:val="20"/>
          <w:szCs w:val="20"/>
          <w:color w:val="auto"/>
        </w:rPr>
      </w:pPr>
    </w:p>
    <w:p>
      <w:pPr>
        <w:ind w:left="60" w:right="899" w:firstLine="270"/>
        <w:spacing w:after="0" w:line="277" w:lineRule="auto"/>
        <w:rPr>
          <w:sz w:val="20"/>
          <w:szCs w:val="20"/>
          <w:color w:val="auto"/>
        </w:rPr>
      </w:pPr>
      <w:r>
        <w:rPr>
          <w:rFonts w:ascii="Arial" w:cs="Arial" w:eastAsia="Arial" w:hAnsi="Arial"/>
          <w:sz w:val="18"/>
          <w:szCs w:val="18"/>
          <w:color w:val="auto"/>
        </w:rPr>
        <w:t>On January 9, 2017, the Company received $5.0 million in cash repayment for its second lien debt investment in Emerging Markets Communications, LLC, repaid at par.</w:t>
      </w:r>
    </w:p>
    <w:p>
      <w:pPr>
        <w:spacing w:after="0" w:line="62"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On January 20, 2017, the Company invested $16.0 million in first lien debt and $2.0 million in membership units of Currency Capital, LLC. The debt investment has a yield of LIBOR + 11.0%, with a 0.5% floor.</w:t>
      </w:r>
    </w:p>
    <w:p>
      <w:pPr>
        <w:spacing w:after="0" w:line="62" w:lineRule="exact"/>
        <w:rPr>
          <w:sz w:val="20"/>
          <w:szCs w:val="20"/>
          <w:color w:val="auto"/>
        </w:rPr>
      </w:pPr>
    </w:p>
    <w:p>
      <w:pPr>
        <w:ind w:left="60" w:right="519" w:firstLine="270"/>
        <w:spacing w:after="0" w:line="257" w:lineRule="auto"/>
        <w:rPr>
          <w:sz w:val="20"/>
          <w:szCs w:val="20"/>
          <w:color w:val="auto"/>
        </w:rPr>
      </w:pPr>
      <w:r>
        <w:rPr>
          <w:rFonts w:ascii="Arial" w:cs="Arial" w:eastAsia="Arial" w:hAnsi="Arial"/>
          <w:sz w:val="18"/>
          <w:szCs w:val="18"/>
          <w:color w:val="auto"/>
        </w:rPr>
        <w:t>On February 2, 2017, the Company restructured its investment in US Well Services, LLC, exchanging its $15.3 million first lien debt investment for an $8.5 million first lien debt investment, yielding LIBOR + 9.0% or LIBOR + 11.0% if paid in kind, and an initial 4.9% equity ownership in USWS Holdings, LLC. In addition, the Company committed $2.1 million in a first lien revolving credit facility to US Well Services, LLC, yielding LIBOR + 6.0% and obtained an initial 0.4% equity ownership in USWS Holdings, LLC.</w:t>
      </w:r>
    </w:p>
    <w:p>
      <w:pPr>
        <w:spacing w:after="0" w:line="80" w:lineRule="exact"/>
        <w:rPr>
          <w:sz w:val="20"/>
          <w:szCs w:val="20"/>
          <w:color w:val="auto"/>
        </w:rPr>
      </w:pPr>
    </w:p>
    <w:p>
      <w:pPr>
        <w:ind w:left="60" w:right="999" w:firstLine="270"/>
        <w:spacing w:after="0" w:line="277" w:lineRule="auto"/>
        <w:rPr>
          <w:sz w:val="20"/>
          <w:szCs w:val="20"/>
          <w:color w:val="auto"/>
        </w:rPr>
      </w:pPr>
      <w:r>
        <w:rPr>
          <w:rFonts w:ascii="Arial" w:cs="Arial" w:eastAsia="Arial" w:hAnsi="Arial"/>
          <w:sz w:val="18"/>
          <w:szCs w:val="18"/>
          <w:color w:val="auto"/>
        </w:rPr>
        <w:t>On February 21, 2017, the Company received $4.8 million in cash repayment for its second lien debt investment in Brock Holdings III, Inc.</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103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9A. CONTROLS AND PROCEDURES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left="40" w:right="599" w:firstLine="270"/>
        <w:spacing w:after="0" w:line="269" w:lineRule="auto"/>
        <w:rPr>
          <w:sz w:val="20"/>
          <w:szCs w:val="20"/>
          <w:color w:val="auto"/>
        </w:rPr>
      </w:pPr>
      <w:r>
        <w:rPr>
          <w:rFonts w:ascii="Arial" w:cs="Arial" w:eastAsia="Arial" w:hAnsi="Arial"/>
          <w:sz w:val="17"/>
          <w:szCs w:val="17"/>
          <w:color w:val="auto"/>
        </w:rPr>
        <w:t>As of December 31, 2016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Report of Management on Internal Control Over Financial Reporting</w:t>
      </w:r>
    </w:p>
    <w:p>
      <w:pPr>
        <w:spacing w:after="0" w:line="117"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and for performing an assessment of the effectiveness of internal control over financial reporting. Internal control over financial reporting is a process designed to provide reasonable assurance regarding the reliability of financial reporting and the preparation of financial statements for external purposes in accordance with U.S. GAAP. The Company’s internal control over financial reporting includes those policies and procedures that (i) pertain to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40" w:right="859" w:firstLine="270"/>
        <w:spacing w:after="0" w:line="302" w:lineRule="auto"/>
        <w:rPr>
          <w:sz w:val="20"/>
          <w:szCs w:val="20"/>
          <w:color w:val="auto"/>
        </w:rPr>
      </w:pPr>
      <w:r>
        <w:rPr>
          <w:rFonts w:ascii="Arial" w:cs="Arial" w:eastAsia="Arial" w:hAnsi="Arial"/>
          <w:sz w:val="16"/>
          <w:szCs w:val="16"/>
          <w:color w:val="auto"/>
        </w:rPr>
        <w:t>Management performed an assessment of the effectiveness of the Company’s internal control over financial reporting as of December 31, 2016 based upon the criteria in the 2013 Internal Control — Integrated Framework issued by the Committee of Sponsoring Organizations of the Treadway Commission. Based on management’s assessment, management determined that the Company’s internal control over financial reporting was effective as of December 31, 2016.</w:t>
      </w:r>
    </w:p>
    <w:p>
      <w:pPr>
        <w:spacing w:after="0" w:line="46"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Due to the Company’s status as an “emerging growth company” under the Jumpstart Our Business Startups Act of 2012, the Company was not required to obtain an attestation report from the Company’s independent registered public accounting firm on the Company’s internal control over financial reporting as of December 31, 2016.</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 Changes in Internal Controls Over Financial Reporting</w:t>
      </w:r>
    </w:p>
    <w:p>
      <w:pPr>
        <w:spacing w:after="0" w:line="117" w:lineRule="exact"/>
        <w:rPr>
          <w:sz w:val="20"/>
          <w:szCs w:val="20"/>
          <w:color w:val="auto"/>
        </w:rPr>
      </w:pPr>
    </w:p>
    <w:p>
      <w:pPr>
        <w:jc w:val="both"/>
        <w:ind w:left="40" w:right="639" w:firstLine="270"/>
        <w:spacing w:after="0" w:line="264" w:lineRule="auto"/>
        <w:rPr>
          <w:sz w:val="20"/>
          <w:szCs w:val="20"/>
          <w:color w:val="auto"/>
        </w:rPr>
      </w:pPr>
      <w:r>
        <w:rPr>
          <w:rFonts w:ascii="Arial" w:cs="Arial" w:eastAsia="Arial" w:hAnsi="Arial"/>
          <w:sz w:val="18"/>
          <w:szCs w:val="18"/>
          <w:color w:val="auto"/>
        </w:rPr>
        <w:t>Management has not identified any change in the Company’s internal control over financing reporting that occurred during the fourth quarter of 2016 that has materially affected, or is reasonably likely to materially affect, the Company’s internal control over financial reporting.</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left="40" w:right="619" w:firstLine="270"/>
        <w:spacing w:after="0" w:line="279" w:lineRule="auto"/>
        <w:rPr>
          <w:sz w:val="20"/>
          <w:szCs w:val="20"/>
          <w:color w:val="auto"/>
        </w:rPr>
      </w:pPr>
      <w:r>
        <w:rPr>
          <w:rFonts w:ascii="Arial" w:cs="Arial" w:eastAsia="Arial" w:hAnsi="Arial"/>
          <w:sz w:val="17"/>
          <w:szCs w:val="17"/>
          <w:color w:val="auto"/>
        </w:rPr>
        <w:t>We will file a definitive Proxy Statement for our 2017 Annual Meeting of Stockholders with the Securities and Exchange Commission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10 is hereby incorporated by reference from our definitive Proxy Statement relating to our 2017 Annual Meeting of Stockholders, to be filed with the SEC within 120 days following the end of our fiscal year.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40" w:right="819" w:firstLine="270"/>
        <w:spacing w:after="0" w:line="308" w:lineRule="auto"/>
        <w:rPr>
          <w:sz w:val="20"/>
          <w:szCs w:val="20"/>
          <w:color w:val="auto"/>
        </w:rPr>
      </w:pPr>
      <w:r>
        <w:rPr>
          <w:rFonts w:ascii="Arial" w:cs="Arial" w:eastAsia="Arial" w:hAnsi="Arial"/>
          <w:sz w:val="17"/>
          <w:szCs w:val="17"/>
          <w:color w:val="auto"/>
        </w:rPr>
        <w:t>The information required by Item 11 is hereby incorporated by reference from our definitive Proxy Statement relating to our 2017 Annual Meeting of Stockholders, to be filed with the SEC within 120 days following the end of our fiscal year.</w:t>
      </w:r>
    </w:p>
    <w:p>
      <w:pPr>
        <w:spacing w:after="0" w:line="75" w:lineRule="exact"/>
        <w:rPr>
          <w:sz w:val="20"/>
          <w:szCs w:val="20"/>
          <w:color w:val="auto"/>
        </w:rPr>
      </w:pPr>
    </w:p>
    <w:p>
      <w:pPr>
        <w:ind w:left="40" w:right="79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12 is hereby incorporated by reference from our definitive Proxy Statement relating to our 2017 Annual Meeting of Stockholders, to be filed with the SEC within 120 days following the end of our fiscal year.</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13 is hereby incorporated by reference from our definitive Proxy Statement relating to our 2017 Annual Meeting of Stockholders, to be filed with the SEC within 120 days following the end of our fiscal year.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14 is hereby incorporated by reference from our definitive Proxy Statement relating to our 2017 Annual Meeting of Stockholders, to be filed with the SEC within 120 days following the end of our fiscal year.</w:t>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0" w:name="page161"/>
    <w:bookmarkEnd w:id="160"/>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15. EXHIBITS AND CONSOLIDATED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documents are filed as part of this Annual Report: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consolidated financial statements are set forth in Item 8:</w:t>
      </w:r>
    </w:p>
    <w:p>
      <w:pPr>
        <w:spacing w:after="0" w:line="22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1398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1260" w:type="dxa"/>
            <w:vAlign w:val="bottom"/>
          </w:tcPr>
          <w:p>
            <w:pPr>
              <w:spacing w:after="0"/>
              <w:rPr>
                <w:sz w:val="14"/>
                <w:szCs w:val="14"/>
                <w:color w:val="auto"/>
              </w:rPr>
            </w:pPr>
          </w:p>
        </w:tc>
      </w:tr>
      <w:tr>
        <w:trPr>
          <w:trHeight w:val="169"/>
        </w:trPr>
        <w:tc>
          <w:tcPr>
            <w:tcW w:w="140" w:type="dxa"/>
            <w:vAlign w:val="bottom"/>
            <w:tcBorders>
              <w:right w:val="single" w:sz="8" w:color="CCEEFF"/>
            </w:tcBorders>
          </w:tcPr>
          <w:p>
            <w:pPr>
              <w:spacing w:after="0"/>
              <w:rPr>
                <w:sz w:val="14"/>
                <w:szCs w:val="14"/>
                <w:color w:val="auto"/>
              </w:rPr>
            </w:pPr>
          </w:p>
        </w:tc>
        <w:tc>
          <w:tcPr>
            <w:tcW w:w="7660" w:type="dxa"/>
            <w:vAlign w:val="bottom"/>
            <w:gridSpan w:val="13"/>
            <w:shd w:val="clear" w:color="auto" w:fill="CCEEFF"/>
          </w:tcPr>
          <w:p>
            <w:pPr>
              <w:spacing w:after="0" w:line="170" w:lineRule="exact"/>
              <w:rPr>
                <w:rFonts w:ascii="Arial" w:cs="Arial" w:eastAsia="Arial" w:hAnsi="Arial"/>
                <w:sz w:val="18"/>
                <w:szCs w:val="18"/>
                <w:color w:val="0000EE"/>
              </w:rPr>
            </w:pPr>
            <w:hyperlink w:anchor="page101">
              <w:r>
                <w:rPr>
                  <w:rFonts w:ascii="Arial" w:cs="Arial" w:eastAsia="Arial" w:hAnsi="Arial"/>
                  <w:sz w:val="18"/>
                  <w:szCs w:val="18"/>
                  <w:color w:val="0000EE"/>
                </w:rPr>
                <w:t>Report of Independent Registered Public Accounting Firms</w:t>
              </w:r>
            </w:hyperlink>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ind w:right="60"/>
              <w:spacing w:after="0" w:line="170" w:lineRule="exact"/>
              <w:rPr>
                <w:rFonts w:ascii="Arial" w:cs="Arial" w:eastAsia="Arial" w:hAnsi="Arial"/>
                <w:sz w:val="18"/>
                <w:szCs w:val="18"/>
                <w:color w:val="0000EE"/>
              </w:rPr>
            </w:pPr>
            <w:hyperlink w:anchor="page101">
              <w:r>
                <w:rPr>
                  <w:rFonts w:ascii="Arial" w:cs="Arial" w:eastAsia="Arial" w:hAnsi="Arial"/>
                  <w:sz w:val="18"/>
                  <w:szCs w:val="18"/>
                  <w:color w:val="0000EE"/>
                </w:rPr>
                <w:t>F-1</w:t>
              </w:r>
            </w:hyperlink>
          </w:p>
        </w:tc>
        <w:tc>
          <w:tcPr>
            <w:tcW w:w="1260" w:type="dxa"/>
            <w:vAlign w:val="bottom"/>
          </w:tcPr>
          <w:p>
            <w:pPr>
              <w:spacing w:after="0"/>
              <w:rPr>
                <w:sz w:val="14"/>
                <w:szCs w:val="14"/>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660" w:type="dxa"/>
            <w:vAlign w:val="bottom"/>
            <w:gridSpan w:val="13"/>
          </w:tcPr>
          <w:p>
            <w:pPr>
              <w:spacing w:after="0"/>
              <w:rPr>
                <w:sz w:val="20"/>
                <w:szCs w:val="20"/>
                <w:color w:val="auto"/>
              </w:rPr>
            </w:pPr>
            <w:r>
              <w:rPr>
                <w:rFonts w:ascii="Arial" w:cs="Arial" w:eastAsia="Arial" w:hAnsi="Arial"/>
                <w:sz w:val="18"/>
                <w:szCs w:val="18"/>
                <w:b w:val="1"/>
                <w:bCs w:val="1"/>
                <w:color w:val="auto"/>
              </w:rPr>
              <w:t>Audited Financial Statements: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3"/>
            <w:shd w:val="clear" w:color="auto" w:fill="CCEEFF"/>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Consolidated Statements of Assets and Liabilities as of December 31, 2016 and December 31,</w:t>
              </w:r>
            </w:hyperlink>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540" w:type="dxa"/>
            <w:vAlign w:val="bottom"/>
            <w:tcBorders>
              <w:top w:val="single" w:sz="8" w:color="0000EE"/>
            </w:tcBorders>
            <w:gridSpan w:val="2"/>
            <w:shd w:val="clear" w:color="auto" w:fill="CCEEFF"/>
          </w:tcPr>
          <w:p>
            <w:pPr>
              <w:ind w:left="180"/>
              <w:spacing w:after="0" w:line="196" w:lineRule="exact"/>
              <w:rPr>
                <w:rFonts w:ascii="Arial" w:cs="Arial" w:eastAsia="Arial" w:hAnsi="Arial"/>
                <w:sz w:val="18"/>
                <w:szCs w:val="18"/>
                <w:color w:val="0000EE"/>
                <w:w w:val="84"/>
              </w:rPr>
            </w:pPr>
            <w:hyperlink w:anchor="page102">
              <w:r>
                <w:rPr>
                  <w:rFonts w:ascii="Arial" w:cs="Arial" w:eastAsia="Arial" w:hAnsi="Arial"/>
                  <w:sz w:val="18"/>
                  <w:szCs w:val="18"/>
                  <w:color w:val="0000EE"/>
                  <w:w w:val="84"/>
                </w:rPr>
                <w:t>2015</w:t>
              </w:r>
            </w:hyperlink>
          </w:p>
        </w:tc>
        <w:tc>
          <w:tcPr>
            <w:tcW w:w="104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1140" w:type="dxa"/>
            <w:vAlign w:val="bottom"/>
            <w:tcBorders>
              <w:top w:val="single" w:sz="8" w:color="0000EE"/>
            </w:tcBorders>
            <w:shd w:val="clear" w:color="auto" w:fill="CCEEFF"/>
          </w:tcPr>
          <w:p>
            <w:pPr>
              <w:spacing w:after="0"/>
              <w:rPr>
                <w:sz w:val="17"/>
                <w:szCs w:val="17"/>
                <w:color w:val="auto"/>
              </w:rPr>
            </w:pPr>
          </w:p>
        </w:tc>
        <w:tc>
          <w:tcPr>
            <w:tcW w:w="216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gridSpan w:val="2"/>
            <w:shd w:val="clear" w:color="auto" w:fill="CCEEFF"/>
          </w:tcPr>
          <w:p>
            <w:pPr>
              <w:jc w:val="right"/>
              <w:ind w:right="60"/>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F-2</w:t>
              </w:r>
            </w:hyperlink>
          </w:p>
        </w:tc>
        <w:tc>
          <w:tcPr>
            <w:tcW w:w="1260" w:type="dxa"/>
            <w:vAlign w:val="bottom"/>
          </w:tcPr>
          <w:p>
            <w:pPr>
              <w:spacing w:after="0"/>
              <w:rPr>
                <w:sz w:val="17"/>
                <w:szCs w:val="17"/>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3"/>
          </w:tcPr>
          <w:p>
            <w:pPr>
              <w:spacing w:after="0" w:line="17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Consolidated Statements of Operations for the years ended December 31, 2016, December 31, 2015 and</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7500" w:type="dxa"/>
            <w:vAlign w:val="bottom"/>
            <w:tcBorders>
              <w:top w:val="single" w:sz="8" w:color="0000EE"/>
            </w:tcBorders>
            <w:gridSpan w:val="12"/>
          </w:tcPr>
          <w:p>
            <w:pPr>
              <w:ind w:left="18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December 31, 2014</w:t>
              </w:r>
            </w:hyperlink>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F-3</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3"/>
            <w:shd w:val="clear" w:color="auto" w:fill="CCEEFF"/>
          </w:tcPr>
          <w:p>
            <w:pPr>
              <w:spacing w:after="0" w:line="17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Consolidated Statements of Changes in Net Assets for the years ended December 31, 2016, December</w:t>
              </w:r>
            </w:hyperlink>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7360" w:type="dxa"/>
            <w:vAlign w:val="bottom"/>
            <w:tcBorders>
              <w:top w:val="single" w:sz="8" w:color="0000EE"/>
            </w:tcBorders>
            <w:gridSpan w:val="11"/>
            <w:shd w:val="clear" w:color="auto" w:fill="CCEEFF"/>
          </w:tcPr>
          <w:p>
            <w:pPr>
              <w:ind w:left="180"/>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31, 2015 and December 31, 2014</w:t>
              </w:r>
            </w:hyperlink>
          </w:p>
        </w:tc>
        <w:tc>
          <w:tcPr>
            <w:tcW w:w="3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gridSpan w:val="2"/>
            <w:shd w:val="clear" w:color="auto" w:fill="CCEEFF"/>
          </w:tcPr>
          <w:p>
            <w:pPr>
              <w:jc w:val="right"/>
              <w:ind w:right="60"/>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F-4</w:t>
              </w:r>
            </w:hyperlink>
          </w:p>
        </w:tc>
        <w:tc>
          <w:tcPr>
            <w:tcW w:w="1260" w:type="dxa"/>
            <w:vAlign w:val="bottom"/>
          </w:tcPr>
          <w:p>
            <w:pPr>
              <w:spacing w:after="0"/>
              <w:rPr>
                <w:sz w:val="17"/>
                <w:szCs w:val="17"/>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3"/>
          </w:tcPr>
          <w:p>
            <w:pPr>
              <w:spacing w:after="0" w:line="176" w:lineRule="exact"/>
              <w:rPr>
                <w:rFonts w:ascii="Arial" w:cs="Arial" w:eastAsia="Arial" w:hAnsi="Arial"/>
                <w:sz w:val="18"/>
                <w:szCs w:val="18"/>
                <w:color w:val="0000EE"/>
                <w:w w:val="94"/>
              </w:rPr>
            </w:pPr>
            <w:hyperlink w:anchor="page105">
              <w:r>
                <w:rPr>
                  <w:rFonts w:ascii="Arial" w:cs="Arial" w:eastAsia="Arial" w:hAnsi="Arial"/>
                  <w:sz w:val="18"/>
                  <w:szCs w:val="18"/>
                  <w:color w:val="0000EE"/>
                  <w:w w:val="94"/>
                </w:rPr>
                <w:t>Consolidated Statements of Cash Flows for the years ended December 31, 2016, December 31, 2015</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7240" w:type="dxa"/>
            <w:vAlign w:val="bottom"/>
            <w:tcBorders>
              <w:top w:val="single" w:sz="8" w:color="0000EE"/>
            </w:tcBorders>
            <w:gridSpan w:val="10"/>
          </w:tcPr>
          <w:p>
            <w:pPr>
              <w:ind w:left="180"/>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and December 31, 2014</w:t>
              </w:r>
            </w:hyperlink>
          </w:p>
        </w:tc>
        <w:tc>
          <w:tcPr>
            <w:tcW w:w="42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F-5</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3"/>
            <w:shd w:val="clear" w:color="auto" w:fill="CCEEFF"/>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Consolidated Schedules of Investments as of December 31, 2016 and December 31, 2015</w:t>
              </w:r>
            </w:hyperlink>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F-6</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3"/>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Notes to Consolidated Financial Statements</w:t>
              </w:r>
            </w:hyperlink>
          </w:p>
        </w:tc>
        <w:tc>
          <w:tcPr>
            <w:tcW w:w="140" w:type="dxa"/>
            <w:vAlign w:val="bottom"/>
          </w:tcPr>
          <w:p>
            <w:pPr>
              <w:spacing w:after="0"/>
              <w:rPr>
                <w:sz w:val="15"/>
                <w:szCs w:val="15"/>
                <w:color w:val="auto"/>
              </w:rPr>
            </w:pPr>
          </w:p>
        </w:tc>
        <w:tc>
          <w:tcPr>
            <w:tcW w:w="400" w:type="dxa"/>
            <w:vAlign w:val="bottom"/>
            <w:gridSpan w:val="2"/>
          </w:tcPr>
          <w:p>
            <w:pPr>
              <w:jc w:val="right"/>
              <w:ind w:right="60"/>
              <w:spacing w:after="0" w:line="176" w:lineRule="exact"/>
              <w:rPr>
                <w:rFonts w:ascii="Arial" w:cs="Arial" w:eastAsia="Arial" w:hAnsi="Arial"/>
                <w:sz w:val="18"/>
                <w:szCs w:val="18"/>
                <w:color w:val="0000EE"/>
                <w:w w:val="86"/>
              </w:rPr>
            </w:pPr>
            <w:hyperlink w:anchor="page118">
              <w:r>
                <w:rPr>
                  <w:rFonts w:ascii="Arial" w:cs="Arial" w:eastAsia="Arial" w:hAnsi="Arial"/>
                  <w:sz w:val="18"/>
                  <w:szCs w:val="18"/>
                  <w:color w:val="0000EE"/>
                  <w:w w:val="86"/>
                </w:rPr>
                <w:t>F-18</w:t>
              </w:r>
            </w:hyperlink>
          </w:p>
        </w:tc>
        <w:tc>
          <w:tcPr>
            <w:tcW w:w="1260" w:type="dxa"/>
            <w:vAlign w:val="bottom"/>
          </w:tcPr>
          <w:p>
            <w:pPr>
              <w:spacing w:after="0"/>
              <w:rPr>
                <w:sz w:val="15"/>
                <w:szCs w:val="15"/>
                <w:color w:val="auto"/>
              </w:rPr>
            </w:pPr>
          </w:p>
        </w:tc>
      </w:tr>
      <w:tr>
        <w:trPr>
          <w:trHeight w:val="804"/>
        </w:trPr>
        <w:tc>
          <w:tcPr>
            <w:tcW w:w="140" w:type="dxa"/>
            <w:vAlign w:val="bottom"/>
          </w:tcPr>
          <w:p>
            <w:pPr>
              <w:spacing w:after="0"/>
              <w:rPr>
                <w:sz w:val="24"/>
                <w:szCs w:val="24"/>
                <w:color w:val="auto"/>
              </w:rPr>
            </w:pPr>
          </w:p>
        </w:tc>
        <w:tc>
          <w:tcPr>
            <w:tcW w:w="3140" w:type="dxa"/>
            <w:vAlign w:val="bottom"/>
            <w:tcBorders>
              <w:top w:val="single" w:sz="8" w:color="0000EE"/>
            </w:tcBorders>
            <w:gridSpan w:val="6"/>
          </w:tcPr>
          <w:p>
            <w:pPr>
              <w:spacing w:after="0"/>
              <w:rPr>
                <w:sz w:val="24"/>
                <w:szCs w:val="24"/>
                <w:color w:val="auto"/>
              </w:rPr>
            </w:pPr>
          </w:p>
        </w:tc>
        <w:tc>
          <w:tcPr>
            <w:tcW w:w="3300" w:type="dxa"/>
            <w:vAlign w:val="bottom"/>
            <w:gridSpan w:val="2"/>
          </w:tcPr>
          <w:p>
            <w:pPr>
              <w:jc w:val="right"/>
              <w:ind w:right="1700"/>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21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61" w:name="page162"/>
    <w:bookmarkEnd w:id="161"/>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517144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7440" w:type="dxa"/>
            <w:vAlign w:val="bottom"/>
            <w:vMerge w:val="restart"/>
          </w:tcPr>
          <w:p>
            <w:pPr>
              <w:ind w:left="2960"/>
              <w:spacing w:after="0"/>
              <w:rPr>
                <w:sz w:val="20"/>
                <w:szCs w:val="20"/>
                <w:color w:val="auto"/>
              </w:rPr>
            </w:pPr>
            <w:r>
              <w:rPr>
                <w:rFonts w:ascii="Arial" w:cs="Arial" w:eastAsia="Arial" w:hAnsi="Arial"/>
                <w:sz w:val="14"/>
                <w:szCs w:val="14"/>
                <w:b w:val="1"/>
                <w:bCs w:val="1"/>
                <w:color w:val="auto"/>
              </w:rPr>
              <w:t>Description of Document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7440" w:type="dxa"/>
            <w:vAlign w:val="bottom"/>
            <w:tcBorders>
              <w:bottom w:val="single" w:sz="8" w:color="auto"/>
            </w:tcBorders>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0"/>
                <w:szCs w:val="20"/>
                <w:color w:val="auto"/>
              </w:rPr>
            </w:pPr>
          </w:p>
        </w:tc>
        <w:tc>
          <w:tcPr>
            <w:tcW w:w="7440" w:type="dxa"/>
            <w:vAlign w:val="bottom"/>
          </w:tcPr>
          <w:p>
            <w:pPr>
              <w:spacing w:after="0" w:line="236" w:lineRule="exact"/>
              <w:rPr>
                <w:sz w:val="20"/>
                <w:szCs w:val="20"/>
                <w:color w:val="auto"/>
              </w:rPr>
            </w:pPr>
            <w:r>
              <w:rPr>
                <w:rFonts w:ascii="Arial" w:cs="Arial" w:eastAsia="Arial" w:hAnsi="Arial"/>
                <w:sz w:val="17"/>
                <w:szCs w:val="17"/>
                <w:color w:val="auto"/>
              </w:rPr>
              <w:t>Articles of Amendment and Restatement</w:t>
            </w:r>
            <w:r>
              <w:rPr>
                <w:rFonts w:ascii="Arial" w:cs="Arial" w:eastAsia="Arial" w:hAnsi="Arial"/>
                <w:sz w:val="27"/>
                <w:szCs w:val="27"/>
                <w:color w:val="auto"/>
                <w:vertAlign w:val="superscript"/>
              </w:rPr>
              <w:t>(1)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Certificate of Limited Partnership of CapitalSouth Partners Fund II Limited Partnership</w:t>
            </w:r>
            <w:r>
              <w:rPr>
                <w:rFonts w:ascii="Arial" w:cs="Arial" w:eastAsia="Arial" w:hAnsi="Arial"/>
                <w:sz w:val="29"/>
                <w:szCs w:val="29"/>
                <w:color w:val="auto"/>
                <w:vertAlign w:val="superscript"/>
              </w:rPr>
              <w:t>(2)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Certificate of Limited Partnership of CapitalSouth Partners SBIC Fund III, L.P.</w:t>
            </w:r>
            <w:r>
              <w:rPr>
                <w:rFonts w:ascii="Arial" w:cs="Arial" w:eastAsia="Arial" w:hAnsi="Arial"/>
                <w:sz w:val="29"/>
                <w:szCs w:val="29"/>
                <w:color w:val="auto"/>
                <w:vertAlign w:val="superscript"/>
              </w:rPr>
              <w:t>(2)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Bylaws</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6"/>
              </w:rPr>
              <w:t>Form of Amended and Restated Limited Partnership Agreement of CapitalSouth Partners Fund II</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Limited Partnership</w:t>
            </w:r>
            <w:r>
              <w:rPr>
                <w:rFonts w:ascii="Arial" w:cs="Arial" w:eastAsia="Arial" w:hAnsi="Arial"/>
                <w:sz w:val="29"/>
                <w:szCs w:val="29"/>
                <w:color w:val="auto"/>
                <w:vertAlign w:val="superscript"/>
              </w:rPr>
              <w:t>(3)</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5"/>
              </w:rPr>
              <w:t>Form of Amended and Restated Agreement of Limited Partnership of CapitalSouth Partners SBIC</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Fund III, L.P.</w:t>
            </w:r>
            <w:r>
              <w:rPr>
                <w:rFonts w:ascii="Arial" w:cs="Arial" w:eastAsia="Arial" w:hAnsi="Arial"/>
                <w:sz w:val="29"/>
                <w:szCs w:val="29"/>
                <w:color w:val="auto"/>
                <w:vertAlign w:val="superscript"/>
              </w:rPr>
              <w:t>(3)</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Form of Common Stock Certificate</w:t>
            </w:r>
            <w:r>
              <w:rPr>
                <w:rFonts w:ascii="Arial" w:cs="Arial" w:eastAsia="Arial" w:hAnsi="Arial"/>
                <w:sz w:val="29"/>
                <w:szCs w:val="29"/>
                <w:color w:val="auto"/>
                <w:vertAlign w:val="superscript"/>
              </w:rPr>
              <w:t>(1)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Form of Base Indenture</w:t>
            </w:r>
            <w:r>
              <w:rPr>
                <w:rFonts w:ascii="Arial" w:cs="Arial" w:eastAsia="Arial" w:hAnsi="Arial"/>
                <w:sz w:val="29"/>
                <w:szCs w:val="29"/>
                <w:color w:val="auto"/>
                <w:vertAlign w:val="superscript"/>
              </w:rPr>
              <w:t>(4)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Form of First Supplemental Indenture</w:t>
            </w:r>
            <w:r>
              <w:rPr>
                <w:rFonts w:ascii="Arial" w:cs="Arial" w:eastAsia="Arial" w:hAnsi="Arial"/>
                <w:sz w:val="29"/>
                <w:szCs w:val="29"/>
                <w:color w:val="auto"/>
                <w:vertAlign w:val="superscript"/>
              </w:rPr>
              <w:t>(4)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Form of Global Note (included as Exhibit A to the Form of First Supplemental Indenture)</w:t>
            </w:r>
            <w:r>
              <w:rPr>
                <w:rFonts w:ascii="Arial" w:cs="Arial" w:eastAsia="Arial" w:hAnsi="Arial"/>
                <w:sz w:val="29"/>
                <w:szCs w:val="29"/>
                <w:color w:val="auto"/>
                <w:vertAlign w:val="superscript"/>
              </w:rPr>
              <w:t>(4)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Form of Dividend Reinvestment Plan</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Form of Investment Advisory Agreement by and between Registrant and Capitala Investment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Advisors, LLC</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Form of Custodian Agreement</w:t>
            </w:r>
            <w:r>
              <w:rPr>
                <w:rFonts w:ascii="Arial" w:cs="Arial" w:eastAsia="Arial" w:hAnsi="Arial"/>
                <w:sz w:val="29"/>
                <w:szCs w:val="29"/>
                <w:color w:val="auto"/>
                <w:vertAlign w:val="superscript"/>
              </w:rPr>
              <w:t>(1)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w w:val="99"/>
              </w:rPr>
              <w:t>Form of Administration Agreement by and between Registrant and Capitala Advisors Corp.</w:t>
            </w:r>
            <w:r>
              <w:rPr>
                <w:rFonts w:ascii="Arial" w:cs="Arial" w:eastAsia="Arial" w:hAnsi="Arial"/>
                <w:sz w:val="29"/>
                <w:szCs w:val="29"/>
                <w:color w:val="auto"/>
                <w:w w:val="99"/>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Form of Indemnification Agreement by and between Registrant and each of its directors</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1"/>
              </w:rPr>
              <w:t>Form of Trademark License Agreement by and between Registrant and Capitala Investment Advisors,</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LLC</w:t>
            </w:r>
            <w:r>
              <w:rPr>
                <w:rFonts w:ascii="Arial" w:cs="Arial" w:eastAsia="Arial" w:hAnsi="Arial"/>
                <w:sz w:val="29"/>
                <w:szCs w:val="29"/>
                <w:color w:val="auto"/>
                <w:vertAlign w:val="superscript"/>
              </w:rPr>
              <w:t>(1)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0"/>
              </w:rPr>
              <w:t>Form of Senior Secured Revolving Credit Agreement dated October 17, 2014, among Capitala Finance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Corp., as Borrower, the lenders party thereto, and ING Capital LLC, as Administrative Agent,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Arranger and Bookrunner</w:t>
            </w:r>
            <w:r>
              <w:rPr>
                <w:rFonts w:ascii="Arial" w:cs="Arial" w:eastAsia="Arial" w:hAnsi="Arial"/>
                <w:sz w:val="29"/>
                <w:szCs w:val="29"/>
                <w:color w:val="auto"/>
                <w:vertAlign w:val="superscript"/>
              </w:rPr>
              <w:t>(5)</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0"/>
              </w:rPr>
              <w:t>Form of Guarantee, Pledge and Security Agreement dated October 17, 2014, among Capitala Finance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Corp., as Borrower, the subsidiary guarantors party thereto, ING Capital LLC, as Revolving</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4"/>
              </w:rPr>
              <w:t>Administrative Agent for the Revolving Lenders and as Collateral Agent, and each Financing Agent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and Designated Indebtedness Holder party thereto</w:t>
            </w:r>
            <w:r>
              <w:rPr>
                <w:rFonts w:ascii="Arial" w:cs="Arial" w:eastAsia="Arial" w:hAnsi="Arial"/>
                <w:sz w:val="29"/>
                <w:szCs w:val="29"/>
                <w:color w:val="auto"/>
                <w:vertAlign w:val="superscript"/>
              </w:rPr>
              <w:t>(5)</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3"/>
              </w:rPr>
              <w:t>Form of Incremental Assumption Agreement, dated January 6, 2015, relating to the Senior Secured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8"/>
              </w:rPr>
              <w:t>Revolving Credit Agreement, dated as of October 17, 2014, among Capitala Finance Corp., as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3"/>
              </w:rPr>
              <w:t>borrower, the lenders from time to time party thereto, and ING Capital LLC, as administrative agent,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arranger and bookrunner</w:t>
            </w:r>
            <w:r>
              <w:rPr>
                <w:rFonts w:ascii="Arial" w:cs="Arial" w:eastAsia="Arial" w:hAnsi="Arial"/>
                <w:sz w:val="29"/>
                <w:szCs w:val="29"/>
                <w:color w:val="auto"/>
                <w:vertAlign w:val="superscript"/>
              </w:rPr>
              <w:t>(6)</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5"/>
              </w:rPr>
              <w:t>First Amended and Restated Limited Liability Company Agreement of Capitala Senior Liquid Loan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Fund I, LLC, dated March 24, 2015</w:t>
            </w:r>
            <w:r>
              <w:rPr>
                <w:rFonts w:ascii="Arial" w:cs="Arial" w:eastAsia="Arial" w:hAnsi="Arial"/>
                <w:sz w:val="29"/>
                <w:szCs w:val="29"/>
                <w:color w:val="auto"/>
                <w:vertAlign w:val="superscript"/>
              </w:rPr>
              <w:t>(7)</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3"/>
              </w:rPr>
              <w:t>Form of Incremental Assumption Agreement, dated August 19, 2015, relating to the Senior Secured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8"/>
              </w:rPr>
              <w:t>Revolving Credit Agreement, dated as of October 17, 2014, among Capitala Finance Corp., as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3"/>
              </w:rPr>
              <w:t>borrower, the lenders from time to time party thereto, and ING Capital LLC, as administrative agent,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arranger and bookrunner</w:t>
            </w:r>
            <w:r>
              <w:rPr>
                <w:rFonts w:ascii="Arial" w:cs="Arial" w:eastAsia="Arial" w:hAnsi="Arial"/>
                <w:sz w:val="29"/>
                <w:szCs w:val="29"/>
                <w:color w:val="auto"/>
                <w:vertAlign w:val="superscript"/>
              </w:rPr>
              <w:t>(8)</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11.1</w:t>
            </w: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5"/>
              </w:rPr>
              <w:t>Computation of Per Share Earnings (included in the notes to the consolidated financial statements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14.1</w:t>
            </w: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contained in this report)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Code of Business Conduct</w:t>
            </w:r>
            <w:r>
              <w:rPr>
                <w:rFonts w:ascii="Arial" w:cs="Arial" w:eastAsia="Arial" w:hAnsi="Arial"/>
                <w:sz w:val="29"/>
                <w:szCs w:val="29"/>
                <w:color w:val="auto"/>
                <w:vertAlign w:val="superscript"/>
              </w:rPr>
              <w:t>(1)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14.2</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Code of Ethics</w:t>
            </w:r>
            <w:r>
              <w:rPr>
                <w:rFonts w:ascii="Arial" w:cs="Arial" w:eastAsia="Arial" w:hAnsi="Arial"/>
                <w:sz w:val="29"/>
                <w:szCs w:val="29"/>
                <w:color w:val="auto"/>
                <w:vertAlign w:val="superscript"/>
              </w:rPr>
              <w:t>(2)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6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List of Subsidiaries (filed herewith)</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0" w:type="dxa"/>
            <w:vAlign w:val="bottom"/>
            <w:gridSpan w:val="2"/>
          </w:tcPr>
          <w:p>
            <w:pPr>
              <w:jc w:val="right"/>
              <w:ind w:right="3332"/>
              <w:spacing w:after="0"/>
              <w:rPr>
                <w:sz w:val="20"/>
                <w:szCs w:val="20"/>
                <w:color w:val="auto"/>
              </w:rPr>
            </w:pPr>
            <w:r>
              <w:rPr>
                <w:rFonts w:ascii="Arial" w:cs="Arial" w:eastAsia="Arial" w:hAnsi="Arial"/>
                <w:sz w:val="18"/>
                <w:szCs w:val="18"/>
                <w:color w:val="auto"/>
              </w:rPr>
              <w:t>100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4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620" w:type="dxa"/>
            <w:vAlign w:val="bottom"/>
          </w:tcPr>
          <w:p>
            <w:pPr>
              <w:jc w:val="center"/>
              <w:ind w:right="1948"/>
              <w:spacing w:after="0"/>
              <w:rPr>
                <w:sz w:val="20"/>
                <w:szCs w:val="20"/>
                <w:color w:val="auto"/>
              </w:rPr>
            </w:pPr>
            <w:r>
              <w:rPr>
                <w:rFonts w:ascii="Arial" w:cs="Arial" w:eastAsia="Arial" w:hAnsi="Arial"/>
                <w:sz w:val="14"/>
                <w:szCs w:val="14"/>
                <w:b w:val="1"/>
                <w:bCs w:val="1"/>
                <w:color w:val="auto"/>
                <w:w w:val="94"/>
              </w:rPr>
              <w:t>Exhibit</w:t>
            </w:r>
          </w:p>
        </w:tc>
        <w:tc>
          <w:tcPr>
            <w:tcW w:w="2640" w:type="dxa"/>
            <w:vAlign w:val="bottom"/>
            <w:vMerge w:val="restart"/>
          </w:tcPr>
          <w:p>
            <w:pPr>
              <w:ind w:left="1100"/>
              <w:spacing w:after="0"/>
              <w:rPr>
                <w:sz w:val="20"/>
                <w:szCs w:val="20"/>
                <w:color w:val="auto"/>
              </w:rPr>
            </w:pPr>
            <w:r>
              <w:rPr>
                <w:rFonts w:ascii="Arial" w:cs="Arial" w:eastAsia="Arial" w:hAnsi="Arial"/>
                <w:sz w:val="14"/>
                <w:szCs w:val="14"/>
                <w:b w:val="1"/>
                <w:bCs w:val="1"/>
                <w:color w:val="auto"/>
                <w:w w:val="91"/>
              </w:rPr>
              <w:t>Description of Document</w:t>
            </w:r>
          </w:p>
        </w:tc>
        <w:tc>
          <w:tcPr>
            <w:tcW w:w="0" w:type="dxa"/>
            <w:vAlign w:val="bottom"/>
          </w:tcPr>
          <w:p>
            <w:pPr>
              <w:spacing w:after="0"/>
              <w:rPr>
                <w:sz w:val="1"/>
                <w:szCs w:val="1"/>
                <w:color w:val="auto"/>
              </w:rPr>
            </w:pPr>
          </w:p>
        </w:tc>
      </w:tr>
      <w:tr>
        <w:trPr>
          <w:trHeight w:val="186"/>
        </w:trPr>
        <w:tc>
          <w:tcPr>
            <w:tcW w:w="2620" w:type="dxa"/>
            <w:vAlign w:val="bottom"/>
          </w:tcPr>
          <w:p>
            <w:pPr>
              <w:jc w:val="center"/>
              <w:ind w:right="1948"/>
              <w:spacing w:after="0"/>
              <w:rPr>
                <w:sz w:val="20"/>
                <w:szCs w:val="20"/>
                <w:color w:val="auto"/>
              </w:rPr>
            </w:pPr>
            <w:r>
              <w:rPr>
                <w:rFonts w:ascii="Arial" w:cs="Arial" w:eastAsia="Arial" w:hAnsi="Arial"/>
                <w:sz w:val="14"/>
                <w:szCs w:val="14"/>
                <w:b w:val="1"/>
                <w:bCs w:val="1"/>
                <w:u w:val="single" w:color="auto"/>
                <w:color w:val="auto"/>
                <w:w w:val="98"/>
              </w:rPr>
              <w:t>Number</w:t>
            </w: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-8890</wp:posOffset>
            </wp:positionV>
            <wp:extent cx="472503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-300355</wp:posOffset>
            </wp:positionV>
            <wp:extent cx="97853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97853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-274955</wp:posOffset>
            </wp:positionV>
            <wp:extent cx="517144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ind w:left="140"/>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 of the Securities Exchange Act of</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1934, as adopted pursuant to Section 302 of the Sarbanes-Oxley Act of 2002 (filed herewith)</w:t>
      </w:r>
    </w:p>
    <w:p>
      <w:pPr>
        <w:spacing w:after="0" w:line="9"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 of the Securities Exchange Act of</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1934, as adopted pursuant to Section 302 of the Sarbanes-Oxley Act of 2002 (filed herewith)</w:t>
      </w:r>
    </w:p>
    <w:p>
      <w:pPr>
        <w:spacing w:after="0" w:line="9" w:lineRule="exact"/>
        <w:rPr>
          <w:sz w:val="20"/>
          <w:szCs w:val="20"/>
          <w:color w:val="auto"/>
        </w:rPr>
      </w:pPr>
    </w:p>
    <w:p>
      <w:pPr>
        <w:ind w:left="760" w:right="1919" w:hanging="622"/>
        <w:spacing w:after="0" w:line="250" w:lineRule="auto"/>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18 U.S.C. Section 1350, as adopted pursuant to section 906 of the Sarbanes-Oxley Act of 2002 (filed herewith)</w:t>
      </w:r>
    </w:p>
    <w:p>
      <w:pPr>
        <w:spacing w:after="0" w:line="1" w:lineRule="exact"/>
        <w:rPr>
          <w:sz w:val="20"/>
          <w:szCs w:val="20"/>
          <w:color w:val="auto"/>
        </w:rPr>
      </w:pPr>
    </w:p>
    <w:p>
      <w:pPr>
        <w:ind w:left="760" w:right="1979" w:hanging="622"/>
        <w:spacing w:after="0" w:line="261" w:lineRule="auto"/>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18 U.S.C. Section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6172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280" w:right="779" w:hanging="272"/>
        <w:spacing w:after="0" w:line="277" w:lineRule="auto"/>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62" w:lineRule="exact"/>
        <w:rPr>
          <w:rFonts w:ascii="Arial" w:cs="Arial" w:eastAsia="Arial" w:hAnsi="Arial"/>
          <w:sz w:val="18"/>
          <w:szCs w:val="18"/>
          <w:color w:val="auto"/>
        </w:rPr>
      </w:pPr>
    </w:p>
    <w:p>
      <w:pPr>
        <w:ind w:left="280" w:right="619" w:hanging="272"/>
        <w:spacing w:after="0" w:line="277" w:lineRule="auto"/>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62" w:lineRule="exact"/>
        <w:rPr>
          <w:rFonts w:ascii="Arial" w:cs="Arial" w:eastAsia="Arial" w:hAnsi="Arial"/>
          <w:sz w:val="18"/>
          <w:szCs w:val="18"/>
          <w:color w:val="auto"/>
        </w:rPr>
      </w:pPr>
    </w:p>
    <w:p>
      <w:pPr>
        <w:ind w:left="280" w:right="619" w:hanging="272"/>
        <w:spacing w:after="0" w:line="277" w:lineRule="auto"/>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62" w:lineRule="exact"/>
        <w:rPr>
          <w:rFonts w:ascii="Arial" w:cs="Arial" w:eastAsia="Arial" w:hAnsi="Arial"/>
          <w:sz w:val="18"/>
          <w:szCs w:val="18"/>
          <w:color w:val="auto"/>
        </w:rPr>
      </w:pPr>
    </w:p>
    <w:p>
      <w:pPr>
        <w:ind w:left="280" w:right="619" w:hanging="272"/>
        <w:spacing w:after="0" w:line="277" w:lineRule="auto"/>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333-193374) filed on May 21, 2014.</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October 21, 2014.</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January 8, 2015.</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March 24, 2015.</w:t>
      </w:r>
    </w:p>
    <w:p>
      <w:pPr>
        <w:spacing w:after="0" w:line="117" w:lineRule="exact"/>
        <w:rPr>
          <w:rFonts w:ascii="Arial" w:cs="Arial" w:eastAsia="Arial" w:hAnsi="Arial"/>
          <w:sz w:val="18"/>
          <w:szCs w:val="18"/>
          <w:color w:val="auto"/>
        </w:rPr>
      </w:pPr>
    </w:p>
    <w:p>
      <w:pPr>
        <w:ind w:left="320" w:right="2099" w:hanging="312"/>
        <w:spacing w:after="0" w:line="375" w:lineRule="auto"/>
        <w:tabs>
          <w:tab w:leader="none" w:pos="279"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August 25, 2015. c. Consolidated Financial Statement Schedules</w:t>
      </w:r>
    </w:p>
    <w:p>
      <w:pPr>
        <w:spacing w:after="0" w:line="1" w:lineRule="exact"/>
        <w:rPr>
          <w:sz w:val="20"/>
          <w:szCs w:val="20"/>
          <w:color w:val="auto"/>
        </w:rPr>
      </w:pPr>
    </w:p>
    <w:p>
      <w:pPr>
        <w:ind w:left="40" w:right="1239" w:firstLine="270"/>
        <w:spacing w:after="0" w:line="277" w:lineRule="auto"/>
        <w:rPr>
          <w:sz w:val="20"/>
          <w:szCs w:val="20"/>
          <w:color w:val="auto"/>
        </w:rPr>
      </w:pPr>
      <w:r>
        <w:rPr>
          <w:rFonts w:ascii="Arial" w:cs="Arial" w:eastAsia="Arial" w:hAnsi="Arial"/>
          <w:sz w:val="18"/>
          <w:szCs w:val="18"/>
          <w:color w:val="auto"/>
        </w:rPr>
        <w:t>No consolidated financial statement schedules are filed herewith because (1) such schedules are not required or (2) the information has been presented in the aforementioned consolidated financial statements.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3" w:name="page164"/>
    <w:bookmarkEnd w:id="163"/>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80" w:right="659" w:firstLine="270"/>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-8890</wp:posOffset>
            </wp:positionV>
            <wp:extent cx="518858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73"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5480" w:type="dxa"/>
            <w:vAlign w:val="bottom"/>
            <w:gridSpan w:val="2"/>
          </w:tcPr>
          <w:p>
            <w:pPr>
              <w:ind w:left="1240"/>
              <w:spacing w:after="0"/>
              <w:rPr>
                <w:sz w:val="20"/>
                <w:szCs w:val="20"/>
                <w:color w:val="auto"/>
              </w:rPr>
            </w:pPr>
            <w:r>
              <w:rPr>
                <w:rFonts w:ascii="Arial" w:cs="Arial" w:eastAsia="Arial" w:hAnsi="Arial"/>
                <w:sz w:val="18"/>
                <w:szCs w:val="18"/>
                <w:color w:val="auto"/>
              </w:rPr>
              <w:t>Capitala Finance Corp.</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Date: March 7, 2017</w:t>
            </w:r>
          </w:p>
        </w:tc>
        <w:tc>
          <w:tcPr>
            <w:tcW w:w="1600" w:type="dxa"/>
            <w:vAlign w:val="bottom"/>
          </w:tcPr>
          <w:p>
            <w:pPr>
              <w:ind w:left="124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2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2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16"/>
        </w:trPr>
        <w:tc>
          <w:tcPr>
            <w:tcW w:w="2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Date: March 7, 2017</w:t>
            </w:r>
          </w:p>
        </w:tc>
        <w:tc>
          <w:tcPr>
            <w:tcW w:w="1600" w:type="dxa"/>
            <w:vAlign w:val="bottom"/>
          </w:tcPr>
          <w:p>
            <w:pPr>
              <w:ind w:left="124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211"/>
        </w:trPr>
        <w:tc>
          <w:tcPr>
            <w:tcW w:w="2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Stephen A. Arnall</w:t>
            </w:r>
          </w:p>
        </w:tc>
      </w:tr>
    </w:tbl>
    <w:p>
      <w:pPr>
        <w:ind w:left="446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Capitala Finance Corp.</w:t>
      </w:r>
    </w:p>
    <w:p>
      <w:pPr>
        <w:spacing w:after="0" w:line="103" w:lineRule="exact"/>
        <w:rPr>
          <w:sz w:val="20"/>
          <w:szCs w:val="20"/>
          <w:color w:val="auto"/>
        </w:rPr>
      </w:pPr>
    </w:p>
    <w:p>
      <w:pPr>
        <w:ind w:left="180" w:right="1099"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424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6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B. Alala III</w:t>
            </w:r>
          </w:p>
        </w:tc>
        <w:tc>
          <w:tcPr>
            <w:tcW w:w="16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w w:val="96"/>
              </w:rPr>
              <w:t>Chief Executive Officer, President and Chairman of the</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7, 2017</w:t>
            </w:r>
          </w:p>
        </w:tc>
        <w:tc>
          <w:tcPr>
            <w:tcW w:w="1260" w:type="dxa"/>
            <w:vAlign w:val="bottom"/>
          </w:tcPr>
          <w:p>
            <w:pPr>
              <w:spacing w:after="0"/>
              <w:rPr>
                <w:sz w:val="18"/>
                <w:szCs w:val="18"/>
                <w:color w:val="auto"/>
              </w:rPr>
            </w:pPr>
          </w:p>
        </w:tc>
      </w:tr>
      <w:tr>
        <w:trPr>
          <w:trHeight w:val="182"/>
        </w:trPr>
        <w:tc>
          <w:tcPr>
            <w:tcW w:w="120" w:type="dxa"/>
            <w:vAlign w:val="bottom"/>
          </w:tcPr>
          <w:p>
            <w:pPr>
              <w:spacing w:after="0"/>
              <w:rPr>
                <w:sz w:val="15"/>
                <w:szCs w:val="15"/>
                <w:color w:val="auto"/>
              </w:rPr>
            </w:pPr>
          </w:p>
        </w:tc>
        <w:tc>
          <w:tcPr>
            <w:tcW w:w="2340" w:type="dxa"/>
            <w:vAlign w:val="bottom"/>
          </w:tcPr>
          <w:p>
            <w:pPr>
              <w:ind w:left="20"/>
              <w:spacing w:after="0" w:line="182" w:lineRule="exact"/>
              <w:rPr>
                <w:sz w:val="20"/>
                <w:szCs w:val="20"/>
                <w:color w:val="auto"/>
              </w:rPr>
            </w:pPr>
            <w:r>
              <w:rPr>
                <w:rFonts w:ascii="Arial" w:cs="Arial" w:eastAsia="Arial" w:hAnsi="Arial"/>
                <w:sz w:val="18"/>
                <w:szCs w:val="18"/>
                <w:color w:val="auto"/>
              </w:rPr>
              <w:t>Joseph B. Alala III</w:t>
            </w:r>
          </w:p>
        </w:tc>
        <w:tc>
          <w:tcPr>
            <w:tcW w:w="160" w:type="dxa"/>
            <w:vAlign w:val="bottom"/>
          </w:tcPr>
          <w:p>
            <w:pPr>
              <w:spacing w:after="0"/>
              <w:rPr>
                <w:sz w:val="15"/>
                <w:szCs w:val="15"/>
                <w:color w:val="auto"/>
              </w:rPr>
            </w:pPr>
          </w:p>
        </w:tc>
        <w:tc>
          <w:tcPr>
            <w:tcW w:w="4240" w:type="dxa"/>
            <w:vAlign w:val="bottom"/>
          </w:tcPr>
          <w:p>
            <w:pPr>
              <w:ind w:left="20"/>
              <w:spacing w:after="0" w:line="182" w:lineRule="exact"/>
              <w:rPr>
                <w:sz w:val="20"/>
                <w:szCs w:val="20"/>
                <w:color w:val="auto"/>
              </w:rPr>
            </w:pPr>
            <w:r>
              <w:rPr>
                <w:rFonts w:ascii="Arial" w:cs="Arial" w:eastAsia="Arial" w:hAnsi="Arial"/>
                <w:sz w:val="18"/>
                <w:szCs w:val="18"/>
                <w:color w:val="auto"/>
              </w:rPr>
              <w:t>Board of Directors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6"/>
        </w:trPr>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Arnall</w:t>
            </w: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7, 2017</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340" w:type="dxa"/>
            <w:vAlign w:val="bottom"/>
          </w:tcPr>
          <w:p>
            <w:pPr>
              <w:ind w:left="20"/>
              <w:spacing w:after="0" w:line="195" w:lineRule="exact"/>
              <w:rPr>
                <w:sz w:val="20"/>
                <w:szCs w:val="20"/>
                <w:color w:val="auto"/>
              </w:rPr>
            </w:pPr>
            <w:r>
              <w:rPr>
                <w:rFonts w:ascii="Arial" w:cs="Arial" w:eastAsia="Arial" w:hAnsi="Arial"/>
                <w:sz w:val="18"/>
                <w:szCs w:val="18"/>
                <w:color w:val="auto"/>
              </w:rPr>
              <w:t>Stephen A. Arnall</w:t>
            </w:r>
          </w:p>
        </w:tc>
        <w:tc>
          <w:tcPr>
            <w:tcW w:w="160" w:type="dxa"/>
            <w:vAlign w:val="bottom"/>
          </w:tcPr>
          <w:p>
            <w:pPr>
              <w:spacing w:after="0"/>
              <w:rPr>
                <w:sz w:val="16"/>
                <w:szCs w:val="16"/>
                <w:color w:val="auto"/>
              </w:rPr>
            </w:pPr>
          </w:p>
        </w:tc>
        <w:tc>
          <w:tcPr>
            <w:tcW w:w="4240" w:type="dxa"/>
            <w:vAlign w:val="bottom"/>
          </w:tcPr>
          <w:p>
            <w:pPr>
              <w:ind w:left="20"/>
              <w:spacing w:after="0" w:line="195" w:lineRule="exact"/>
              <w:rPr>
                <w:sz w:val="20"/>
                <w:szCs w:val="20"/>
                <w:color w:val="auto"/>
              </w:rPr>
            </w:pPr>
            <w:r>
              <w:rPr>
                <w:rFonts w:ascii="Arial" w:cs="Arial" w:eastAsia="Arial" w:hAnsi="Arial"/>
                <w:sz w:val="18"/>
                <w:szCs w:val="18"/>
                <w:i w:val="1"/>
                <w:iCs w:val="1"/>
                <w:color w:val="auto"/>
              </w:rPr>
              <w:t>(Principal Financial and Accounting Officer)</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 Hunt Broyhill</w:t>
            </w: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7, 2017</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340" w:type="dxa"/>
            <w:vAlign w:val="bottom"/>
          </w:tcPr>
          <w:p>
            <w:pPr>
              <w:ind w:left="20"/>
              <w:spacing w:after="0" w:line="195" w:lineRule="exact"/>
              <w:rPr>
                <w:sz w:val="20"/>
                <w:szCs w:val="20"/>
                <w:color w:val="auto"/>
              </w:rPr>
            </w:pPr>
            <w:r>
              <w:rPr>
                <w:rFonts w:ascii="Arial" w:cs="Arial" w:eastAsia="Arial" w:hAnsi="Arial"/>
                <w:sz w:val="18"/>
                <w:szCs w:val="18"/>
                <w:color w:val="auto"/>
              </w:rPr>
              <w:t>M. Hunt Broyhill</w:t>
            </w:r>
          </w:p>
        </w:tc>
        <w:tc>
          <w:tcPr>
            <w:tcW w:w="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Charles Moyer</w:t>
            </w: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7, 2017</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340" w:type="dxa"/>
            <w:vAlign w:val="bottom"/>
          </w:tcPr>
          <w:p>
            <w:pPr>
              <w:ind w:left="20"/>
              <w:spacing w:after="0" w:line="195" w:lineRule="exact"/>
              <w:rPr>
                <w:sz w:val="20"/>
                <w:szCs w:val="20"/>
                <w:color w:val="auto"/>
              </w:rPr>
            </w:pPr>
            <w:r>
              <w:rPr>
                <w:rFonts w:ascii="Arial" w:cs="Arial" w:eastAsia="Arial" w:hAnsi="Arial"/>
                <w:sz w:val="18"/>
                <w:szCs w:val="18"/>
                <w:color w:val="auto"/>
              </w:rPr>
              <w:t>R. Charles Moyer</w:t>
            </w:r>
          </w:p>
        </w:tc>
        <w:tc>
          <w:tcPr>
            <w:tcW w:w="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Larry W. Carroll</w:t>
            </w: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7, 2017</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340" w:type="dxa"/>
            <w:vAlign w:val="bottom"/>
          </w:tcPr>
          <w:p>
            <w:pPr>
              <w:ind w:left="20"/>
              <w:spacing w:after="0" w:line="195" w:lineRule="exact"/>
              <w:rPr>
                <w:sz w:val="20"/>
                <w:szCs w:val="20"/>
                <w:color w:val="auto"/>
              </w:rPr>
            </w:pPr>
            <w:r>
              <w:rPr>
                <w:rFonts w:ascii="Arial" w:cs="Arial" w:eastAsia="Arial" w:hAnsi="Arial"/>
                <w:sz w:val="18"/>
                <w:szCs w:val="18"/>
                <w:color w:val="auto"/>
              </w:rPr>
              <w:t>Larry W. Carroll</w:t>
            </w:r>
          </w:p>
        </w:tc>
        <w:tc>
          <w:tcPr>
            <w:tcW w:w="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 Paul Chapman</w:t>
            </w: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7, 2017</w:t>
            </w:r>
          </w:p>
        </w:tc>
        <w:tc>
          <w:tcPr>
            <w:tcW w:w="1260" w:type="dxa"/>
            <w:vAlign w:val="bottom"/>
          </w:tcPr>
          <w:p>
            <w:pPr>
              <w:spacing w:after="0"/>
              <w:rPr>
                <w:sz w:val="20"/>
                <w:szCs w:val="20"/>
                <w:color w:val="auto"/>
              </w:rPr>
            </w:pPr>
          </w:p>
        </w:tc>
      </w:tr>
      <w:tr>
        <w:trPr>
          <w:trHeight w:val="224"/>
        </w:trPr>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H. Paul Chapman</w:t>
            </w:r>
          </w:p>
        </w:tc>
        <w:tc>
          <w:tcPr>
            <w:tcW w:w="1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755"/>
        </w:trPr>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00" w:type="dxa"/>
            <w:vAlign w:val="bottom"/>
            <w:gridSpan w:val="2"/>
          </w:tcPr>
          <w:p>
            <w:pPr>
              <w:jc w:val="right"/>
              <w:ind w:right="1852"/>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3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64" w:name="page165"/>
    <w:bookmarkEnd w:id="164"/>
    <w:p>
      <w:pPr>
        <w:jc w:val="right"/>
        <w:ind w:right="519"/>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List of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Florida Sidecar Fund I, L.P. (Delaware)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CSP-Florida Mezzanine Fund I, LLC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Fund II Limited Partnership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F-II, LLC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SBIC Fund III, L.P.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SBIC F-III, LLC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455930</wp:posOffset>
            </wp:positionV>
            <wp:extent cx="6114415" cy="596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65" w:name="page166"/>
    <w:bookmarkEnd w:id="165"/>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59"/>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117" w:lineRule="exact"/>
        <w:rPr>
          <w:sz w:val="20"/>
          <w:szCs w:val="20"/>
          <w:color w:val="auto"/>
        </w:rPr>
      </w:pPr>
    </w:p>
    <w:p>
      <w:pPr>
        <w:ind w:left="500" w:hanging="26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Capitala Finance Corp.;</w:t>
      </w:r>
    </w:p>
    <w:p>
      <w:pPr>
        <w:spacing w:after="0" w:line="117" w:lineRule="exact"/>
        <w:rPr>
          <w:rFonts w:ascii="Arial" w:cs="Arial" w:eastAsia="Arial" w:hAnsi="Arial"/>
          <w:sz w:val="18"/>
          <w:szCs w:val="18"/>
          <w:color w:val="auto"/>
        </w:rPr>
      </w:pPr>
    </w:p>
    <w:p>
      <w:pPr>
        <w:ind w:left="500" w:right="699" w:hanging="262"/>
        <w:spacing w:after="0" w:line="264"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00" w:right="539" w:hanging="262"/>
        <w:spacing w:after="0" w:line="264"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00" w:right="879" w:hanging="262"/>
        <w:spacing w:after="0" w:line="286" w:lineRule="auto"/>
        <w:tabs>
          <w:tab w:leader="none" w:pos="5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780" w:right="539" w:hanging="272"/>
        <w:spacing w:after="0" w:line="264" w:lineRule="auto"/>
        <w:tabs>
          <w:tab w:leader="none" w:pos="7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right="739" w:hanging="272"/>
        <w:spacing w:after="0" w:line="312" w:lineRule="auto"/>
        <w:tabs>
          <w:tab w:leader="none" w:pos="78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780" w:right="599" w:hanging="272"/>
        <w:spacing w:after="0" w:line="264" w:lineRule="auto"/>
        <w:tabs>
          <w:tab w:leader="none" w:pos="7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73" w:lineRule="exact"/>
        <w:rPr>
          <w:rFonts w:ascii="Arial" w:cs="Arial" w:eastAsia="Arial" w:hAnsi="Arial"/>
          <w:sz w:val="18"/>
          <w:szCs w:val="18"/>
          <w:color w:val="auto"/>
        </w:rPr>
      </w:pPr>
    </w:p>
    <w:p>
      <w:pPr>
        <w:ind w:left="780" w:right="719" w:hanging="272"/>
        <w:spacing w:after="0" w:line="259" w:lineRule="auto"/>
        <w:tabs>
          <w:tab w:leader="none" w:pos="7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00" w:right="639" w:hanging="262"/>
        <w:spacing w:after="0" w:line="264"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780" w:right="519" w:hanging="272"/>
        <w:spacing w:after="0" w:line="264" w:lineRule="auto"/>
        <w:tabs>
          <w:tab w:leader="none" w:pos="7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80" w:right="899" w:hanging="272"/>
        <w:spacing w:after="0" w:line="277" w:lineRule="auto"/>
        <w:tabs>
          <w:tab w:leader="none" w:pos="7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2017</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66" w:name="page167"/>
    <w:bookmarkEnd w:id="166"/>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59"/>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117" w:lineRule="exact"/>
        <w:rPr>
          <w:sz w:val="20"/>
          <w:szCs w:val="20"/>
          <w:color w:val="auto"/>
        </w:rPr>
      </w:pPr>
    </w:p>
    <w:p>
      <w:pPr>
        <w:ind w:left="500" w:hanging="262"/>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Capitala Finance Corp.;</w:t>
      </w:r>
    </w:p>
    <w:p>
      <w:pPr>
        <w:spacing w:after="0" w:line="117" w:lineRule="exact"/>
        <w:rPr>
          <w:rFonts w:ascii="Arial" w:cs="Arial" w:eastAsia="Arial" w:hAnsi="Arial"/>
          <w:sz w:val="18"/>
          <w:szCs w:val="18"/>
          <w:color w:val="auto"/>
        </w:rPr>
      </w:pPr>
    </w:p>
    <w:p>
      <w:pPr>
        <w:ind w:left="500" w:right="699" w:hanging="262"/>
        <w:spacing w:after="0" w:line="264"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00" w:right="539" w:hanging="262"/>
        <w:spacing w:after="0" w:line="264"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00" w:right="879" w:hanging="262"/>
        <w:spacing w:after="0" w:line="286" w:lineRule="auto"/>
        <w:tabs>
          <w:tab w:leader="none" w:pos="5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780" w:right="539" w:hanging="272"/>
        <w:spacing w:after="0" w:line="264" w:lineRule="auto"/>
        <w:tabs>
          <w:tab w:leader="none" w:pos="7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right="739" w:hanging="272"/>
        <w:spacing w:after="0" w:line="312" w:lineRule="auto"/>
        <w:tabs>
          <w:tab w:leader="none" w:pos="7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780" w:right="599" w:hanging="272"/>
        <w:spacing w:after="0" w:line="264" w:lineRule="auto"/>
        <w:tabs>
          <w:tab w:leader="none" w:pos="7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73" w:lineRule="exact"/>
        <w:rPr>
          <w:rFonts w:ascii="Arial" w:cs="Arial" w:eastAsia="Arial" w:hAnsi="Arial"/>
          <w:sz w:val="18"/>
          <w:szCs w:val="18"/>
          <w:color w:val="auto"/>
        </w:rPr>
      </w:pPr>
    </w:p>
    <w:p>
      <w:pPr>
        <w:ind w:left="780" w:right="719" w:hanging="272"/>
        <w:spacing w:after="0" w:line="259" w:lineRule="auto"/>
        <w:tabs>
          <w:tab w:leader="none" w:pos="7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00" w:right="639" w:hanging="262"/>
        <w:spacing w:after="0" w:line="264"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780" w:right="519" w:hanging="272"/>
        <w:spacing w:after="0" w:line="264" w:lineRule="auto"/>
        <w:tabs>
          <w:tab w:leader="none" w:pos="7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80" w:right="899" w:hanging="272"/>
        <w:spacing w:after="0" w:line="277" w:lineRule="auto"/>
        <w:tabs>
          <w:tab w:leader="none" w:pos="7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2017</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15240</wp:posOffset>
            </wp:positionV>
            <wp:extent cx="397891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67" w:name="page168"/>
    <w:bookmarkEnd w:id="167"/>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739" w:firstLine="270"/>
        <w:spacing w:after="0" w:line="312" w:lineRule="auto"/>
        <w:rPr>
          <w:sz w:val="20"/>
          <w:szCs w:val="20"/>
          <w:color w:val="auto"/>
        </w:rPr>
      </w:pPr>
      <w:r>
        <w:rPr>
          <w:rFonts w:ascii="Arial" w:cs="Arial" w:eastAsia="Arial" w:hAnsi="Arial"/>
          <w:sz w:val="16"/>
          <w:szCs w:val="16"/>
          <w:color w:val="auto"/>
        </w:rPr>
        <w:t>In connection with the Annual Report on Form 10-K of Capitala Finance Corp. (the “Company”) for the annual period ended December 31, 2016, as filed with the Securities Exchange Commission on the date hereof (the “Report”), I, Joseph B. Alala III, Chief Executive Officer of the Company, certify, pursuant to Section 906 of the Sarbanes-Oxley Act of 2002, that:</w:t>
      </w:r>
    </w:p>
    <w:p>
      <w:pPr>
        <w:spacing w:after="0" w:line="39" w:lineRule="exact"/>
        <w:rPr>
          <w:sz w:val="20"/>
          <w:szCs w:val="20"/>
          <w:color w:val="auto"/>
        </w:rPr>
      </w:pPr>
    </w:p>
    <w:p>
      <w:pPr>
        <w:ind w:left="500" w:right="1079" w:hanging="262"/>
        <w:spacing w:after="0" w:line="277"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2017</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68" w:name="page169"/>
    <w:bookmarkEnd w:id="168"/>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739" w:firstLine="270"/>
        <w:spacing w:after="0" w:line="286" w:lineRule="auto"/>
        <w:rPr>
          <w:sz w:val="20"/>
          <w:szCs w:val="20"/>
          <w:color w:val="auto"/>
        </w:rPr>
      </w:pPr>
      <w:r>
        <w:rPr>
          <w:rFonts w:ascii="Arial" w:cs="Arial" w:eastAsia="Arial" w:hAnsi="Arial"/>
          <w:sz w:val="17"/>
          <w:szCs w:val="17"/>
          <w:color w:val="auto"/>
        </w:rPr>
        <w:t>In connection with the Annual Report on Form 10-K of Capitala Finance Corp. (the “Company”) for the annual period ended December 31, 2016, as filed with the Securities Exchange Commission on the date hereof (the “Report”), I, Stephen A. Arnall, Chief Financial Officer of the Company, certify, pursuant to Section 906 of the Sarbanes-Oxley Act of 2002, that:</w:t>
      </w:r>
    </w:p>
    <w:p>
      <w:pPr>
        <w:spacing w:after="0" w:line="57" w:lineRule="exact"/>
        <w:rPr>
          <w:sz w:val="20"/>
          <w:szCs w:val="20"/>
          <w:color w:val="auto"/>
        </w:rPr>
      </w:pPr>
    </w:p>
    <w:p>
      <w:pPr>
        <w:ind w:left="500" w:right="1079" w:hanging="262"/>
        <w:spacing w:after="0" w:line="277" w:lineRule="auto"/>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2017</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x"/>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1"/>
      <w:numFmt w:val="bullet"/>
      <w:start w:val="1"/>
    </w:lvl>
  </w:abstractNum>
  <w:abstractNum w:abstractNumId="9">
    <w:nsid w:val="38437FDB"/>
    <w:multiLevelType w:val="hybridMultilevel"/>
    <w:lvl w:ilvl="0">
      <w:lvlJc w:val="left"/>
      <w:lvlText w:val="2"/>
      <w:numFmt w:val="bullet"/>
      <w:start w:val="1"/>
    </w:lvl>
  </w:abstractNum>
  <w:abstractNum w:abstractNumId="10">
    <w:nsid w:val="7644A45C"/>
    <w:multiLevelType w:val="hybridMultilevel"/>
    <w:lvl w:ilvl="0">
      <w:lvlJc w:val="left"/>
      <w:lvlText w:val="3"/>
      <w:numFmt w:val="bullet"/>
      <w:start w:val="1"/>
    </w:lvl>
  </w:abstractNum>
  <w:abstractNum w:abstractNumId="11">
    <w:nsid w:val="32FFF902"/>
    <w:multiLevelType w:val="hybridMultilevel"/>
    <w:lvl w:ilvl="0">
      <w:lvlJc w:val="left"/>
      <w:lvlText w:val="4"/>
      <w:numFmt w:val="bullet"/>
      <w:start w:val="1"/>
    </w:lvl>
  </w:abstractNum>
  <w:abstractNum w:abstractNumId="12">
    <w:nsid w:val="684A481A"/>
    <w:multiLevelType w:val="hybridMultilevel"/>
    <w:lvl w:ilvl="0">
      <w:lvlJc w:val="left"/>
      <w:lvlText w:val="5"/>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decimal"/>
    </w:lvl>
    <w:lvl w:ilvl="1">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decimal"/>
    </w:lvl>
    <w:lvl w:ilvl="1">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lvl w:ilvl="1">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1)"/>
      <w:numFmt w:val="decimal"/>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1)"/>
      <w:numFmt w:val="decimal"/>
      <w:start w:val="2"/>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bullet"/>
      <w:start w:val="1"/>
    </w:lvl>
  </w:abstractNum>
  <w:abstractNum w:abstractNumId="49">
    <w:nsid w:val="1381823A"/>
    <w:multiLevelType w:val="hybridMultilevel"/>
    <w:lvl w:ilvl="0">
      <w:lvlJc w:val="left"/>
      <w:lvlText w:val="2"/>
      <w:numFmt w:val="bullet"/>
      <w:start w:val="1"/>
    </w:lvl>
  </w:abstractNum>
  <w:abstractNum w:abstractNumId="50">
    <w:nsid w:val="5DB70AE5"/>
    <w:multiLevelType w:val="hybridMultilevel"/>
    <w:lvl w:ilvl="0">
      <w:lvlJc w:val="left"/>
      <w:lvlText w:val="3"/>
      <w:numFmt w:val="bullet"/>
      <w:start w:val="1"/>
    </w:lvl>
  </w:abstractNum>
  <w:abstractNum w:abstractNumId="51">
    <w:nsid w:val="100F8FCA"/>
    <w:multiLevelType w:val="hybridMultilevel"/>
    <w:lvl w:ilvl="0">
      <w:lvlJc w:val="left"/>
      <w:lvlText w:val="4"/>
      <w:numFmt w:val="bullet"/>
      <w:start w:val="1"/>
    </w:lvl>
  </w:abstractNum>
  <w:abstractNum w:abstractNumId="52">
    <w:nsid w:val="6590700B"/>
    <w:multiLevelType w:val="hybridMultilevel"/>
    <w:lvl w:ilvl="0">
      <w:lvlJc w:val="left"/>
      <w:lvlText w:val="5"/>
      <w:numFmt w:val="bullet"/>
      <w:start w:val="1"/>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decimal"/>
      <w:start w:val="1"/>
    </w:lvl>
  </w:abstractNum>
  <w:abstractNum w:abstractNumId="55">
    <w:nsid w:val="98A3148"/>
    <w:multiLevelType w:val="hybridMultilevel"/>
    <w:lvl w:ilvl="0">
      <w:lvlJc w:val="left"/>
      <w:lvlText w:val="(%1)"/>
      <w:numFmt w:val="lowerRoman"/>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1)"/>
      <w:numFmt w:val="decimal"/>
      <w:start w:val="1"/>
    </w:lvl>
  </w:abstractNum>
  <w:abstractNum w:abstractNumId="61">
    <w:nsid w:val="661E3F1E"/>
    <w:multiLevelType w:val="hybridMultilevel"/>
    <w:lvl w:ilvl="0">
      <w:lvlJc w:val="left"/>
      <w:lvlText w:val="(%1)"/>
      <w:numFmt w:val="decimal"/>
      <w:start w:val="1"/>
    </w:lvl>
  </w:abstractNum>
  <w:abstractNum w:abstractNumId="62">
    <w:nsid w:val="5DC79EA8"/>
    <w:multiLevelType w:val="hybridMultilevel"/>
    <w:lvl w:ilvl="0">
      <w:lvlJc w:val="left"/>
      <w:lvlText w:val="(%1)"/>
      <w:numFmt w:val="decimal"/>
      <w:start w:val="5"/>
    </w:lvl>
  </w:abstractNum>
  <w:abstractNum w:abstractNumId="63">
    <w:nsid w:val="540A471C"/>
    <w:multiLevelType w:val="hybridMultilevel"/>
    <w:lvl w:ilvl="0">
      <w:lvlJc w:val="left"/>
      <w:lvlText w:val="(%1)"/>
      <w:numFmt w:val="decimal"/>
      <w:start w:val="12"/>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12"/>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1)"/>
      <w:numFmt w:val="decimal"/>
      <w:start w:val="1"/>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1)"/>
      <w:numFmt w:val="decimal"/>
      <w:start w:val="1"/>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1)"/>
      <w:numFmt w:val="decimal"/>
      <w:start w:val="3"/>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decimal"/>
      <w:start w:val="1"/>
    </w:lvl>
  </w:abstractNum>
  <w:abstractNum w:abstractNumId="78">
    <w:nsid w:val="14330624"/>
    <w:multiLevelType w:val="hybridMultilevel"/>
    <w:lvl w:ilvl="0">
      <w:lvlJc w:val="left"/>
      <w:lvlText w:val="(%1)"/>
      <w:numFmt w:val="decimal"/>
      <w:start w:val="3"/>
    </w:lvl>
  </w:abstractNum>
  <w:abstractNum w:abstractNumId="79">
    <w:nsid w:val="7FFFCA11"/>
    <w:multiLevelType w:val="hybridMultilevel"/>
    <w:lvl w:ilvl="0">
      <w:lvlJc w:val="left"/>
      <w:lvlText w:val="(%1)"/>
      <w:numFmt w:val="decimal"/>
      <w:start w:val="1"/>
    </w:lvl>
  </w:abstractNum>
  <w:abstractNum w:abstractNumId="80">
    <w:nsid w:val="1A27709E"/>
    <w:multiLevelType w:val="hybridMultilevel"/>
    <w:lvl w:ilvl="0">
      <w:lvlJc w:val="left"/>
      <w:lvlText w:val="(%1)"/>
      <w:numFmt w:val="decimal"/>
      <w:start w:val="1"/>
    </w:lvl>
    <w:lvl w:ilvl="1">
      <w:lvlJc w:val="left"/>
      <w:lvlText w:val="%2"/>
      <w:numFmt w:val="lowerLetter"/>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2019-12-29T07:38:26Z</dcterms:created>
  <dcterms:modified xsi:type="dcterms:W3CDTF">2019-12-29T07:38:26Z</dcterms:modified>
</cp:coreProperties>
</file>