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486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86650"/>
                    </a:xfrm>
                    <a:prstGeom prst="rect">
                      <a:avLst/>
                    </a:prstGeom>
                    <a:noFill/>
                  </pic:spPr>
                </pic:pic>
              </a:graphicData>
            </a:graphic>
          </wp:anchor>
        </w:drawing>
      </w:r>
    </w:p>
    <w:p>
      <w:pPr>
        <w:spacing w:after="0" w:line="96" w:lineRule="exact"/>
        <w:rPr>
          <w:sz w:val="24"/>
          <w:szCs w:val="24"/>
          <w:color w:val="auto"/>
        </w:rPr>
      </w:pPr>
    </w:p>
    <w:p>
      <w:pPr>
        <w:sectPr>
          <w:pgSz w:w="11900" w:h="16882" w:orient="portrait"/>
          <w:cols w:equalWidth="0" w:num="2">
            <w:col w:w="2380" w:space="240"/>
            <w:col w:w="8780"/>
          </w:cols>
          <w:pgMar w:left="240" w:top="226" w:right="2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Alala Joseph B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CAPITALA FINANCE CORP.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4201 CONGRESS STREET, SUITE 360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Capitala Finance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CPTA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Chairman BoD, CEO, President</w:t>
      </w:r>
    </w:p>
    <w:p>
      <w:pPr>
        <w:spacing w:after="0" w:line="432" w:lineRule="exact"/>
        <w:rPr>
          <w:sz w:val="24"/>
          <w:szCs w:val="24"/>
          <w:color w:val="auto"/>
        </w:rPr>
      </w:pPr>
    </w:p>
    <w:p>
      <w:pPr>
        <w:sectPr>
          <w:pgSz w:w="11900" w:h="16882" w:orient="portrait"/>
          <w:cols w:equalWidth="0" w:num="3">
            <w:col w:w="3360" w:space="720"/>
            <w:col w:w="3257" w:space="720"/>
            <w:col w:w="3343"/>
          </w:cols>
          <w:pgMar w:left="240" w:top="226" w:right="259" w:bottom="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CHARLOTTE</w:t>
            </w:r>
          </w:p>
        </w:tc>
        <w:tc>
          <w:tcPr>
            <w:tcW w:w="960" w:type="dxa"/>
            <w:vAlign w:val="bottom"/>
          </w:tcPr>
          <w:p>
            <w:pPr>
              <w:ind w:left="120"/>
              <w:spacing w:after="0"/>
              <w:rPr>
                <w:sz w:val="20"/>
                <w:szCs w:val="20"/>
                <w:color w:val="auto"/>
              </w:rPr>
            </w:pPr>
            <w:r>
              <w:rPr>
                <w:rFonts w:ascii="Arial" w:cs="Arial" w:eastAsia="Arial" w:hAnsi="Arial"/>
                <w:sz w:val="18"/>
                <w:szCs w:val="18"/>
                <w:color w:val="0000FF"/>
              </w:rPr>
              <w:t>NC</w:t>
            </w:r>
          </w:p>
        </w:tc>
        <w:tc>
          <w:tcPr>
            <w:tcW w:w="1680" w:type="dxa"/>
            <w:vAlign w:val="bottom"/>
          </w:tcPr>
          <w:p>
            <w:pPr>
              <w:ind w:left="420"/>
              <w:spacing w:after="0"/>
              <w:rPr>
                <w:sz w:val="20"/>
                <w:szCs w:val="20"/>
                <w:color w:val="auto"/>
              </w:rPr>
            </w:pPr>
            <w:r>
              <w:rPr>
                <w:rFonts w:ascii="Arial" w:cs="Arial" w:eastAsia="Arial" w:hAnsi="Arial"/>
                <w:sz w:val="18"/>
                <w:szCs w:val="18"/>
                <w:color w:val="0000FF"/>
              </w:rPr>
              <w:t>28209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82" w:orient="portrait"/>
          <w:cols w:equalWidth="0" w:num="2">
            <w:col w:w="3920" w:space="160"/>
            <w:col w:w="7320"/>
          </w:cols>
          <w:pgMar w:left="240" w:top="226"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3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3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60" w:type="dxa"/>
            <w:vAlign w:val="bottom"/>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 Owned</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 Reported</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3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6"/>
                <w:szCs w:val="6"/>
                <w:color w:val="auto"/>
              </w:rPr>
            </w:pPr>
          </w:p>
        </w:tc>
        <w:tc>
          <w:tcPr>
            <w:tcW w:w="10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0000FF"/>
              </w:rPr>
              <w:t>via Capitala</w:t>
            </w:r>
          </w:p>
        </w:tc>
        <w:tc>
          <w:tcPr>
            <w:tcW w:w="0" w:type="dxa"/>
            <w:vAlign w:val="bottom"/>
          </w:tcPr>
          <w:p>
            <w:pPr>
              <w:spacing w:after="0"/>
              <w:rPr>
                <w:sz w:val="1"/>
                <w:szCs w:val="1"/>
                <w:color w:val="auto"/>
              </w:rPr>
            </w:pPr>
          </w:p>
        </w:tc>
      </w:tr>
      <w:tr>
        <w:trPr>
          <w:trHeight w:val="216"/>
        </w:trPr>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vMerge w:val="restart"/>
          </w:tcPr>
          <w:p>
            <w:pPr>
              <w:jc w:val="right"/>
              <w:ind w:right="92"/>
              <w:spacing w:after="0"/>
              <w:rPr>
                <w:sz w:val="20"/>
                <w:szCs w:val="20"/>
                <w:color w:val="auto"/>
              </w:rPr>
            </w:pPr>
            <w:r>
              <w:rPr>
                <w:rFonts w:ascii="Arial" w:cs="Arial" w:eastAsia="Arial" w:hAnsi="Arial"/>
                <w:sz w:val="18"/>
                <w:szCs w:val="18"/>
                <w:color w:val="0000FF"/>
              </w:rPr>
              <w:t>03/23/2015</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color w:val="0000FF"/>
              </w:rPr>
              <w:t>7,409</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18.7601</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0000FF"/>
                <w:w w:val="86"/>
              </w:rPr>
              <w:t>137,982</w:t>
            </w:r>
            <w:r>
              <w:rPr>
                <w:rFonts w:ascii="Arial" w:cs="Arial" w:eastAsia="Arial" w:hAnsi="Arial"/>
                <w:sz w:val="22"/>
                <w:szCs w:val="22"/>
                <w:color w:val="008000"/>
                <w:w w:val="86"/>
                <w:vertAlign w:val="superscript"/>
              </w:rPr>
              <w:t>(1)</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40" w:type="dxa"/>
            <w:vAlign w:val="bottom"/>
          </w:tcPr>
          <w:p>
            <w:pPr>
              <w:ind w:left="60"/>
              <w:spacing w:after="0"/>
              <w:rPr>
                <w:sz w:val="20"/>
                <w:szCs w:val="20"/>
                <w:color w:val="auto"/>
              </w:rPr>
            </w:pPr>
            <w:r>
              <w:rPr>
                <w:rFonts w:ascii="Arial" w:cs="Arial" w:eastAsia="Arial" w:hAnsi="Arial"/>
                <w:sz w:val="18"/>
                <w:szCs w:val="18"/>
                <w:color w:val="0000FF"/>
              </w:rPr>
              <w:t>Private</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0000FF"/>
                <w:w w:val="98"/>
              </w:rPr>
              <w:t>Investments</w:t>
            </w:r>
          </w:p>
        </w:tc>
        <w:tc>
          <w:tcPr>
            <w:tcW w:w="0" w:type="dxa"/>
            <w:vAlign w:val="bottom"/>
          </w:tcPr>
          <w:p>
            <w:pPr>
              <w:spacing w:after="0"/>
              <w:rPr>
                <w:sz w:val="1"/>
                <w:szCs w:val="1"/>
                <w:color w:val="auto"/>
              </w:rPr>
            </w:pPr>
          </w:p>
        </w:tc>
      </w:tr>
      <w:tr>
        <w:trPr>
          <w:trHeight w:val="46"/>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0000FF"/>
              </w:rPr>
              <w:t>via Capitala</w:t>
            </w:r>
          </w:p>
        </w:tc>
        <w:tc>
          <w:tcPr>
            <w:tcW w:w="0" w:type="dxa"/>
            <w:vAlign w:val="bottom"/>
          </w:tcPr>
          <w:p>
            <w:pPr>
              <w:spacing w:after="0"/>
              <w:rPr>
                <w:sz w:val="1"/>
                <w:szCs w:val="1"/>
                <w:color w:val="auto"/>
              </w:rPr>
            </w:pPr>
          </w:p>
        </w:tc>
      </w:tr>
      <w:tr>
        <w:trPr>
          <w:trHeight w:val="216"/>
        </w:trPr>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color w:val="0000FF"/>
                <w:w w:val="83"/>
              </w:rPr>
              <w:t>594,598.85</w:t>
            </w:r>
            <w:r>
              <w:rPr>
                <w:rFonts w:ascii="Arial" w:cs="Arial" w:eastAsia="Arial" w:hAnsi="Arial"/>
                <w:sz w:val="22"/>
                <w:szCs w:val="22"/>
                <w:color w:val="008000"/>
                <w:w w:val="83"/>
                <w:vertAlign w:val="superscript"/>
              </w:rPr>
              <w:t>(1)(2)(3)</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40" w:type="dxa"/>
            <w:vAlign w:val="bottom"/>
          </w:tcPr>
          <w:p>
            <w:pPr>
              <w:ind w:left="60"/>
              <w:spacing w:after="0"/>
              <w:rPr>
                <w:sz w:val="20"/>
                <w:szCs w:val="20"/>
                <w:color w:val="auto"/>
              </w:rPr>
            </w:pPr>
            <w:r>
              <w:rPr>
                <w:rFonts w:ascii="Arial" w:cs="Arial" w:eastAsia="Arial" w:hAnsi="Arial"/>
                <w:sz w:val="18"/>
                <w:szCs w:val="18"/>
                <w:color w:val="0000FF"/>
              </w:rPr>
              <w:t>Restricted</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0000FF"/>
              </w:rPr>
              <w:t>Shares I,</w:t>
            </w:r>
          </w:p>
        </w:tc>
        <w:tc>
          <w:tcPr>
            <w:tcW w:w="0" w:type="dxa"/>
            <w:vAlign w:val="bottom"/>
          </w:tcPr>
          <w:p>
            <w:pPr>
              <w:spacing w:after="0"/>
              <w:rPr>
                <w:sz w:val="1"/>
                <w:szCs w:val="1"/>
                <w:color w:val="auto"/>
              </w:rPr>
            </w:pPr>
          </w:p>
        </w:tc>
      </w:tr>
      <w:tr>
        <w:trPr>
          <w:trHeight w:val="46"/>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0000FF"/>
              </w:rPr>
              <w:t>via Capitala</w:t>
            </w:r>
          </w:p>
        </w:tc>
        <w:tc>
          <w:tcPr>
            <w:tcW w:w="0" w:type="dxa"/>
            <w:vAlign w:val="bottom"/>
          </w:tcPr>
          <w:p>
            <w:pPr>
              <w:spacing w:after="0"/>
              <w:rPr>
                <w:sz w:val="1"/>
                <w:szCs w:val="1"/>
                <w:color w:val="auto"/>
              </w:rPr>
            </w:pPr>
          </w:p>
        </w:tc>
      </w:tr>
      <w:tr>
        <w:trPr>
          <w:trHeight w:val="216"/>
        </w:trPr>
        <w:tc>
          <w:tcPr>
            <w:tcW w:w="23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center"/>
              <w:spacing w:after="0" w:line="217" w:lineRule="exact"/>
              <w:rPr>
                <w:sz w:val="20"/>
                <w:szCs w:val="20"/>
                <w:color w:val="auto"/>
              </w:rPr>
            </w:pPr>
            <w:r>
              <w:rPr>
                <w:rFonts w:ascii="Arial" w:cs="Arial" w:eastAsia="Arial" w:hAnsi="Arial"/>
                <w:sz w:val="18"/>
                <w:szCs w:val="18"/>
                <w:color w:val="0000FF"/>
                <w:w w:val="82"/>
              </w:rPr>
              <w:t>2,705</w:t>
            </w:r>
            <w:r>
              <w:rPr>
                <w:rFonts w:ascii="Arial" w:cs="Arial" w:eastAsia="Arial" w:hAnsi="Arial"/>
                <w:sz w:val="22"/>
                <w:szCs w:val="22"/>
                <w:color w:val="008000"/>
                <w:w w:val="82"/>
                <w:vertAlign w:val="superscript"/>
              </w:rPr>
              <w:t>(1)</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40" w:type="dxa"/>
            <w:vAlign w:val="bottom"/>
          </w:tcPr>
          <w:p>
            <w:pPr>
              <w:ind w:left="60"/>
              <w:spacing w:after="0"/>
              <w:rPr>
                <w:sz w:val="20"/>
                <w:szCs w:val="20"/>
                <w:color w:val="auto"/>
              </w:rPr>
            </w:pPr>
            <w:r>
              <w:rPr>
                <w:rFonts w:ascii="Arial" w:cs="Arial" w:eastAsia="Arial" w:hAnsi="Arial"/>
                <w:sz w:val="18"/>
                <w:szCs w:val="18"/>
                <w:color w:val="0000FF"/>
              </w:rPr>
              <w:t>Transaction</w:t>
            </w:r>
          </w:p>
        </w:tc>
        <w:tc>
          <w:tcPr>
            <w:tcW w:w="0" w:type="dxa"/>
            <w:vAlign w:val="bottom"/>
          </w:tcPr>
          <w:p>
            <w:pPr>
              <w:spacing w:after="0"/>
              <w:rPr>
                <w:sz w:val="1"/>
                <w:szCs w:val="1"/>
                <w:color w:val="auto"/>
              </w:rPr>
            </w:pPr>
          </w:p>
        </w:tc>
      </w:tr>
      <w:tr>
        <w:trPr>
          <w:trHeight w:val="222"/>
        </w:trPr>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0000FF"/>
              </w:rPr>
              <w:t>Corp.</w:t>
            </w:r>
          </w:p>
        </w:tc>
        <w:tc>
          <w:tcPr>
            <w:tcW w:w="0" w:type="dxa"/>
            <w:vAlign w:val="bottom"/>
          </w:tcPr>
          <w:p>
            <w:pPr>
              <w:spacing w:after="0"/>
              <w:rPr>
                <w:sz w:val="1"/>
                <w:szCs w:val="1"/>
                <w:color w:val="auto"/>
              </w:rPr>
            </w:pPr>
          </w:p>
        </w:tc>
      </w:tr>
      <w:tr>
        <w:trPr>
          <w:trHeight w:val="63"/>
        </w:trPr>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0000FF"/>
              </w:rPr>
              <w:t>via</w:t>
            </w:r>
          </w:p>
        </w:tc>
        <w:tc>
          <w:tcPr>
            <w:tcW w:w="0" w:type="dxa"/>
            <w:vAlign w:val="bottom"/>
          </w:tcPr>
          <w:p>
            <w:pPr>
              <w:spacing w:after="0"/>
              <w:rPr>
                <w:sz w:val="1"/>
                <w:szCs w:val="1"/>
                <w:color w:val="auto"/>
              </w:rPr>
            </w:pPr>
          </w:p>
        </w:tc>
      </w:tr>
      <w:tr>
        <w:trPr>
          <w:trHeight w:val="216"/>
        </w:trPr>
        <w:tc>
          <w:tcPr>
            <w:tcW w:w="23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center"/>
              <w:spacing w:after="0" w:line="217" w:lineRule="exact"/>
              <w:rPr>
                <w:sz w:val="20"/>
                <w:szCs w:val="20"/>
                <w:color w:val="auto"/>
              </w:rPr>
            </w:pPr>
            <w:r>
              <w:rPr>
                <w:rFonts w:ascii="Arial" w:cs="Arial" w:eastAsia="Arial" w:hAnsi="Arial"/>
                <w:sz w:val="18"/>
                <w:szCs w:val="18"/>
                <w:color w:val="0000FF"/>
                <w:w w:val="83"/>
              </w:rPr>
              <w:t>972</w:t>
            </w:r>
            <w:r>
              <w:rPr>
                <w:rFonts w:ascii="Arial" w:cs="Arial" w:eastAsia="Arial" w:hAnsi="Arial"/>
                <w:sz w:val="22"/>
                <w:szCs w:val="22"/>
                <w:color w:val="008000"/>
                <w:w w:val="83"/>
                <w:vertAlign w:val="superscript"/>
              </w:rPr>
              <w:t>(1)</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40" w:type="dxa"/>
            <w:vAlign w:val="bottom"/>
          </w:tcPr>
          <w:p>
            <w:pPr>
              <w:ind w:left="60"/>
              <w:spacing w:after="0"/>
              <w:rPr>
                <w:sz w:val="20"/>
                <w:szCs w:val="20"/>
                <w:color w:val="auto"/>
              </w:rPr>
            </w:pPr>
            <w:r>
              <w:rPr>
                <w:rFonts w:ascii="Arial" w:cs="Arial" w:eastAsia="Arial" w:hAnsi="Arial"/>
                <w:sz w:val="18"/>
                <w:szCs w:val="18"/>
                <w:color w:val="0000FF"/>
                <w:w w:val="93"/>
              </w:rPr>
              <w:t>CapitalSouth</w:t>
            </w:r>
          </w:p>
        </w:tc>
        <w:tc>
          <w:tcPr>
            <w:tcW w:w="0" w:type="dxa"/>
            <w:vAlign w:val="bottom"/>
          </w:tcPr>
          <w:p>
            <w:pPr>
              <w:spacing w:after="0"/>
              <w:rPr>
                <w:sz w:val="1"/>
                <w:szCs w:val="1"/>
                <w:color w:val="auto"/>
              </w:rPr>
            </w:pPr>
          </w:p>
        </w:tc>
      </w:tr>
      <w:tr>
        <w:trPr>
          <w:trHeight w:val="222"/>
        </w:trPr>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0000FF"/>
              </w:rPr>
              <w:t>Corporation</w:t>
            </w:r>
          </w:p>
        </w:tc>
        <w:tc>
          <w:tcPr>
            <w:tcW w:w="0" w:type="dxa"/>
            <w:vAlign w:val="bottom"/>
          </w:tcPr>
          <w:p>
            <w:pPr>
              <w:spacing w:after="0"/>
              <w:rPr>
                <w:sz w:val="1"/>
                <w:szCs w:val="1"/>
                <w:color w:val="auto"/>
              </w:rPr>
            </w:pPr>
          </w:p>
        </w:tc>
      </w:tr>
      <w:tr>
        <w:trPr>
          <w:trHeight w:val="63"/>
        </w:trPr>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0000FF"/>
              </w:rPr>
              <w:t>via Capitala</w:t>
            </w:r>
          </w:p>
        </w:tc>
        <w:tc>
          <w:tcPr>
            <w:tcW w:w="0" w:type="dxa"/>
            <w:vAlign w:val="bottom"/>
          </w:tcPr>
          <w:p>
            <w:pPr>
              <w:spacing w:after="0"/>
              <w:rPr>
                <w:sz w:val="1"/>
                <w:szCs w:val="1"/>
                <w:color w:val="auto"/>
              </w:rPr>
            </w:pPr>
          </w:p>
        </w:tc>
      </w:tr>
      <w:tr>
        <w:trPr>
          <w:trHeight w:val="216"/>
        </w:trPr>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color w:val="0000FF"/>
                <w:w w:val="83"/>
              </w:rPr>
              <w:t>100</w:t>
            </w:r>
            <w:r>
              <w:rPr>
                <w:rFonts w:ascii="Arial" w:cs="Arial" w:eastAsia="Arial" w:hAnsi="Arial"/>
                <w:sz w:val="22"/>
                <w:szCs w:val="22"/>
                <w:color w:val="008000"/>
                <w:w w:val="83"/>
                <w:vertAlign w:val="superscript"/>
              </w:rPr>
              <w:t>(1)</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40" w:type="dxa"/>
            <w:vAlign w:val="bottom"/>
          </w:tcPr>
          <w:p>
            <w:pPr>
              <w:ind w:left="6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0000FF"/>
              </w:rPr>
              <w:t>Advisors,</w:t>
            </w:r>
          </w:p>
        </w:tc>
        <w:tc>
          <w:tcPr>
            <w:tcW w:w="0" w:type="dxa"/>
            <w:vAlign w:val="bottom"/>
          </w:tcPr>
          <w:p>
            <w:pPr>
              <w:spacing w:after="0"/>
              <w:rPr>
                <w:sz w:val="1"/>
                <w:szCs w:val="1"/>
                <w:color w:val="auto"/>
              </w:rPr>
            </w:pPr>
          </w:p>
        </w:tc>
      </w:tr>
      <w:tr>
        <w:trPr>
          <w:trHeight w:val="52"/>
        </w:trPr>
        <w:tc>
          <w:tcPr>
            <w:tcW w:w="2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420"/>
        <w:spacing w:after="0"/>
        <w:rPr>
          <w:sz w:val="20"/>
          <w:szCs w:val="20"/>
          <w:color w:val="auto"/>
        </w:rPr>
      </w:pPr>
      <w:r>
        <w:rPr>
          <w:rFonts w:ascii="Arial" w:cs="Arial" w:eastAsia="Arial" w:hAnsi="Arial"/>
          <w:sz w:val="18"/>
          <w:szCs w:val="18"/>
          <w:color w:val="0000FF"/>
        </w:rPr>
        <w:t>LLC</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Alala disclaims beneficial ownership of any of the Issuer's shares directly held by Capitala Private Investments LLC, Capitala Restricted Shares I, LLC ("CRS"), Capitala Transaction Corp., CapitalSouth Corporation and Capitala Investment Advisors, LLC, except to the extent of his pecuniary interest therein, and this report shall not be deemed an admission that Mr. Alala is the beneficial owner of such securities for purposes of Section 16 of the Securities Exchange Act of 1934, as amended, or any other purpose.</w:t>
      </w:r>
    </w:p>
    <w:p>
      <w:pPr>
        <w:spacing w:after="0" w:line="30" w:lineRule="exact"/>
        <w:rPr>
          <w:rFonts w:ascii="Arial" w:cs="Arial" w:eastAsia="Arial" w:hAnsi="Arial"/>
          <w:sz w:val="14"/>
          <w:szCs w:val="14"/>
          <w:color w:val="008000"/>
        </w:rPr>
      </w:pPr>
    </w:p>
    <w:p>
      <w:pPr>
        <w:ind w:left="40" w:right="10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CRS granted Awards with respect to the 594,598.85 shares held by CRS, which is controlled by Mr. Alala and is an affiliate of Capitala Investment Advisors, LLC, to certain of Capitala Investment Advisors, LLC's employees pursuant to CRS's 2015 Equity Compensation Plan, dated February 26, 2015. Shares of the Issuer's common stock underlying the Awards are scheduled to vest in installments of 10% (or 20% in the case of Awards that are 0% vested as of February 26, 2015) on September 25, 2015, 10% on September 25, 2016, 30% on September 25, 2017 and 40% on September 25, 2018. Upon settlement, the Awards will become payable on a one-for-one basis in shares of the Issuer's common stock. Mr. Alala holds Awards with respect to 185,510.85 shares held by CRS, which were granted to Mr. Alala on February 26, 2015.</w:t>
      </w:r>
    </w:p>
    <w:p>
      <w:pPr>
        <w:spacing w:after="0" w:line="32" w:lineRule="exact"/>
        <w:rPr>
          <w:rFonts w:ascii="Arial" w:cs="Arial" w:eastAsia="Arial" w:hAnsi="Arial"/>
          <w:sz w:val="14"/>
          <w:szCs w:val="14"/>
          <w:color w:val="008000"/>
        </w:rPr>
      </w:pPr>
    </w:p>
    <w:p>
      <w:pPr>
        <w:jc w:val="both"/>
        <w:ind w:left="40" w:right="4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SEC staff no-action letter to Babson Capital Management LLC (pub. Avail. Dec. 14, 2006), an employee benefit plan sponsored by an investment adviser (or an affiliated person of an investment adviser) to a closed-end investment company regulated under the Investment Company Act of 1940, as amended, that offers plan participants equity securities of such investment company is considered an "employee benefit plan sponsored by the issuer" for the purposes of Rule 16b-3 under the Securities Exchange Act of 1934, as amended.</w:t>
      </w:r>
    </w:p>
    <w:p>
      <w:pPr>
        <w:sectPr>
          <w:pgSz w:w="11900" w:h="16882" w:orient="portrait"/>
          <w:cols w:equalWidth="0" w:num="1">
            <w:col w:w="11400"/>
          </w:cols>
          <w:pgMar w:left="240" w:top="226" w:right="259" w:bottom="0" w:gutter="0" w:footer="0" w:header="0"/>
          <w:type w:val="continuous"/>
        </w:sectPr>
      </w:pPr>
    </w:p>
    <w:p>
      <w:pPr>
        <w:spacing w:after="0" w:line="3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Richard G. Wheelahan,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46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93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0000FF"/>
        </w:rPr>
        <w:t>03/24/2015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ectPr>
          <w:pgSz w:w="11900" w:h="16882" w:orient="portrait"/>
          <w:cols w:equalWidth="0" w:num="2">
            <w:col w:w="8980" w:space="180"/>
            <w:col w:w="2240"/>
          </w:cols>
          <w:pgMar w:left="240" w:top="226"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7346" TargetMode="External"/><Relationship Id="rId13" Type="http://schemas.openxmlformats.org/officeDocument/2006/relationships/hyperlink" Target="http://www.sec.gov/cgi-bin/browse-edgar?action=getcompany&amp;CIK=0001571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2019-12-09T04:23:10Z</dcterms:created>
  <dcterms:modified xsi:type="dcterms:W3CDTF">2019-12-09T04:23:10Z</dcterms:modified>
</cp:coreProperties>
</file>