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66" w:lineRule="exact"/>
        <w:rPr>
          <w:sz w:val="24"/>
          <w:szCs w:val="24"/>
          <w:color w:val="auto"/>
        </w:rPr>
      </w:pPr>
    </w:p>
    <w:p>
      <w:pPr>
        <w:ind w:left="3660" w:right="2700" w:hanging="2761"/>
        <w:spacing w:after="0" w:line="562" w:lineRule="auto"/>
        <w:tabs>
          <w:tab w:leader="none" w:pos="1768"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 For the quarterly period ended September 30, 2021</w:t>
      </w:r>
    </w:p>
    <w:p>
      <w:pPr>
        <w:spacing w:after="0" w:line="30" w:lineRule="exact"/>
        <w:rPr>
          <w:sz w:val="24"/>
          <w:szCs w:val="24"/>
          <w:color w:val="auto"/>
        </w:rPr>
      </w:pPr>
    </w:p>
    <w:p>
      <w:pPr>
        <w:ind w:left="1760" w:hanging="861"/>
        <w:spacing w:after="0"/>
        <w:tabs>
          <w:tab w:leader="none" w:pos="17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70"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60" w:type="dxa"/>
            <w:vAlign w:val="bottom"/>
          </w:tcPr>
          <w:p>
            <w:pPr>
              <w:ind w:left="1320"/>
              <w:spacing w:after="0"/>
              <w:rPr>
                <w:sz w:val="20"/>
                <w:szCs w:val="20"/>
                <w:color w:val="auto"/>
              </w:rPr>
            </w:pPr>
            <w:r>
              <w:rPr>
                <w:rFonts w:ascii="Arial" w:cs="Arial" w:eastAsia="Arial" w:hAnsi="Arial"/>
                <w:sz w:val="16"/>
                <w:szCs w:val="16"/>
                <w:b w:val="1"/>
                <w:bCs w:val="1"/>
                <w:color w:val="auto"/>
              </w:rPr>
              <w:t>Exact name of registrant as specified in its charter,</w:t>
            </w:r>
          </w:p>
        </w:tc>
        <w:tc>
          <w:tcPr>
            <w:tcW w:w="4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3"/>
        </w:trPr>
        <w:tc>
          <w:tcPr>
            <w:tcW w:w="2660" w:type="dxa"/>
            <w:vAlign w:val="bottom"/>
          </w:tcPr>
          <w:p>
            <w:pPr>
              <w:jc w:val="center"/>
              <w:spacing w:after="0"/>
              <w:rPr>
                <w:sz w:val="20"/>
                <w:szCs w:val="20"/>
                <w:color w:val="auto"/>
              </w:rPr>
            </w:pPr>
            <w:r>
              <w:rPr>
                <w:rFonts w:ascii="Arial" w:cs="Arial" w:eastAsia="Arial" w:hAnsi="Arial"/>
                <w:sz w:val="16"/>
                <w:szCs w:val="16"/>
                <w:b w:val="1"/>
                <w:bCs w:val="1"/>
                <w:color w:val="auto"/>
                <w:w w:val="87"/>
              </w:rPr>
              <w:t>Commission</w:t>
            </w:r>
          </w:p>
        </w:tc>
        <w:tc>
          <w:tcPr>
            <w:tcW w:w="80" w:type="dxa"/>
            <w:vAlign w:val="bottom"/>
          </w:tcPr>
          <w:p>
            <w:pPr>
              <w:spacing w:after="0"/>
              <w:rPr>
                <w:sz w:val="17"/>
                <w:szCs w:val="17"/>
                <w:color w:val="auto"/>
              </w:rPr>
            </w:pPr>
          </w:p>
        </w:tc>
        <w:tc>
          <w:tcPr>
            <w:tcW w:w="6160" w:type="dxa"/>
            <w:vAlign w:val="bottom"/>
          </w:tcPr>
          <w:p>
            <w:pPr>
              <w:jc w:val="center"/>
              <w:spacing w:after="0"/>
              <w:rPr>
                <w:sz w:val="20"/>
                <w:szCs w:val="20"/>
                <w:color w:val="auto"/>
              </w:rPr>
            </w:pPr>
            <w:r>
              <w:rPr>
                <w:rFonts w:ascii="Arial" w:cs="Arial" w:eastAsia="Arial" w:hAnsi="Arial"/>
                <w:sz w:val="16"/>
                <w:szCs w:val="16"/>
                <w:b w:val="1"/>
                <w:bCs w:val="1"/>
                <w:color w:val="auto"/>
                <w:w w:val="89"/>
              </w:rPr>
              <w:t>address of principal executive office, telephone number, and</w:t>
            </w:r>
          </w:p>
        </w:tc>
        <w:tc>
          <w:tcPr>
            <w:tcW w:w="4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5"/>
              </w:rPr>
              <w:t>I.R.S. Employer</w:t>
            </w:r>
          </w:p>
        </w:tc>
      </w:tr>
      <w:tr>
        <w:trPr>
          <w:trHeight w:val="223"/>
        </w:trPr>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File Number</w:t>
            </w:r>
          </w:p>
        </w:tc>
        <w:tc>
          <w:tcPr>
            <w:tcW w:w="80" w:type="dxa"/>
            <w:vAlign w:val="bottom"/>
          </w:tcPr>
          <w:p>
            <w:pPr>
              <w:spacing w:after="0"/>
              <w:rPr>
                <w:sz w:val="19"/>
                <w:szCs w:val="19"/>
                <w:color w:val="auto"/>
              </w:rPr>
            </w:pPr>
          </w:p>
        </w:tc>
        <w:tc>
          <w:tcPr>
            <w:tcW w:w="6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state or other jurisdiction of incorporation or organization</w:t>
            </w:r>
          </w:p>
        </w:tc>
        <w:tc>
          <w:tcPr>
            <w:tcW w:w="40" w:type="dxa"/>
            <w:vAlign w:val="bottom"/>
          </w:tcPr>
          <w:p>
            <w:pPr>
              <w:spacing w:after="0"/>
              <w:rPr>
                <w:sz w:val="19"/>
                <w:szCs w:val="19"/>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Identification Number</w:t>
            </w:r>
          </w:p>
        </w:tc>
      </w:tr>
      <w:tr>
        <w:trPr>
          <w:trHeight w:val="328"/>
        </w:trPr>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814-01022</w:t>
            </w:r>
          </w:p>
        </w:tc>
        <w:tc>
          <w:tcPr>
            <w:tcW w:w="8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25"/>
                <w:szCs w:val="25"/>
                <w:b w:val="1"/>
                <w:bCs w:val="1"/>
                <w:color w:val="auto"/>
                <w:w w:val="91"/>
              </w:rPr>
              <w:t>Logan Ridge</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90-0945675</w:t>
            </w:r>
          </w:p>
        </w:tc>
      </w:tr>
      <w:tr>
        <w:trPr>
          <w:trHeight w:val="328"/>
        </w:trPr>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tcPr>
          <w:p>
            <w:pPr>
              <w:jc w:val="center"/>
              <w:spacing w:after="0"/>
              <w:rPr>
                <w:sz w:val="20"/>
                <w:szCs w:val="20"/>
                <w:color w:val="auto"/>
              </w:rPr>
            </w:pPr>
            <w:r>
              <w:rPr>
                <w:rFonts w:ascii="Arial" w:cs="Arial" w:eastAsia="Arial" w:hAnsi="Arial"/>
                <w:sz w:val="25"/>
                <w:szCs w:val="25"/>
                <w:b w:val="1"/>
                <w:bCs w:val="1"/>
                <w:color w:val="auto"/>
                <w:w w:val="92"/>
              </w:rPr>
              <w:t>Finance Corporation</w:t>
            </w:r>
          </w:p>
        </w:tc>
        <w:tc>
          <w:tcPr>
            <w:tcW w:w="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3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0"/>
              </w:rPr>
              <w:t>650 Madison Avenue, 23rd Floor</w:t>
            </w:r>
          </w:p>
        </w:tc>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29"/>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60" w:type="dxa"/>
            <w:vAlign w:val="bottom"/>
          </w:tcPr>
          <w:p>
            <w:pPr>
              <w:jc w:val="center"/>
              <w:ind w:right="65"/>
              <w:spacing w:after="0"/>
              <w:rPr>
                <w:sz w:val="20"/>
                <w:szCs w:val="20"/>
                <w:color w:val="auto"/>
              </w:rPr>
            </w:pPr>
            <w:r>
              <w:rPr>
                <w:rFonts w:ascii="Arial" w:cs="Arial" w:eastAsia="Arial" w:hAnsi="Arial"/>
                <w:sz w:val="18"/>
                <w:szCs w:val="18"/>
                <w:b w:val="1"/>
                <w:bCs w:val="1"/>
                <w:color w:val="auto"/>
                <w:w w:val="92"/>
              </w:rPr>
              <w:t>New York, New York 10022</w:t>
            </w:r>
          </w:p>
        </w:tc>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60" w:type="dxa"/>
            <w:vAlign w:val="bottom"/>
          </w:tcPr>
          <w:p>
            <w:pPr>
              <w:jc w:val="center"/>
              <w:ind w:right="5"/>
              <w:spacing w:after="0"/>
              <w:rPr>
                <w:sz w:val="20"/>
                <w:szCs w:val="20"/>
                <w:color w:val="auto"/>
              </w:rPr>
            </w:pPr>
            <w:r>
              <w:rPr>
                <w:rFonts w:ascii="Arial" w:cs="Arial" w:eastAsia="Arial" w:hAnsi="Arial"/>
                <w:sz w:val="18"/>
                <w:szCs w:val="18"/>
                <w:b w:val="1"/>
                <w:bCs w:val="1"/>
                <w:color w:val="auto"/>
                <w:w w:val="93"/>
              </w:rPr>
              <w:t>State of Incorporation: Maryland</w:t>
            </w:r>
          </w:p>
        </w:tc>
        <w:tc>
          <w:tcPr>
            <w:tcW w:w="4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34"/>
        </w:trPr>
        <w:tc>
          <w:tcPr>
            <w:tcW w:w="2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160" w:type="dxa"/>
            <w:vAlign w:val="bottom"/>
          </w:tcPr>
          <w:p>
            <w:pPr>
              <w:jc w:val="center"/>
              <w:spacing w:after="0"/>
              <w:rPr>
                <w:sz w:val="20"/>
                <w:szCs w:val="20"/>
                <w:color w:val="auto"/>
              </w:rPr>
            </w:pPr>
            <w:r>
              <w:rPr>
                <w:rFonts w:ascii="Arial" w:cs="Arial" w:eastAsia="Arial" w:hAnsi="Arial"/>
                <w:sz w:val="18"/>
                <w:szCs w:val="18"/>
                <w:b w:val="1"/>
                <w:bCs w:val="1"/>
                <w:color w:val="auto"/>
                <w:w w:val="90"/>
              </w:rPr>
              <w:t>Telephone: (212) 891-2880</w:t>
            </w:r>
          </w:p>
        </w:tc>
        <w:tc>
          <w:tcPr>
            <w:tcW w:w="40" w:type="dxa"/>
            <w:vAlign w:val="bottom"/>
          </w:tcPr>
          <w:p>
            <w:pPr>
              <w:spacing w:after="0"/>
              <w:rPr>
                <w:sz w:val="20"/>
                <w:szCs w:val="20"/>
                <w:color w:val="auto"/>
              </w:rPr>
            </w:pPr>
          </w:p>
        </w:tc>
        <w:tc>
          <w:tcPr>
            <w:tcW w:w="2300" w:type="dxa"/>
            <w:vAlign w:val="bottom"/>
          </w:tcPr>
          <w:p>
            <w:pPr>
              <w:spacing w:after="0"/>
              <w:rPr>
                <w:sz w:val="20"/>
                <w:szCs w:val="20"/>
                <w:color w:val="auto"/>
              </w:rPr>
            </w:pPr>
          </w:p>
        </w:tc>
      </w:tr>
    </w:tbl>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Capitala Finance Corp.</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4201 Congress St., Suite 360, Charlotte, North Carolina 28209</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0"/>
              </w:rPr>
              <w:t>Name of Each Exchange on Which</w:t>
            </w:r>
          </w:p>
        </w:tc>
      </w:tr>
      <w:tr>
        <w:trPr>
          <w:trHeight w:val="223"/>
        </w:trPr>
        <w:tc>
          <w:tcPr>
            <w:tcW w:w="3940" w:type="dxa"/>
            <w:vAlign w:val="bottom"/>
            <w:tcBorders>
              <w:bottom w:val="single" w:sz="8" w:color="auto"/>
            </w:tcBorders>
          </w:tcPr>
          <w:p>
            <w:pPr>
              <w:ind w:left="1340"/>
              <w:spacing w:after="0"/>
              <w:rPr>
                <w:sz w:val="20"/>
                <w:szCs w:val="20"/>
                <w:color w:val="auto"/>
              </w:rPr>
            </w:pPr>
            <w:r>
              <w:rPr>
                <w:rFonts w:ascii="Arial" w:cs="Arial" w:eastAsia="Arial" w:hAnsi="Arial"/>
                <w:sz w:val="16"/>
                <w:szCs w:val="16"/>
                <w:b w:val="1"/>
                <w:bCs w:val="1"/>
                <w:color w:val="auto"/>
              </w:rPr>
              <w:t>Title of Each Class</w:t>
            </w:r>
          </w:p>
        </w:tc>
        <w:tc>
          <w:tcPr>
            <w:tcW w:w="140" w:type="dxa"/>
            <w:vAlign w:val="bottom"/>
          </w:tcPr>
          <w:p>
            <w:pPr>
              <w:spacing w:after="0"/>
              <w:rPr>
                <w:sz w:val="19"/>
                <w:szCs w:val="19"/>
                <w:color w:val="auto"/>
              </w:rPr>
            </w:pPr>
          </w:p>
        </w:tc>
        <w:tc>
          <w:tcPr>
            <w:tcW w:w="336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Registered</w:t>
            </w:r>
          </w:p>
        </w:tc>
      </w:tr>
      <w:tr>
        <w:trPr>
          <w:trHeight w:val="202"/>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Common Stock, par value $0.01 per share</w:t>
            </w:r>
          </w:p>
        </w:tc>
        <w:tc>
          <w:tcPr>
            <w:tcW w:w="140" w:type="dxa"/>
            <w:vAlign w:val="bottom"/>
          </w:tcPr>
          <w:p>
            <w:pPr>
              <w:spacing w:after="0"/>
              <w:rPr>
                <w:sz w:val="17"/>
                <w:szCs w:val="17"/>
                <w:color w:val="auto"/>
              </w:rPr>
            </w:pPr>
          </w:p>
        </w:tc>
        <w:tc>
          <w:tcPr>
            <w:tcW w:w="3360" w:type="dxa"/>
            <w:vAlign w:val="bottom"/>
          </w:tcPr>
          <w:p>
            <w:pPr>
              <w:ind w:left="1420"/>
              <w:spacing w:after="0"/>
              <w:rPr>
                <w:sz w:val="20"/>
                <w:szCs w:val="20"/>
                <w:color w:val="auto"/>
              </w:rPr>
            </w:pPr>
            <w:r>
              <w:rPr>
                <w:rFonts w:ascii="Arial" w:cs="Arial" w:eastAsia="Arial" w:hAnsi="Arial"/>
                <w:sz w:val="16"/>
                <w:szCs w:val="16"/>
                <w:b w:val="1"/>
                <w:bCs w:val="1"/>
                <w:color w:val="auto"/>
              </w:rPr>
              <w:t>LRFC</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r>
        <w:trPr>
          <w:trHeight w:val="203"/>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2"/>
              </w:rPr>
              <w:t>5.75% Convertible Notes due 2022</w:t>
            </w:r>
          </w:p>
        </w:tc>
        <w:tc>
          <w:tcPr>
            <w:tcW w:w="140" w:type="dxa"/>
            <w:vAlign w:val="bottom"/>
          </w:tcPr>
          <w:p>
            <w:pPr>
              <w:spacing w:after="0"/>
              <w:rPr>
                <w:sz w:val="17"/>
                <w:szCs w:val="17"/>
                <w:color w:val="auto"/>
              </w:rPr>
            </w:pPr>
          </w:p>
        </w:tc>
        <w:tc>
          <w:tcPr>
            <w:tcW w:w="3360" w:type="dxa"/>
            <w:vAlign w:val="bottom"/>
          </w:tcPr>
          <w:p>
            <w:pPr>
              <w:ind w:left="1400"/>
              <w:spacing w:after="0"/>
              <w:rPr>
                <w:sz w:val="20"/>
                <w:szCs w:val="20"/>
                <w:color w:val="auto"/>
              </w:rPr>
            </w:pPr>
            <w:r>
              <w:rPr>
                <w:rFonts w:ascii="Arial" w:cs="Arial" w:eastAsia="Arial" w:hAnsi="Arial"/>
                <w:sz w:val="16"/>
                <w:szCs w:val="16"/>
                <w:b w:val="1"/>
                <w:bCs w:val="1"/>
                <w:color w:val="auto"/>
              </w:rPr>
              <w:t>CPTAG</w:t>
            </w:r>
          </w:p>
        </w:tc>
        <w:tc>
          <w:tcPr>
            <w:tcW w:w="100" w:type="dxa"/>
            <w:vAlign w:val="bottom"/>
          </w:tcPr>
          <w:p>
            <w:pPr>
              <w:spacing w:after="0"/>
              <w:rPr>
                <w:sz w:val="17"/>
                <w:szCs w:val="17"/>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8"/>
              </w:rPr>
              <w:t>NASDAQ Capital Market</w:t>
            </w:r>
          </w:p>
        </w:tc>
      </w:tr>
      <w:tr>
        <w:trPr>
          <w:trHeight w:val="210"/>
        </w:trPr>
        <w:tc>
          <w:tcPr>
            <w:tcW w:w="3940" w:type="dxa"/>
            <w:vAlign w:val="bottom"/>
          </w:tcPr>
          <w:p>
            <w:pPr>
              <w:jc w:val="center"/>
              <w:spacing w:after="0"/>
              <w:rPr>
                <w:sz w:val="20"/>
                <w:szCs w:val="20"/>
                <w:color w:val="auto"/>
              </w:rPr>
            </w:pPr>
            <w:r>
              <w:rPr>
                <w:rFonts w:ascii="Arial" w:cs="Arial" w:eastAsia="Arial" w:hAnsi="Arial"/>
                <w:sz w:val="16"/>
                <w:szCs w:val="16"/>
                <w:b w:val="1"/>
                <w:bCs w:val="1"/>
                <w:color w:val="auto"/>
                <w:w w:val="90"/>
              </w:rPr>
              <w:t>6.00% Notes due 2022</w:t>
            </w:r>
          </w:p>
        </w:tc>
        <w:tc>
          <w:tcPr>
            <w:tcW w:w="140" w:type="dxa"/>
            <w:vAlign w:val="bottom"/>
          </w:tcPr>
          <w:p>
            <w:pPr>
              <w:spacing w:after="0"/>
              <w:rPr>
                <w:sz w:val="18"/>
                <w:szCs w:val="18"/>
                <w:color w:val="auto"/>
              </w:rPr>
            </w:pPr>
          </w:p>
        </w:tc>
        <w:tc>
          <w:tcPr>
            <w:tcW w:w="3360" w:type="dxa"/>
            <w:vAlign w:val="bottom"/>
          </w:tcPr>
          <w:p>
            <w:pPr>
              <w:ind w:left="1400"/>
              <w:spacing w:after="0"/>
              <w:rPr>
                <w:sz w:val="20"/>
                <w:szCs w:val="20"/>
                <w:color w:val="auto"/>
              </w:rPr>
            </w:pPr>
            <w:r>
              <w:rPr>
                <w:rFonts w:ascii="Arial" w:cs="Arial" w:eastAsia="Arial" w:hAnsi="Arial"/>
                <w:sz w:val="16"/>
                <w:szCs w:val="16"/>
                <w:b w:val="1"/>
                <w:bCs w:val="1"/>
                <w:color w:val="auto"/>
              </w:rPr>
              <w:t>CPTAL</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5"/>
              </w:rPr>
              <w:t>NASDAQ Global Select Market</w:t>
            </w:r>
          </w:p>
        </w:tc>
      </w:tr>
    </w:tbl>
    <w:p>
      <w:pPr>
        <w:spacing w:after="0" w:line="248" w:lineRule="exact"/>
        <w:rPr>
          <w:sz w:val="24"/>
          <w:szCs w:val="24"/>
          <w:color w:val="auto"/>
        </w:rPr>
      </w:pPr>
    </w:p>
    <w:p>
      <w:pPr>
        <w:jc w:val="both"/>
        <w:ind w:firstLine="749"/>
        <w:spacing w:after="0" w:line="27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7" w:lineRule="exact"/>
        <w:rPr>
          <w:sz w:val="24"/>
          <w:szCs w:val="24"/>
          <w:color w:val="auto"/>
        </w:rPr>
      </w:pPr>
    </w:p>
    <w:p>
      <w:pPr>
        <w:ind w:left="5660"/>
        <w:spacing w:after="0" w:line="207" w:lineRule="exact"/>
        <w:tabs>
          <w:tab w:leader="none" w:pos="7880" w:val="left"/>
        </w:tabs>
        <w:rPr>
          <w:sz w:val="20"/>
          <w:szCs w:val="20"/>
          <w:color w:val="auto"/>
        </w:rPr>
      </w:pPr>
      <w:r>
        <w:rPr>
          <w:rFonts w:ascii="Arial" w:cs="Arial" w:eastAsia="Arial" w:hAnsi="Arial"/>
          <w:sz w:val="18"/>
          <w:szCs w:val="18"/>
          <w:color w:val="auto"/>
        </w:rPr>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98" w:lineRule="exact"/>
        <w:rPr>
          <w:sz w:val="24"/>
          <w:szCs w:val="24"/>
          <w:color w:val="auto"/>
        </w:rPr>
      </w:pPr>
    </w:p>
    <w:p>
      <w:pPr>
        <w:jc w:val="both"/>
        <w:ind w:firstLine="749"/>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77" w:lineRule="exact"/>
        <w:rPr>
          <w:sz w:val="24"/>
          <w:szCs w:val="24"/>
          <w:color w:val="auto"/>
        </w:rPr>
      </w:pPr>
    </w:p>
    <w:p>
      <w:pPr>
        <w:ind w:left="5660"/>
        <w:spacing w:after="0" w:line="207" w:lineRule="exact"/>
        <w:tabs>
          <w:tab w:leader="none" w:pos="7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98" w:lineRule="exact"/>
        <w:rPr>
          <w:sz w:val="24"/>
          <w:szCs w:val="24"/>
          <w:color w:val="auto"/>
        </w:rPr>
      </w:pPr>
    </w:p>
    <w:p>
      <w:pPr>
        <w:jc w:val="both"/>
        <w:ind w:firstLine="749"/>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7" w:lineRule="exact"/>
        <w:rPr>
          <w:sz w:val="24"/>
          <w:szCs w:val="24"/>
          <w:color w:val="auto"/>
        </w:rPr>
      </w:pPr>
    </w:p>
    <w:tbl>
      <w:tblPr>
        <w:tblLayout w:type="fixed"/>
        <w:tblInd w:w="228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52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140" w:type="dxa"/>
            <w:vAlign w:val="bottom"/>
          </w:tcPr>
          <w:p>
            <w:pPr>
              <w:ind w:left="76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1520" w:type="dxa"/>
            <w:vAlign w:val="bottom"/>
          </w:tcPr>
          <w:p>
            <w:pPr>
              <w:ind w:left="600"/>
              <w:spacing w:after="0"/>
              <w:rPr>
                <w:sz w:val="20"/>
                <w:szCs w:val="20"/>
                <w:color w:val="auto"/>
              </w:rPr>
            </w:pPr>
            <w:r>
              <w:rPr>
                <w:rFonts w:ascii="Arial" w:cs="Arial" w:eastAsia="Arial" w:hAnsi="Arial"/>
                <w:sz w:val="18"/>
                <w:szCs w:val="18"/>
                <w:color w:val="auto"/>
              </w:rPr>
              <w:t>x</w:t>
            </w:r>
          </w:p>
        </w:tc>
        <w:tc>
          <w:tcPr>
            <w:tcW w:w="3140" w:type="dxa"/>
            <w:vAlign w:val="bottom"/>
          </w:tcPr>
          <w:p>
            <w:pPr>
              <w:ind w:left="76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64"/>
        </w:trPr>
        <w:tc>
          <w:tcPr>
            <w:tcW w:w="2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140" w:type="dxa"/>
            <w:vAlign w:val="bottom"/>
          </w:tcPr>
          <w:p>
            <w:pPr>
              <w:ind w:left="76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left="76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p>
      <w:pPr>
        <w:spacing w:after="0" w:line="46" w:lineRule="exact"/>
        <w:rPr>
          <w:sz w:val="24"/>
          <w:szCs w:val="24"/>
          <w:color w:val="auto"/>
        </w:rPr>
      </w:pPr>
    </w:p>
    <w:p>
      <w:pPr>
        <w:spacing w:after="0" w:line="207" w:lineRule="exact"/>
        <w:tabs>
          <w:tab w:leader="none" w:pos="9260" w:val="left"/>
        </w:tabs>
        <w:rPr>
          <w:sz w:val="20"/>
          <w:szCs w:val="20"/>
          <w:color w:val="auto"/>
        </w:rPr>
      </w:pPr>
      <w:r>
        <w:rPr>
          <w:rFonts w:ascii="Arial" w:cs="Arial" w:eastAsia="Arial" w:hAnsi="Arial"/>
          <w:sz w:val="18"/>
          <w:szCs w:val="18"/>
          <w:color w:val="auto"/>
        </w:rPr>
        <w:t>any new 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251" w:lineRule="exact"/>
        <w:rPr>
          <w:sz w:val="24"/>
          <w:szCs w:val="24"/>
          <w:color w:val="auto"/>
        </w:rPr>
      </w:pPr>
    </w:p>
    <w:p>
      <w:pPr>
        <w:ind w:left="7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378" w:right="339" w:bottom="847" w:gutter="0" w:footer="0" w:header="0"/>
        </w:sectPr>
      </w:pPr>
    </w:p>
    <w:p>
      <w:pPr>
        <w:spacing w:after="0" w:line="233" w:lineRule="exact"/>
        <w:rPr>
          <w:sz w:val="24"/>
          <w:szCs w:val="24"/>
          <w:color w:val="auto"/>
        </w:rPr>
      </w:pPr>
    </w:p>
    <w:p>
      <w:pPr>
        <w:ind w:left="566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No x</w:t>
      </w:r>
    </w:p>
    <w:p>
      <w:pPr>
        <w:spacing w:after="0" w:line="200" w:lineRule="exact"/>
        <w:rPr>
          <w:sz w:val="24"/>
          <w:szCs w:val="24"/>
          <w:color w:val="auto"/>
        </w:rPr>
      </w:pPr>
    </w:p>
    <w:p>
      <w:pPr>
        <w:sectPr>
          <w:pgSz w:w="11900" w:h="16838" w:orient="portrait"/>
          <w:cols w:equalWidth="0" w:num="2">
            <w:col w:w="7180" w:space="720"/>
            <w:col w:w="3340"/>
          </w:cols>
          <w:pgMar w:left="320" w:top="378" w:right="339" w:bottom="847" w:gutter="0" w:footer="0" w:header="0"/>
          <w:type w:val="continuous"/>
        </w:sectPr>
      </w:pPr>
    </w:p>
    <w:p>
      <w:pPr>
        <w:spacing w:after="0" w:line="66" w:lineRule="exact"/>
        <w:rPr>
          <w:sz w:val="24"/>
          <w:szCs w:val="24"/>
          <w:color w:val="auto"/>
        </w:rPr>
      </w:pPr>
    </w:p>
    <w:p>
      <w:pPr>
        <w:ind w:firstLine="749"/>
        <w:spacing w:after="0" w:line="293" w:lineRule="auto"/>
        <w:rPr>
          <w:sz w:val="20"/>
          <w:szCs w:val="20"/>
          <w:color w:val="auto"/>
        </w:rPr>
      </w:pPr>
      <w:r>
        <w:rPr>
          <w:rFonts w:ascii="Arial" w:cs="Arial" w:eastAsia="Arial" w:hAnsi="Arial"/>
          <w:sz w:val="18"/>
          <w:szCs w:val="18"/>
          <w:color w:val="auto"/>
        </w:rPr>
        <w:t>The number of shares of Logan Ridge Finance Corporation’s common stock, $0.01 par value, outstanding as of November 10, 2021 was 2,711,068.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266700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847"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57"/>
        </w:trPr>
        <w:tc>
          <w:tcPr>
            <w:tcW w:w="78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900" w:type="dxa"/>
            <w:vAlign w:val="bottom"/>
            <w:gridSpan w:val="18"/>
            <w:shd w:val="clear" w:color="auto" w:fill="CCEEFF"/>
          </w:tcPr>
          <w:p>
            <w:pPr>
              <w:ind w:left="480"/>
              <w:spacing w:after="0"/>
              <w:rPr>
                <w:sz w:val="20"/>
                <w:szCs w:val="20"/>
                <w:color w:val="auto"/>
              </w:rPr>
            </w:pPr>
            <w:r>
              <w:rPr>
                <w:rFonts w:ascii="Arial" w:cs="Arial" w:eastAsia="Arial" w:hAnsi="Arial"/>
                <w:sz w:val="18"/>
                <w:szCs w:val="18"/>
                <w:color w:val="auto"/>
              </w:rPr>
              <w:t>Consolidated Financial Statements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Consolidated Statements of Assets and Liabilities as of September 30, 2021 (unaudited) and December 31, 2020</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Consolidated Statements of Operations for the three and nine months ended September 30, 2021 and 2020 (unaudited)</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6"/>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Consolidated Statements of Changes in Net Assets for the three and nine months ended September 30, 2021 and 2020 (unaudited)</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84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 for the nine months ended September 30, 2021 and 2020 (unaudited)</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7">
              <w:r>
                <w:rPr>
                  <w:rFonts w:ascii="Arial" w:cs="Arial" w:eastAsia="Arial" w:hAnsi="Arial"/>
                  <w:sz w:val="18"/>
                  <w:szCs w:val="18"/>
                  <w:color w:val="0000FF"/>
                </w:rPr>
                <w:t>Consolidated Schedules of Investments as of September 30, 2021 (unaudited) and December 31, 2020</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17">
              <w:r>
                <w:rPr>
                  <w:rFonts w:ascii="Arial" w:cs="Arial" w:eastAsia="Arial" w:hAnsi="Arial"/>
                  <w:sz w:val="18"/>
                  <w:szCs w:val="18"/>
                  <w:color w:val="0000FF"/>
                </w:rPr>
                <w:t>Notes to Consolidated Financial Statements as of and for the period ended September 30, 2021 (unaudited)</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0000FF"/>
            </w:tcBorders>
          </w:tcPr>
          <w:p>
            <w:pPr>
              <w:spacing w:after="0"/>
              <w:rPr>
                <w:sz w:val="22"/>
                <w:szCs w:val="22"/>
                <w:color w:val="auto"/>
              </w:rPr>
            </w:pPr>
          </w:p>
        </w:tc>
        <w:tc>
          <w:tcPr>
            <w:tcW w:w="340" w:type="dxa"/>
            <w:vAlign w:val="bottom"/>
            <w:tcBorders>
              <w:top w:val="single" w:sz="8" w:color="0000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Item 2.</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43">
              <w:r>
                <w:rPr>
                  <w:rFonts w:ascii="Arial" w:cs="Arial" w:eastAsia="Arial" w:hAnsi="Arial"/>
                  <w:sz w:val="18"/>
                  <w:szCs w:val="18"/>
                  <w:color w:val="0000FF"/>
                </w:rPr>
                <w:t>Management’s Discussion and Analysis of Financial Condition and Results of Operations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0000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Item 3.</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0">
              <w:r>
                <w:rPr>
                  <w:rFonts w:ascii="Arial" w:cs="Arial" w:eastAsia="Arial" w:hAnsi="Arial"/>
                  <w:sz w:val="18"/>
                  <w:szCs w:val="18"/>
                  <w:color w:val="0000FF"/>
                </w:rPr>
                <w:t>Quantitative and Qualitative Disclosures About Market Risk</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Item 4.</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Controls and Procedures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PART II.</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b w:val="1"/>
                <w:bCs w:val="1"/>
                <w:color w:val="0000FF"/>
              </w:rPr>
            </w:pPr>
            <w:hyperlink w:anchor="page61">
              <w:r>
                <w:rPr>
                  <w:rFonts w:ascii="Arial" w:cs="Arial" w:eastAsia="Arial" w:hAnsi="Arial"/>
                  <w:sz w:val="18"/>
                  <w:szCs w:val="18"/>
                  <w:b w:val="1"/>
                  <w:bCs w:val="1"/>
                  <w:color w:val="0000FF"/>
                </w:rPr>
                <w:t>OTHER INFORMATION</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Item 1.</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Legal Proceedings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Item 1A.</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1">
              <w:r>
                <w:rPr>
                  <w:rFonts w:ascii="Arial" w:cs="Arial" w:eastAsia="Arial" w:hAnsi="Arial"/>
                  <w:sz w:val="18"/>
                  <w:szCs w:val="18"/>
                  <w:color w:val="0000FF"/>
                </w:rPr>
                <w:t>Risk Factors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w:t>
            </w:r>
          </w:p>
        </w:tc>
      </w:tr>
      <w:tr>
        <w:trPr>
          <w:trHeight w:val="256"/>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2.</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Unregistered Sales of Equity Securities and Use of Proceeds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960" w:type="dxa"/>
            <w:vAlign w:val="bottom"/>
            <w:tcBorders>
              <w:top w:val="single" w:sz="8" w:color="0000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6"/>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3.</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Defaults Upon Senior Securities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6"/>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4.</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Mine Safety Disclosures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6"/>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Item 5.</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2">
              <w:r>
                <w:rPr>
                  <w:rFonts w:ascii="Arial" w:cs="Arial" w:eastAsia="Arial" w:hAnsi="Arial"/>
                  <w:sz w:val="18"/>
                  <w:szCs w:val="18"/>
                  <w:color w:val="0000FF"/>
                </w:rPr>
                <w:t>Other Information</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6"/>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Item 6.</w:t>
              </w:r>
            </w:hyperlink>
          </w:p>
        </w:tc>
        <w:tc>
          <w:tcPr>
            <w:tcW w:w="9900" w:type="dxa"/>
            <w:vAlign w:val="bottom"/>
            <w:gridSpan w:val="18"/>
            <w:shd w:val="clear" w:color="auto" w:fill="CCEEFF"/>
          </w:tcPr>
          <w:p>
            <w:pPr>
              <w:ind w:left="480"/>
              <w:spacing w:after="0" w:line="202" w:lineRule="exact"/>
              <w:rPr>
                <w:rFonts w:ascii="Arial" w:cs="Arial" w:eastAsia="Arial" w:hAnsi="Arial"/>
                <w:sz w:val="18"/>
                <w:szCs w:val="18"/>
                <w:color w:val="0000FF"/>
              </w:rPr>
            </w:pPr>
            <w:hyperlink w:anchor="page64">
              <w:r>
                <w:rPr>
                  <w:rFonts w:ascii="Arial" w:cs="Arial" w:eastAsia="Arial" w:hAnsi="Arial"/>
                  <w:sz w:val="18"/>
                  <w:szCs w:val="18"/>
                  <w:color w:val="0000FF"/>
                </w:rPr>
                <w:t>Exhibits</w:t>
              </w:r>
            </w:hyperlink>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57"/>
        </w:trPr>
        <w:tc>
          <w:tcPr>
            <w:tcW w:w="20" w:type="dxa"/>
            <w:vAlign w:val="bottom"/>
            <w:tcBorders>
              <w:top w:val="single" w:sz="8" w:color="CCEEFF"/>
            </w:tcBorders>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480" w:type="dxa"/>
            <w:vAlign w:val="bottom"/>
            <w:tcBorders>
              <w:top w:val="single" w:sz="8" w:color="CCEEFF"/>
            </w:tcBorders>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c>
          <w:tcPr>
            <w:tcW w:w="44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30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960" w:type="dxa"/>
            <w:vAlign w:val="bottom"/>
            <w:tcBorders>
              <w:top w:val="single" w:sz="8" w:color="CCEEFF"/>
            </w:tcBorders>
          </w:tcPr>
          <w:p>
            <w:pPr>
              <w:spacing w:after="0"/>
              <w:rPr>
                <w:sz w:val="22"/>
                <w:szCs w:val="22"/>
                <w:color w:val="auto"/>
              </w:rPr>
            </w:pPr>
          </w:p>
        </w:tc>
        <w:tc>
          <w:tcPr>
            <w:tcW w:w="2100" w:type="dxa"/>
            <w:vAlign w:val="bottom"/>
            <w:tcBorders>
              <w:top w:val="single" w:sz="8" w:color="CCEEFF"/>
            </w:tcBorders>
          </w:tcPr>
          <w:p>
            <w:pPr>
              <w:spacing w:after="0"/>
              <w:rPr>
                <w:sz w:val="22"/>
                <w:szCs w:val="22"/>
                <w:color w:val="auto"/>
              </w:rPr>
            </w:pPr>
          </w:p>
        </w:tc>
        <w:tc>
          <w:tcPr>
            <w:tcW w:w="90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560" w:type="dxa"/>
            <w:vAlign w:val="bottom"/>
            <w:tcBorders>
              <w:top w:val="single" w:sz="8" w:color="CCEEFF"/>
            </w:tcBorders>
          </w:tcPr>
          <w:p>
            <w:pPr>
              <w:spacing w:after="0"/>
              <w:rPr>
                <w:sz w:val="22"/>
                <w:szCs w:val="22"/>
                <w:color w:val="auto"/>
              </w:rPr>
            </w:pPr>
          </w:p>
        </w:tc>
      </w:tr>
      <w:tr>
        <w:trPr>
          <w:trHeight w:val="237"/>
        </w:trPr>
        <w:tc>
          <w:tcPr>
            <w:tcW w:w="780" w:type="dxa"/>
            <w:vAlign w:val="bottom"/>
            <w:gridSpan w:val="5"/>
            <w:shd w:val="clear" w:color="auto" w:fill="CCEEFF"/>
          </w:tcPr>
          <w:p>
            <w:pPr>
              <w:ind w:left="20"/>
              <w:spacing w:after="0" w:line="202" w:lineRule="exact"/>
              <w:rPr>
                <w:rFonts w:ascii="Arial" w:cs="Arial" w:eastAsia="Arial" w:hAnsi="Arial"/>
                <w:sz w:val="18"/>
                <w:szCs w:val="18"/>
                <w:color w:val="0000FF"/>
                <w:w w:val="85"/>
              </w:rPr>
            </w:pPr>
            <w:hyperlink w:anchor="page65">
              <w:r>
                <w:rPr>
                  <w:rFonts w:ascii="Arial" w:cs="Arial" w:eastAsia="Arial" w:hAnsi="Arial"/>
                  <w:sz w:val="18"/>
                  <w:szCs w:val="18"/>
                  <w:color w:val="0000FF"/>
                  <w:w w:val="85"/>
                </w:rPr>
                <w:t>Signatures</w:t>
              </w:r>
            </w:hyperlink>
          </w:p>
        </w:tc>
        <w:tc>
          <w:tcPr>
            <w:tcW w:w="4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r>
      <w:tr>
        <w:trPr>
          <w:trHeight w:val="344"/>
        </w:trPr>
        <w:tc>
          <w:tcPr>
            <w:tcW w:w="20" w:type="dxa"/>
            <w:vAlign w:val="bottom"/>
            <w:tcBorders>
              <w:top w:val="single" w:sz="8" w:color="CCEEFF"/>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CCEEFF"/>
              <w:bottom w:val="single" w:sz="8" w:color="9A9A9A"/>
            </w:tcBorders>
          </w:tcPr>
          <w:p>
            <w:pPr>
              <w:spacing w:after="0"/>
              <w:rPr>
                <w:sz w:val="24"/>
                <w:szCs w:val="24"/>
                <w:color w:val="auto"/>
              </w:rPr>
            </w:pPr>
          </w:p>
        </w:tc>
        <w:tc>
          <w:tcPr>
            <w:tcW w:w="60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44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196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900" w:type="dxa"/>
            <w:vAlign w:val="bottom"/>
            <w:tcBorders>
              <w:top w:val="single" w:sz="8" w:color="CCEEFF"/>
              <w:bottom w:val="single" w:sz="8" w:color="9A9A9A"/>
            </w:tcBorders>
          </w:tcPr>
          <w:p>
            <w:pPr>
              <w:spacing w:after="0"/>
              <w:rPr>
                <w:sz w:val="24"/>
                <w:szCs w:val="24"/>
                <w:color w:val="auto"/>
              </w:rPr>
            </w:pPr>
          </w:p>
        </w:tc>
        <w:tc>
          <w:tcPr>
            <w:tcW w:w="34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8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As of</w:t>
            </w: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69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September 30, 2021</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3"/>
              </w:rPr>
              <w:t>December 31, 2020</w:t>
            </w:r>
          </w:p>
        </w:tc>
        <w:tc>
          <w:tcPr>
            <w:tcW w:w="100" w:type="dxa"/>
            <w:vAlign w:val="bottom"/>
          </w:tcPr>
          <w:p>
            <w:pPr>
              <w:spacing w:after="0"/>
              <w:rPr>
                <w:sz w:val="21"/>
                <w:szCs w:val="21"/>
                <w:color w:val="auto"/>
              </w:rPr>
            </w:pPr>
          </w:p>
        </w:tc>
      </w:tr>
      <w:tr>
        <w:trPr>
          <w:trHeight w:val="250"/>
        </w:trPr>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(unaudited)</w:t>
            </w: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Non-control/non-affiliate investments (amortized cost of $122,180 and $187,744,</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6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172,848</w:t>
            </w: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ind w:left="200"/>
              <w:spacing w:after="0"/>
              <w:rPr>
                <w:sz w:val="20"/>
                <w:szCs w:val="20"/>
                <w:color w:val="auto"/>
              </w:rPr>
            </w:pPr>
            <w:r>
              <w:rPr>
                <w:rFonts w:ascii="Arial" w:cs="Arial" w:eastAsia="Arial" w:hAnsi="Arial"/>
                <w:sz w:val="18"/>
                <w:szCs w:val="18"/>
                <w:color w:val="auto"/>
              </w:rPr>
              <w:t>Affiliate investments (amortized cost of $63,325 and $80,961, respectively)</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76,979</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93,425</w:t>
            </w:r>
          </w:p>
        </w:tc>
        <w:tc>
          <w:tcPr>
            <w:tcW w:w="100" w:type="dxa"/>
            <w:vAlign w:val="bottom"/>
          </w:tcPr>
          <w:p>
            <w:pPr>
              <w:spacing w:after="0"/>
              <w:rPr>
                <w:sz w:val="21"/>
                <w:szCs w:val="21"/>
                <w:color w:val="auto"/>
              </w:rPr>
            </w:pPr>
          </w:p>
        </w:tc>
      </w:tr>
      <w:tr>
        <w:trPr>
          <w:trHeight w:val="263"/>
        </w:trPr>
        <w:tc>
          <w:tcPr>
            <w:tcW w:w="6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Control investments (amortized cost of $8,801 and $8,947, respectively)</w:t>
            </w:r>
          </w:p>
        </w:tc>
        <w:tc>
          <w:tcPr>
            <w:tcW w:w="16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6,853</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6940" w:type="dxa"/>
            <w:vAlign w:val="bottom"/>
          </w:tcPr>
          <w:p>
            <w:pPr>
              <w:ind w:left="200"/>
              <w:spacing w:after="0"/>
              <w:rPr>
                <w:sz w:val="20"/>
                <w:szCs w:val="20"/>
                <w:color w:val="auto"/>
              </w:rPr>
            </w:pPr>
            <w:r>
              <w:rPr>
                <w:rFonts w:ascii="Arial" w:cs="Arial" w:eastAsia="Arial" w:hAnsi="Arial"/>
                <w:sz w:val="18"/>
                <w:szCs w:val="18"/>
                <w:color w:val="auto"/>
                <w:w w:val="96"/>
              </w:rPr>
              <w:t>Total investments at fair value (amortized cost of $194,306 and $277,652, respectively)</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195,385</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274,692</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37,386</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49,942</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Interest and dividend receivable</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3,588</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Receivable for unsettled trades</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3,101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69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240,574</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top w:val="single" w:sz="8" w:color="CFF0FC"/>
            </w:tcBorders>
          </w:tcPr>
          <w:p>
            <w:pPr>
              <w:spacing w:after="0"/>
              <w:rPr>
                <w:sz w:val="21"/>
                <w:szCs w:val="21"/>
                <w:color w:val="auto"/>
              </w:rPr>
            </w:pPr>
          </w:p>
        </w:tc>
      </w:tr>
      <w:tr>
        <w:trPr>
          <w:trHeight w:val="20"/>
        </w:trPr>
        <w:tc>
          <w:tcPr>
            <w:tcW w:w="6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9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SBA-guaranteed debentures (net of deferred financing costs of $0 and $485, 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90,515</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2022 Notes (net of deferred financing costs of $407 and $846, respectively)</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72,426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2022 Convertible Notes (net of deferred financing costs of $265 and $552, respectively)</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51,823</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51,536</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w w:val="99"/>
              </w:rPr>
              <w:t>KeyBank Credit Facility (net of deferred financing costs of $402 and $546, respectively)</w:t>
            </w:r>
          </w:p>
        </w:tc>
        <w:tc>
          <w:tcPr>
            <w:tcW w:w="160" w:type="dxa"/>
            <w:vAlign w:val="bottom"/>
          </w:tcPr>
          <w:p>
            <w:pPr>
              <w:spacing w:after="0"/>
              <w:rPr>
                <w:sz w:val="21"/>
                <w:szCs w:val="21"/>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(402 )</w:t>
            </w:r>
          </w:p>
        </w:tc>
        <w:tc>
          <w:tcPr>
            <w:tcW w:w="180" w:type="dxa"/>
            <w:vAlign w:val="bottom"/>
          </w:tcPr>
          <w:p>
            <w:pPr>
              <w:spacing w:after="0"/>
              <w:rPr>
                <w:sz w:val="21"/>
                <w:szCs w:val="21"/>
                <w:color w:val="auto"/>
              </w:rPr>
            </w:pP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(546 )</w:t>
            </w: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Management and incentive fees payable</w:t>
            </w: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1,181</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3,842</w:t>
            </w: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Interest and financing fees payable</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768</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1,688</w:t>
            </w:r>
          </w:p>
        </w:tc>
        <w:tc>
          <w:tcPr>
            <w:tcW w:w="100" w:type="dxa"/>
            <w:vAlign w:val="bottom"/>
          </w:tcPr>
          <w:p>
            <w:pPr>
              <w:spacing w:after="0"/>
              <w:rPr>
                <w:sz w:val="21"/>
                <w:szCs w:val="21"/>
                <w:color w:val="auto"/>
              </w:rPr>
            </w:pPr>
          </w:p>
        </w:tc>
      </w:tr>
      <w:tr>
        <w:trPr>
          <w:trHeight w:val="263"/>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tcBorders>
              <w:bottom w:val="single" w:sz="8" w:color="auto"/>
            </w:tcBorders>
            <w:shd w:val="clear" w:color="auto" w:fill="CFF0FC"/>
          </w:tcPr>
          <w:p>
            <w:pPr>
              <w:spacing w:after="0"/>
              <w:rPr>
                <w:sz w:val="22"/>
                <w:szCs w:val="22"/>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4,517</w:t>
            </w:r>
          </w:p>
        </w:tc>
        <w:tc>
          <w:tcPr>
            <w:tcW w:w="26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694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130,313</w:t>
            </w:r>
          </w:p>
        </w:tc>
        <w:tc>
          <w:tcPr>
            <w:tcW w:w="2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219,050</w:t>
            </w:r>
          </w:p>
        </w:tc>
        <w:tc>
          <w:tcPr>
            <w:tcW w:w="100" w:type="dxa"/>
            <w:vAlign w:val="bottom"/>
          </w:tcPr>
          <w:p>
            <w:pPr>
              <w:spacing w:after="0"/>
              <w:rPr>
                <w:sz w:val="21"/>
                <w:szCs w:val="21"/>
                <w:color w:val="auto"/>
              </w:rPr>
            </w:pPr>
          </w:p>
        </w:tc>
      </w:tr>
      <w:tr>
        <w:trPr>
          <w:trHeight w:val="250"/>
        </w:trPr>
        <w:tc>
          <w:tcPr>
            <w:tcW w:w="69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Commitments and contingencies (Note 2)</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8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7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NET ASSETS</w:t>
            </w:r>
          </w:p>
        </w:tc>
        <w:tc>
          <w:tcPr>
            <w:tcW w:w="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Common stock, par value $0.01, 100,000,000 common shares authorized, 2,711,068 and</w:t>
            </w:r>
          </w:p>
        </w:tc>
        <w:tc>
          <w:tcPr>
            <w:tcW w:w="160" w:type="dxa"/>
            <w:vAlign w:val="bottom"/>
            <w:shd w:val="clear" w:color="auto" w:fill="CFF0FC"/>
          </w:tcPr>
          <w:p>
            <w:pPr>
              <w:spacing w:after="0"/>
              <w:rPr>
                <w:sz w:val="21"/>
                <w:szCs w:val="21"/>
                <w:color w:val="auto"/>
              </w:rPr>
            </w:pPr>
          </w:p>
        </w:tc>
        <w:tc>
          <w:tcPr>
            <w:tcW w:w="1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2,711,068 common shares issued and outstanding, respectively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21"/>
                <w:szCs w:val="21"/>
                <w:color w:val="auto"/>
              </w:rPr>
            </w:pPr>
          </w:p>
        </w:tc>
      </w:tr>
      <w:tr>
        <w:trPr>
          <w:trHeight w:val="250"/>
        </w:trPr>
        <w:tc>
          <w:tcPr>
            <w:tcW w:w="6940" w:type="dxa"/>
            <w:vAlign w:val="bottom"/>
          </w:tcPr>
          <w:p>
            <w:pPr>
              <w:ind w:left="20"/>
              <w:spacing w:after="0"/>
              <w:rPr>
                <w:sz w:val="20"/>
                <w:szCs w:val="20"/>
                <w:color w:val="auto"/>
              </w:rPr>
            </w:pPr>
            <w:r>
              <w:rPr>
                <w:rFonts w:ascii="Arial" w:cs="Arial" w:eastAsia="Arial" w:hAnsi="Arial"/>
                <w:sz w:val="18"/>
                <w:szCs w:val="18"/>
                <w:color w:val="auto"/>
              </w:rPr>
              <w:t>Additional paid in capital</w:t>
            </w:r>
          </w:p>
        </w:tc>
        <w:tc>
          <w:tcPr>
            <w:tcW w:w="1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229,481</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229,481</w:t>
            </w:r>
          </w:p>
        </w:tc>
        <w:tc>
          <w:tcPr>
            <w:tcW w:w="100" w:type="dxa"/>
            <w:vAlign w:val="bottom"/>
          </w:tcPr>
          <w:p>
            <w:pPr>
              <w:spacing w:after="0"/>
              <w:rPr>
                <w:sz w:val="21"/>
                <w:szCs w:val="21"/>
                <w:color w:val="auto"/>
              </w:rPr>
            </w:pPr>
          </w:p>
        </w:tc>
      </w:tr>
      <w:tr>
        <w:trPr>
          <w:trHeight w:val="263"/>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distributable loss</w:t>
            </w:r>
          </w:p>
        </w:tc>
        <w:tc>
          <w:tcPr>
            <w:tcW w:w="160" w:type="dxa"/>
            <w:vAlign w:val="bottom"/>
            <w:shd w:val="clear" w:color="auto" w:fill="CFF0FC"/>
          </w:tcPr>
          <w:p>
            <w:pPr>
              <w:spacing w:after="0"/>
              <w:rPr>
                <w:sz w:val="22"/>
                <w:szCs w:val="22"/>
                <w:color w:val="auto"/>
              </w:rPr>
            </w:pPr>
          </w:p>
        </w:tc>
        <w:tc>
          <w:tcPr>
            <w:tcW w:w="20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(119,247 )</w:t>
            </w:r>
          </w:p>
        </w:tc>
        <w:tc>
          <w:tcPr>
            <w:tcW w:w="180" w:type="dxa"/>
            <w:vAlign w:val="bottom"/>
            <w:shd w:val="clear" w:color="auto" w:fill="CFF0FC"/>
          </w:tcPr>
          <w:p>
            <w:pPr>
              <w:spacing w:after="0"/>
              <w:rPr>
                <w:sz w:val="22"/>
                <w:szCs w:val="22"/>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(120,561 )</w:t>
            </w:r>
          </w:p>
        </w:tc>
      </w:tr>
      <w:tr>
        <w:trPr>
          <w:trHeight w:val="250"/>
        </w:trPr>
        <w:tc>
          <w:tcPr>
            <w:tcW w:w="69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net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110,261</w:t>
            </w:r>
          </w:p>
        </w:tc>
        <w:tc>
          <w:tcPr>
            <w:tcW w:w="26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108,947</w:t>
            </w:r>
          </w:p>
        </w:tc>
        <w:tc>
          <w:tcPr>
            <w:tcW w:w="100" w:type="dxa"/>
            <w:vAlign w:val="bottom"/>
            <w:tcBorders>
              <w:top w:val="single" w:sz="8" w:color="CFF0FC"/>
            </w:tcBorders>
          </w:tcPr>
          <w:p>
            <w:pPr>
              <w:spacing w:after="0"/>
              <w:rPr>
                <w:sz w:val="21"/>
                <w:szCs w:val="21"/>
                <w:color w:val="auto"/>
              </w:rPr>
            </w:pPr>
          </w:p>
        </w:tc>
      </w:tr>
      <w:tr>
        <w:trPr>
          <w:trHeight w:val="290"/>
        </w:trPr>
        <w:tc>
          <w:tcPr>
            <w:tcW w:w="6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net assets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240,574</w:t>
            </w:r>
          </w:p>
        </w:tc>
        <w:tc>
          <w:tcPr>
            <w:tcW w:w="2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327,997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6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6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 value per share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40.67</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40.19</w:t>
            </w:r>
          </w:p>
        </w:tc>
        <w:tc>
          <w:tcPr>
            <w:tcW w:w="100" w:type="dxa"/>
            <w:vAlign w:val="bottom"/>
            <w:shd w:val="clear" w:color="auto" w:fill="CFF0FC"/>
          </w:tcPr>
          <w:p>
            <w:pPr>
              <w:spacing w:after="0"/>
              <w:rPr>
                <w:sz w:val="22"/>
                <w:szCs w:val="22"/>
                <w:color w:val="auto"/>
              </w:rPr>
            </w:pPr>
          </w:p>
        </w:tc>
      </w:tr>
      <w:tr>
        <w:trPr>
          <w:trHeight w:val="459"/>
        </w:trPr>
        <w:tc>
          <w:tcPr>
            <w:tcW w:w="9180" w:type="dxa"/>
            <w:vAlign w:val="bottom"/>
            <w:gridSpan w:val="4"/>
          </w:tcPr>
          <w:p>
            <w:pPr>
              <w:ind w:left="3420"/>
              <w:spacing w:after="0"/>
              <w:rPr>
                <w:sz w:val="20"/>
                <w:szCs w:val="20"/>
                <w:color w:val="auto"/>
              </w:rPr>
            </w:pPr>
            <w:r>
              <w:rPr>
                <w:rFonts w:ascii="Arial" w:cs="Arial" w:eastAsia="Arial" w:hAnsi="Arial"/>
                <w:sz w:val="18"/>
                <w:szCs w:val="18"/>
                <w:color w:val="auto"/>
              </w:rPr>
              <w:t>See accompanying notes to consolidated financial statements</w:t>
            </w: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6940" w:type="dxa"/>
            <w:vAlign w:val="bottom"/>
          </w:tcPr>
          <w:p>
            <w:pPr>
              <w:ind w:left="55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-5465445</wp:posOffset>
            </wp:positionV>
            <wp:extent cx="17145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-5465445</wp:posOffset>
            </wp:positionV>
            <wp:extent cx="5969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-4479925</wp:posOffset>
            </wp:positionV>
            <wp:extent cx="17145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-4479925</wp:posOffset>
            </wp:positionV>
            <wp:extent cx="5969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-2816860</wp:posOffset>
            </wp:positionV>
            <wp:extent cx="17145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-2816860</wp:posOffset>
            </wp:positionV>
            <wp:extent cx="5969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-1350645</wp:posOffset>
            </wp:positionV>
            <wp:extent cx="17145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-1350645</wp:posOffset>
            </wp:positionV>
            <wp:extent cx="5969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-1010920</wp:posOffset>
            </wp:positionV>
            <wp:extent cx="1714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-993775</wp:posOffset>
            </wp:positionV>
            <wp:extent cx="1714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-1010920</wp:posOffset>
            </wp:positionV>
            <wp:extent cx="596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-993775</wp:posOffset>
            </wp:positionV>
            <wp:extent cx="59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5"/>
                <w:szCs w:val="15"/>
                <w:color w:val="auto"/>
              </w:rPr>
            </w:pPr>
          </w:p>
        </w:tc>
        <w:tc>
          <w:tcPr>
            <w:tcW w:w="27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INCOME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4"/>
                <w:szCs w:val="14"/>
                <w:color w:val="auto"/>
              </w:rPr>
              <w:t>Interest and fee income:</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2,078</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4,407</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8,349</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13,807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1,072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1,721</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3,565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5,032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3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98</w:t>
            </w:r>
          </w:p>
        </w:tc>
        <w:tc>
          <w:tcPr>
            <w:tcW w:w="2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293</w:t>
            </w:r>
          </w:p>
        </w:tc>
        <w:tc>
          <w:tcPr>
            <w:tcW w:w="2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rPr>
                <w:sz w:val="20"/>
                <w:szCs w:val="20"/>
                <w:color w:val="auto"/>
              </w:rPr>
            </w:pPr>
            <w:r>
              <w:rPr>
                <w:rFonts w:ascii="Arial" w:cs="Arial" w:eastAsia="Arial" w:hAnsi="Arial"/>
                <w:sz w:val="14"/>
                <w:szCs w:val="14"/>
                <w:color w:val="auto"/>
              </w:rPr>
              <w:t>Total interest and fee income</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3,248</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6,231</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12,207</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19,148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Payment-in-kind interest and dividend income: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34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220</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w:t>
            </w:r>
          </w:p>
        </w:tc>
        <w:tc>
          <w:tcPr>
            <w:tcW w:w="24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w:t>
            </w:r>
          </w:p>
        </w:tc>
        <w:tc>
          <w:tcPr>
            <w:tcW w:w="20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298</w:t>
            </w:r>
          </w:p>
        </w:tc>
        <w:tc>
          <w:tcPr>
            <w:tcW w:w="22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610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40" w:type="dxa"/>
            <w:vAlign w:val="bottom"/>
          </w:tcPr>
          <w:p>
            <w:pPr>
              <w:ind w:left="200"/>
              <w:spacing w:after="0"/>
              <w:rPr>
                <w:sz w:val="20"/>
                <w:szCs w:val="20"/>
                <w:color w:val="auto"/>
              </w:rPr>
            </w:pPr>
            <w:r>
              <w:rPr>
                <w:rFonts w:ascii="Arial" w:cs="Arial" w:eastAsia="Arial" w:hAnsi="Arial"/>
                <w:sz w:val="14"/>
                <w:szCs w:val="14"/>
                <w:color w:val="auto"/>
              </w:rPr>
              <w:t>Total payment-in-kind interest and dividend income</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Dividend income:</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34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560</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40" w:type="dxa"/>
            <w:vAlign w:val="bottom"/>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220" w:type="dxa"/>
            <w:vAlign w:val="bottom"/>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940" w:type="dxa"/>
            <w:vAlign w:val="bottom"/>
          </w:tcPr>
          <w:p>
            <w:pPr>
              <w:ind w:left="200"/>
              <w:spacing w:after="0"/>
              <w:rPr>
                <w:sz w:val="20"/>
                <w:szCs w:val="20"/>
                <w:color w:val="auto"/>
              </w:rPr>
            </w:pPr>
            <w:r>
              <w:rPr>
                <w:rFonts w:ascii="Arial" w:cs="Arial" w:eastAsia="Arial" w:hAnsi="Arial"/>
                <w:sz w:val="14"/>
                <w:szCs w:val="14"/>
                <w:color w:val="auto"/>
              </w:rPr>
              <w:t>Total dividend income</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739</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income from cash and cash equivalents</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rPr>
                <w:sz w:val="20"/>
                <w:szCs w:val="20"/>
                <w:color w:val="auto"/>
              </w:rPr>
            </w:pPr>
            <w:r>
              <w:rPr>
                <w:rFonts w:ascii="Arial" w:cs="Arial" w:eastAsia="Arial" w:hAnsi="Arial"/>
                <w:sz w:val="14"/>
                <w:szCs w:val="14"/>
                <w:color w:val="auto"/>
              </w:rPr>
              <w:t>Total investment income</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3,373</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6,694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13,342</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20,767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40" w:type="dxa"/>
            <w:vAlign w:val="bottom"/>
          </w:tcPr>
          <w:p>
            <w:pPr>
              <w:ind w:left="20"/>
              <w:spacing w:after="0"/>
              <w:rPr>
                <w:sz w:val="20"/>
                <w:szCs w:val="20"/>
                <w:color w:val="auto"/>
              </w:rPr>
            </w:pPr>
            <w:r>
              <w:rPr>
                <w:rFonts w:ascii="Arial" w:cs="Arial" w:eastAsia="Arial" w:hAnsi="Arial"/>
                <w:sz w:val="14"/>
                <w:szCs w:val="14"/>
                <w:color w:val="auto"/>
              </w:rPr>
              <w:t>EXPENSES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and financing expenses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3,423</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8,061</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40" w:type="dxa"/>
            <w:vAlign w:val="bottom"/>
          </w:tcPr>
          <w:p>
            <w:pPr>
              <w:ind w:left="20"/>
              <w:spacing w:after="0"/>
              <w:rPr>
                <w:sz w:val="20"/>
                <w:szCs w:val="20"/>
                <w:color w:val="auto"/>
              </w:rPr>
            </w:pPr>
            <w:r>
              <w:rPr>
                <w:rFonts w:ascii="Arial" w:cs="Arial" w:eastAsia="Arial" w:hAnsi="Arial"/>
                <w:sz w:val="14"/>
                <w:szCs w:val="14"/>
                <w:color w:val="auto"/>
              </w:rPr>
              <w:t>Base management fee</w:t>
            </w: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1,111</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1,565</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3,781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4,988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Administrative service fees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2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w:t>
            </w: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2,859</w:t>
            </w:r>
          </w:p>
        </w:tc>
        <w:tc>
          <w:tcPr>
            <w:tcW w:w="2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expenses</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4,883</w:t>
            </w:r>
          </w:p>
        </w:tc>
        <w:tc>
          <w:tcPr>
            <w:tcW w:w="24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5,952</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15,601</w:t>
            </w:r>
          </w:p>
        </w:tc>
        <w:tc>
          <w:tcPr>
            <w:tcW w:w="2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20,647</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(LOSS) INCOME</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(1,510 )</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(2,259 )</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REALIZED AND UNREALIZED LOSS (GAIN) ON INVESTMENTS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Non-control/non-affiliate investments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7,426</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(12,344 )</w:t>
            </w:r>
          </w:p>
        </w:tc>
        <w:tc>
          <w:tcPr>
            <w:tcW w:w="3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(1,866 )</w:t>
            </w: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(25,518 )</w:t>
            </w:r>
          </w:p>
        </w:tc>
        <w:tc>
          <w:tcPr>
            <w:tcW w:w="0" w:type="dxa"/>
            <w:vAlign w:val="bottom"/>
          </w:tcPr>
          <w:p>
            <w:pPr>
              <w:spacing w:after="0"/>
              <w:rPr>
                <w:sz w:val="1"/>
                <w:szCs w:val="1"/>
                <w:color w:val="auto"/>
              </w:rPr>
            </w:pPr>
          </w:p>
        </w:tc>
      </w:tr>
      <w:tr>
        <w:trPr>
          <w:trHeight w:val="197"/>
        </w:trPr>
        <w:tc>
          <w:tcPr>
            <w:tcW w:w="4940" w:type="dxa"/>
            <w:vAlign w:val="bottom"/>
          </w:tcPr>
          <w:p>
            <w:pPr>
              <w:ind w:left="200"/>
              <w:spacing w:after="0"/>
              <w:rPr>
                <w:sz w:val="20"/>
                <w:szCs w:val="20"/>
                <w:color w:val="auto"/>
              </w:rPr>
            </w:pPr>
            <w:r>
              <w:rPr>
                <w:rFonts w:ascii="Arial" w:cs="Arial" w:eastAsia="Arial" w:hAnsi="Arial"/>
                <w:sz w:val="14"/>
                <w:szCs w:val="14"/>
                <w:color w:val="auto"/>
              </w:rPr>
              <w:t>Affiliate investments</w:t>
            </w:r>
          </w:p>
        </w:tc>
        <w:tc>
          <w:tcPr>
            <w:tcW w:w="34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2,215</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1,341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Control investments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40" w:type="dxa"/>
            <w:vAlign w:val="bottom"/>
          </w:tcPr>
          <w:p>
            <w:pPr>
              <w:ind w:left="200"/>
              <w:spacing w:after="0"/>
              <w:rPr>
                <w:sz w:val="20"/>
                <w:szCs w:val="20"/>
                <w:color w:val="auto"/>
              </w:rPr>
            </w:pPr>
            <w:r>
              <w:rPr>
                <w:rFonts w:ascii="Arial" w:cs="Arial" w:eastAsia="Arial" w:hAnsi="Arial"/>
                <w:sz w:val="14"/>
                <w:szCs w:val="14"/>
                <w:color w:val="auto"/>
              </w:rPr>
              <w:t>Net realized gain (loss) on investments</w:t>
            </w:r>
          </w:p>
        </w:tc>
        <w:tc>
          <w:tcPr>
            <w:tcW w:w="3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7,426</w:t>
            </w: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(12,344 )</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349</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(24,661 )</w:t>
            </w: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unrealized (depreciation) appreciation investments:</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40" w:type="dxa"/>
            <w:vAlign w:val="bottom"/>
          </w:tcPr>
          <w:p>
            <w:pPr>
              <w:ind w:left="200"/>
              <w:spacing w:after="0"/>
              <w:rPr>
                <w:sz w:val="20"/>
                <w:szCs w:val="20"/>
                <w:color w:val="auto"/>
              </w:rPr>
            </w:pPr>
            <w:r>
              <w:rPr>
                <w:rFonts w:ascii="Arial" w:cs="Arial" w:eastAsia="Arial" w:hAnsi="Arial"/>
                <w:sz w:val="14"/>
                <w:szCs w:val="14"/>
                <w:color w:val="auto"/>
              </w:rPr>
              <w:t>Non-control/non-affiliate investments</w:t>
            </w:r>
          </w:p>
        </w:tc>
        <w:tc>
          <w:tcPr>
            <w:tcW w:w="3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(6,150 )</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15,218</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4,269</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3,686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Affiliate investments</w:t>
            </w:r>
          </w:p>
        </w:tc>
        <w:tc>
          <w:tcPr>
            <w:tcW w:w="34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(2,861 )</w:t>
            </w:r>
          </w:p>
        </w:tc>
        <w:tc>
          <w:tcPr>
            <w:tcW w:w="4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(156 )</w:t>
            </w: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1,190</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(14,887 )</w:t>
            </w:r>
          </w:p>
        </w:tc>
        <w:tc>
          <w:tcPr>
            <w:tcW w:w="0" w:type="dxa"/>
            <w:vAlign w:val="bottom"/>
          </w:tcPr>
          <w:p>
            <w:pPr>
              <w:spacing w:after="0"/>
              <w:rPr>
                <w:sz w:val="1"/>
                <w:szCs w:val="1"/>
                <w:color w:val="auto"/>
              </w:rPr>
            </w:pPr>
          </w:p>
        </w:tc>
      </w:tr>
      <w:tr>
        <w:trPr>
          <w:trHeight w:val="203"/>
        </w:trPr>
        <w:tc>
          <w:tcPr>
            <w:tcW w:w="4940" w:type="dxa"/>
            <w:vAlign w:val="bottom"/>
          </w:tcPr>
          <w:p>
            <w:pPr>
              <w:ind w:left="200"/>
              <w:spacing w:after="0"/>
              <w:rPr>
                <w:sz w:val="20"/>
                <w:szCs w:val="20"/>
                <w:color w:val="auto"/>
              </w:rPr>
            </w:pPr>
            <w:r>
              <w:rPr>
                <w:rFonts w:ascii="Arial" w:cs="Arial" w:eastAsia="Arial" w:hAnsi="Arial"/>
                <w:sz w:val="14"/>
                <w:szCs w:val="14"/>
                <w:color w:val="auto"/>
              </w:rPr>
              <w:t>Control investments</w:t>
            </w:r>
          </w:p>
        </w:tc>
        <w:tc>
          <w:tcPr>
            <w:tcW w:w="340" w:type="dxa"/>
            <w:vAlign w:val="bottom"/>
          </w:tcPr>
          <w:p>
            <w:pPr>
              <w:spacing w:after="0"/>
              <w:rPr>
                <w:sz w:val="17"/>
                <w:szCs w:val="17"/>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(391 )</w:t>
            </w:r>
          </w:p>
        </w:tc>
        <w:tc>
          <w:tcPr>
            <w:tcW w:w="4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(260 )</w:t>
            </w:r>
          </w:p>
        </w:tc>
        <w:tc>
          <w:tcPr>
            <w:tcW w:w="3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(1,420 )</w:t>
            </w:r>
          </w:p>
        </w:tc>
        <w:tc>
          <w:tcPr>
            <w:tcW w:w="44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(398 )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unrealized (depreciation) appreciation on investments</w:t>
            </w: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(9,402 )</w:t>
            </w: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14,802</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(11,599 )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40" w:type="dxa"/>
            <w:vAlign w:val="bottom"/>
            <w:tcBorders>
              <w:bottom w:val="single" w:sz="8" w:color="auto"/>
            </w:tcBorders>
            <w:shd w:val="clear" w:color="auto" w:fill="CFF0FC"/>
          </w:tcPr>
          <w:p>
            <w:pPr>
              <w:spacing w:after="0" w:line="20" w:lineRule="exact"/>
              <w:rPr>
                <w:sz w:val="1"/>
                <w:szCs w:val="1"/>
                <w:color w:val="auto"/>
              </w:rPr>
            </w:pPr>
          </w:p>
        </w:tc>
        <w:tc>
          <w:tcPr>
            <w:tcW w:w="108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tcBorders>
              <w:bottom w:val="single" w:sz="8" w:color="auto"/>
            </w:tcBorders>
            <w:shd w:val="clear" w:color="auto" w:fill="CFF0FC"/>
          </w:tcPr>
          <w:p>
            <w:pPr>
              <w:spacing w:after="0" w:line="20" w:lineRule="exact"/>
              <w:rPr>
                <w:sz w:val="1"/>
                <w:szCs w:val="1"/>
                <w:color w:val="auto"/>
              </w:rPr>
            </w:pPr>
          </w:p>
        </w:tc>
        <w:tc>
          <w:tcPr>
            <w:tcW w:w="960" w:type="dxa"/>
            <w:vAlign w:val="bottom"/>
            <w:tcBorders>
              <w:bottom w:val="single" w:sz="8" w:color="auto"/>
            </w:tcBorders>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940" w:type="dxa"/>
            <w:vAlign w:val="bottom"/>
          </w:tcPr>
          <w:p>
            <w:pPr>
              <w:ind w:left="200"/>
              <w:spacing w:after="0"/>
              <w:rPr>
                <w:sz w:val="20"/>
                <w:szCs w:val="20"/>
                <w:color w:val="auto"/>
              </w:rPr>
            </w:pPr>
            <w:r>
              <w:rPr>
                <w:rFonts w:ascii="Arial" w:cs="Arial" w:eastAsia="Arial" w:hAnsi="Arial"/>
                <w:sz w:val="14"/>
                <w:szCs w:val="14"/>
                <w:color w:val="auto"/>
              </w:rPr>
              <w:t>Total net realized and unrealized (loss) gain on investments</w:t>
            </w:r>
          </w:p>
        </w:tc>
        <w:tc>
          <w:tcPr>
            <w:tcW w:w="340" w:type="dxa"/>
            <w:vAlign w:val="bottom"/>
          </w:tcPr>
          <w:p>
            <w:pPr>
              <w:spacing w:after="0"/>
              <w:rPr>
                <w:sz w:val="15"/>
                <w:szCs w:val="15"/>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(1,976 )</w:t>
            </w:r>
          </w:p>
        </w:tc>
        <w:tc>
          <w:tcPr>
            <w:tcW w:w="4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2,458</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4,388</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(36,260 )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realized gain (loss) on extinguishment of debt</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(815 )</w:t>
            </w:r>
          </w:p>
        </w:tc>
        <w:tc>
          <w:tcPr>
            <w:tcW w:w="4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RESULTING FROM</w:t>
            </w:r>
          </w:p>
        </w:tc>
        <w:tc>
          <w:tcPr>
            <w:tcW w:w="340" w:type="dxa"/>
            <w:vAlign w:val="bottom"/>
            <w:vMerge w:val="restart"/>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(3,486 )</w:t>
            </w:r>
          </w:p>
        </w:tc>
        <w:tc>
          <w:tcPr>
            <w:tcW w:w="420" w:type="dxa"/>
            <w:vAlign w:val="bottom"/>
            <w:vMerge w:val="restart"/>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3,355</w:t>
            </w:r>
          </w:p>
        </w:tc>
        <w:tc>
          <w:tcPr>
            <w:tcW w:w="200" w:type="dxa"/>
            <w:vAlign w:val="bottom"/>
            <w:shd w:val="clear" w:color="auto" w:fill="CFF0FC"/>
          </w:tcPr>
          <w:p>
            <w:pPr>
              <w:spacing w:after="0"/>
              <w:rPr>
                <w:sz w:val="15"/>
                <w:szCs w:val="15"/>
                <w:color w:val="auto"/>
              </w:rPr>
            </w:pPr>
          </w:p>
        </w:tc>
        <w:tc>
          <w:tcPr>
            <w:tcW w:w="320" w:type="dxa"/>
            <w:vAlign w:val="bottom"/>
            <w:vMerge w:val="restart"/>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1,314</w:t>
            </w:r>
          </w:p>
        </w:tc>
        <w:tc>
          <w:tcPr>
            <w:tcW w:w="220" w:type="dxa"/>
            <w:vAlign w:val="bottom"/>
            <w:shd w:val="clear" w:color="auto" w:fill="CFF0FC"/>
          </w:tcPr>
          <w:p>
            <w:pPr>
              <w:spacing w:after="0"/>
              <w:rPr>
                <w:sz w:val="15"/>
                <w:szCs w:val="15"/>
                <w:color w:val="auto"/>
              </w:rPr>
            </w:pPr>
          </w:p>
        </w:tc>
        <w:tc>
          <w:tcPr>
            <w:tcW w:w="440" w:type="dxa"/>
            <w:vAlign w:val="bottom"/>
            <w:vMerge w:val="restart"/>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(35,985 )</w:t>
            </w:r>
          </w:p>
        </w:tc>
        <w:tc>
          <w:tcPr>
            <w:tcW w:w="0" w:type="dxa"/>
            <w:vAlign w:val="bottom"/>
          </w:tcPr>
          <w:p>
            <w:pPr>
              <w:spacing w:after="0"/>
              <w:rPr>
                <w:sz w:val="1"/>
                <w:szCs w:val="1"/>
                <w:color w:val="auto"/>
              </w:rPr>
            </w:pPr>
          </w:p>
        </w:tc>
      </w:tr>
      <w:tr>
        <w:trPr>
          <w:trHeight w:val="194"/>
        </w:trPr>
        <w:tc>
          <w:tcPr>
            <w:tcW w:w="4940" w:type="dxa"/>
            <w:vAlign w:val="bottom"/>
            <w:shd w:val="clear" w:color="auto" w:fill="CFF0FC"/>
          </w:tcPr>
          <w:p>
            <w:pPr>
              <w:ind w:left="20"/>
              <w:spacing w:after="0" w:line="154" w:lineRule="exact"/>
              <w:rPr>
                <w:sz w:val="20"/>
                <w:szCs w:val="20"/>
                <w:color w:val="auto"/>
              </w:rPr>
            </w:pPr>
            <w:r>
              <w:rPr>
                <w:rFonts w:ascii="Arial" w:cs="Arial" w:eastAsia="Arial" w:hAnsi="Arial"/>
                <w:sz w:val="14"/>
                <w:szCs w:val="14"/>
                <w:color w:val="auto"/>
              </w:rPr>
              <w:t>OPERATIONS</w:t>
            </w:r>
          </w:p>
        </w:tc>
        <w:tc>
          <w:tcPr>
            <w:tcW w:w="340" w:type="dxa"/>
            <w:vAlign w:val="bottom"/>
            <w:vMerge w:val="continue"/>
            <w:shd w:val="clear" w:color="auto" w:fill="CFF0FC"/>
          </w:tcPr>
          <w:p>
            <w:pPr>
              <w:spacing w:after="0"/>
              <w:rPr>
                <w:sz w:val="16"/>
                <w:szCs w:val="16"/>
                <w:color w:val="auto"/>
              </w:rPr>
            </w:pPr>
          </w:p>
        </w:tc>
        <w:tc>
          <w:tcPr>
            <w:tcW w:w="1320" w:type="dxa"/>
            <w:vAlign w:val="bottom"/>
            <w:gridSpan w:val="2"/>
            <w:vMerge w:val="continue"/>
            <w:shd w:val="clear" w:color="auto" w:fill="CFF0FC"/>
          </w:tcPr>
          <w:p>
            <w:pPr>
              <w:spacing w:after="0"/>
              <w:rPr>
                <w:sz w:val="16"/>
                <w:szCs w:val="16"/>
                <w:color w:val="auto"/>
              </w:rPr>
            </w:pPr>
          </w:p>
        </w:tc>
        <w:tc>
          <w:tcPr>
            <w:tcW w:w="420" w:type="dxa"/>
            <w:vAlign w:val="bottom"/>
            <w:vMerge w:val="continue"/>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106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440" w:type="dxa"/>
            <w:vAlign w:val="bottom"/>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4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(DECREASE) INCREASE IN NET ASSETS PER SHARE RESULTING</w:t>
            </w: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ind w:left="20"/>
              <w:spacing w:after="0" w:line="215" w:lineRule="exact"/>
              <w:rPr>
                <w:sz w:val="20"/>
                <w:szCs w:val="20"/>
                <w:color w:val="auto"/>
              </w:rPr>
            </w:pPr>
            <w:r>
              <w:rPr>
                <w:rFonts w:ascii="Arial" w:cs="Arial" w:eastAsia="Arial" w:hAnsi="Arial"/>
                <w:sz w:val="14"/>
                <w:szCs w:val="14"/>
                <w:color w:val="auto"/>
              </w:rPr>
              <w:t xml:space="preserve">FROM OPERATIONS – BASIC AND DILUTED </w:t>
            </w:r>
            <w:r>
              <w:rPr>
                <w:rFonts w:ascii="Arial" w:cs="Arial" w:eastAsia="Arial" w:hAnsi="Arial"/>
                <w:sz w:val="19"/>
                <w:szCs w:val="19"/>
                <w:color w:val="auto"/>
                <w:vertAlign w:val="superscript"/>
              </w:rPr>
              <w:t>(1)</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(1.29 )</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(13.29 )</w:t>
            </w: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4940" w:type="dxa"/>
            <w:vAlign w:val="bottom"/>
            <w:shd w:val="clear" w:color="auto" w:fill="CFF0FC"/>
          </w:tcPr>
          <w:p>
            <w:pPr>
              <w:ind w:left="20"/>
              <w:spacing w:after="0"/>
              <w:rPr>
                <w:sz w:val="20"/>
                <w:szCs w:val="20"/>
                <w:color w:val="auto"/>
              </w:rPr>
            </w:pPr>
            <w:r>
              <w:rPr>
                <w:rFonts w:ascii="Arial" w:cs="Arial" w:eastAsia="Arial" w:hAnsi="Arial"/>
                <w:sz w:val="14"/>
                <w:szCs w:val="14"/>
                <w:color w:val="auto"/>
              </w:rPr>
              <w:t>WEIGHTED AVERAGE COMMON STOCK OUTSTANDING – BASIC AND</w:t>
            </w:r>
          </w:p>
        </w:tc>
        <w:tc>
          <w:tcPr>
            <w:tcW w:w="3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940" w:type="dxa"/>
            <w:vAlign w:val="bottom"/>
            <w:shd w:val="clear" w:color="auto" w:fill="CFF0FC"/>
          </w:tcPr>
          <w:p>
            <w:pPr>
              <w:ind w:left="20"/>
              <w:spacing w:after="0" w:line="215" w:lineRule="exact"/>
              <w:rPr>
                <w:sz w:val="20"/>
                <w:szCs w:val="20"/>
                <w:color w:val="auto"/>
              </w:rPr>
            </w:pPr>
            <w:r>
              <w:rPr>
                <w:rFonts w:ascii="Arial" w:cs="Arial" w:eastAsia="Arial" w:hAnsi="Arial"/>
                <w:sz w:val="14"/>
                <w:szCs w:val="14"/>
                <w:color w:val="auto"/>
              </w:rPr>
              <w:t xml:space="preserve">DILUTED </w:t>
            </w:r>
            <w:r>
              <w:rPr>
                <w:rFonts w:ascii="Arial" w:cs="Arial" w:eastAsia="Arial" w:hAnsi="Arial"/>
                <w:sz w:val="19"/>
                <w:szCs w:val="19"/>
                <w:color w:val="auto"/>
                <w:vertAlign w:val="superscript"/>
              </w:rPr>
              <w:t>(1)</w:t>
            </w: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2,708,532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40" w:type="dxa"/>
            <w:vAlign w:val="bottom"/>
            <w:shd w:val="clear" w:color="auto" w:fill="CFF0FC"/>
          </w:tcPr>
          <w:p>
            <w:pPr>
              <w:ind w:left="20"/>
              <w:spacing w:after="0" w:line="203" w:lineRule="exact"/>
              <w:rPr>
                <w:sz w:val="20"/>
                <w:szCs w:val="20"/>
                <w:color w:val="auto"/>
              </w:rPr>
            </w:pPr>
            <w:r>
              <w:rPr>
                <w:rFonts w:ascii="Arial" w:cs="Arial" w:eastAsia="Arial" w:hAnsi="Arial"/>
                <w:sz w:val="14"/>
                <w:szCs w:val="14"/>
                <w:color w:val="auto"/>
              </w:rPr>
              <w:t xml:space="preserve">DISTRIBUTIONS PAID PER SHARE </w:t>
            </w:r>
            <w:r>
              <w:rPr>
                <w:rFonts w:ascii="Arial" w:cs="Arial" w:eastAsia="Arial" w:hAnsi="Arial"/>
                <w:sz w:val="19"/>
                <w:szCs w:val="19"/>
                <w:color w:val="auto"/>
                <w:vertAlign w:val="superscript"/>
              </w:rPr>
              <w:t>(2)</w:t>
            </w:r>
          </w:p>
        </w:tc>
        <w:tc>
          <w:tcPr>
            <w:tcW w:w="34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FF0FC"/>
          </w:tcPr>
          <w:p>
            <w:pPr>
              <w:jc w:val="right"/>
              <w:ind w:right="28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-5851525</wp:posOffset>
            </wp:positionV>
            <wp:extent cx="15430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-5851525</wp:posOffset>
            </wp:positionV>
            <wp:extent cx="13716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-5851525</wp:posOffset>
            </wp:positionV>
            <wp:extent cx="13716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-5851525</wp:posOffset>
            </wp:positionV>
            <wp:extent cx="5143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-5335270</wp:posOffset>
            </wp:positionV>
            <wp:extent cx="17970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9705" cy="16256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-5335270</wp:posOffset>
            </wp:positionV>
            <wp:extent cx="16256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-5335270</wp:posOffset>
            </wp:positionV>
            <wp:extent cx="16256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-5335270</wp:posOffset>
            </wp:positionV>
            <wp:extent cx="76835" cy="1625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-4812665</wp:posOffset>
            </wp:positionV>
            <wp:extent cx="179705" cy="1625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9705" cy="16256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-4812665</wp:posOffset>
            </wp:positionV>
            <wp:extent cx="162560" cy="1625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6061710</wp:posOffset>
            </wp:positionH>
            <wp:positionV relativeFrom="paragraph">
              <wp:posOffset>-4812665</wp:posOffset>
            </wp:positionV>
            <wp:extent cx="16256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7073265</wp:posOffset>
            </wp:positionH>
            <wp:positionV relativeFrom="paragraph">
              <wp:posOffset>-4812665</wp:posOffset>
            </wp:positionV>
            <wp:extent cx="76835"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-4531360</wp:posOffset>
            </wp:positionV>
            <wp:extent cx="15430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-4531360</wp:posOffset>
            </wp:positionV>
            <wp:extent cx="1371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-4531360</wp:posOffset>
            </wp:positionV>
            <wp:extent cx="13716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-4531360</wp:posOffset>
            </wp:positionV>
            <wp:extent cx="514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-3476625</wp:posOffset>
            </wp:positionV>
            <wp:extent cx="154305"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-3476625</wp:posOffset>
            </wp:positionV>
            <wp:extent cx="1371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-3476625</wp:posOffset>
            </wp:positionV>
            <wp:extent cx="13716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-3476625</wp:posOffset>
            </wp:positionV>
            <wp:extent cx="514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-3211195</wp:posOffset>
            </wp:positionV>
            <wp:extent cx="154305"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-3211195</wp:posOffset>
            </wp:positionV>
            <wp:extent cx="1371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-3211195</wp:posOffset>
            </wp:positionV>
            <wp:extent cx="13716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-3211195</wp:posOffset>
            </wp:positionV>
            <wp:extent cx="514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-2430780</wp:posOffset>
            </wp:positionV>
            <wp:extent cx="1543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-2430780</wp:posOffset>
            </wp:positionV>
            <wp:extent cx="13716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-2430780</wp:posOffset>
            </wp:positionV>
            <wp:extent cx="13716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-2430780</wp:posOffset>
            </wp:positionV>
            <wp:extent cx="514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-1642110</wp:posOffset>
            </wp:positionV>
            <wp:extent cx="13716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-1642110</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4021455</wp:posOffset>
            </wp:positionH>
            <wp:positionV relativeFrom="paragraph">
              <wp:posOffset>-1649730</wp:posOffset>
            </wp:positionV>
            <wp:extent cx="179705" cy="162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9705" cy="16256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-1649730</wp:posOffset>
            </wp:positionV>
            <wp:extent cx="162560" cy="162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2560" cy="16256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-1367790</wp:posOffset>
            </wp:positionV>
            <wp:extent cx="1543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-1367790</wp:posOffset>
            </wp:positionV>
            <wp:extent cx="13716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-1367790</wp:posOffset>
            </wp:positionV>
            <wp:extent cx="13716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-1367790</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-1019175</wp:posOffset>
            </wp:positionV>
            <wp:extent cx="1543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-1002030</wp:posOffset>
            </wp:positionV>
            <wp:extent cx="1543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-1019175</wp:posOffset>
            </wp:positionV>
            <wp:extent cx="1371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-1002030</wp:posOffset>
            </wp:positionV>
            <wp:extent cx="137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-1019175</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-1002030</wp:posOffset>
            </wp:positionV>
            <wp:extent cx="1371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-1019175</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-1002030</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2" w:lineRule="exact"/>
        <w:rPr>
          <w:sz w:val="20"/>
          <w:szCs w:val="20"/>
          <w:color w:val="auto"/>
        </w:rPr>
      </w:pPr>
    </w:p>
    <w:p>
      <w:pPr>
        <w:ind w:left="440" w:hanging="432"/>
        <w:spacing w:after="0" w:line="254"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6"/>
          <w:szCs w:val="16"/>
          <w:color w:val="auto"/>
        </w:rPr>
        <w:t>Basic and diluted shares of Logan Ridge Finance Corporation's (the "Company") common stock have been adjusted for the three and nine months ended September 30, 2020 to reflect the one-for-six reverse stock split effected on August 21, 2020 on a retroactive basis, as described in Note 1.</w:t>
      </w:r>
    </w:p>
    <w:p>
      <w:pPr>
        <w:spacing w:after="0" w:line="18" w:lineRule="exact"/>
        <w:rPr>
          <w:rFonts w:ascii="Arial" w:cs="Arial" w:eastAsia="Arial" w:hAnsi="Arial"/>
          <w:sz w:val="18"/>
          <w:szCs w:val="18"/>
          <w:color w:val="auto"/>
        </w:rPr>
      </w:pPr>
    </w:p>
    <w:p>
      <w:pPr>
        <w:ind w:left="440" w:hanging="432"/>
        <w:spacing w:after="0" w:line="28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6"/>
          <w:szCs w:val="16"/>
          <w:color w:val="auto"/>
        </w:rPr>
        <w:t>Dividends paid per share of the Company's common stock have been adjusted for the three and nine months ended September 30, 2020 to reflect the one-for-six reverse stock split effected on August 21, 2020 on a retroactive basis, as described in Note 1</w:t>
      </w:r>
      <w:r>
        <w:rPr>
          <w:rFonts w:ascii="Arial" w:cs="Arial" w:eastAsia="Arial" w:hAnsi="Arial"/>
          <w:sz w:val="17"/>
          <w:szCs w:val="17"/>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9"/>
                <w:szCs w:val="19"/>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4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5"/>
          </w:tcPr>
          <w:p>
            <w:pPr>
              <w:jc w:val="right"/>
              <w:ind w:right="280"/>
              <w:spacing w:after="0" w:line="154" w:lineRule="exact"/>
              <w:rPr>
                <w:sz w:val="20"/>
                <w:szCs w:val="20"/>
                <w:color w:val="auto"/>
              </w:rPr>
            </w:pPr>
            <w:r>
              <w:rPr>
                <w:rFonts w:ascii="Arial" w:cs="Arial" w:eastAsia="Arial" w:hAnsi="Arial"/>
                <w:sz w:val="14"/>
                <w:szCs w:val="14"/>
                <w:b w:val="1"/>
                <w:bCs w:val="1"/>
                <w:color w:val="auto"/>
                <w:w w:val="94"/>
              </w:rPr>
              <w:t>Additional Paid in</w:t>
            </w:r>
          </w:p>
        </w:tc>
        <w:tc>
          <w:tcPr>
            <w:tcW w:w="1280" w:type="dxa"/>
            <w:vAlign w:val="bottom"/>
            <w:gridSpan w:val="5"/>
          </w:tcPr>
          <w:p>
            <w:pPr>
              <w:ind w:left="20"/>
              <w:spacing w:after="0" w:line="154" w:lineRule="exact"/>
              <w:rPr>
                <w:sz w:val="20"/>
                <w:szCs w:val="20"/>
                <w:color w:val="auto"/>
              </w:rPr>
            </w:pPr>
            <w:r>
              <w:rPr>
                <w:rFonts w:ascii="Arial" w:cs="Arial" w:eastAsia="Arial" w:hAnsi="Arial"/>
                <w:sz w:val="14"/>
                <w:szCs w:val="14"/>
                <w:b w:val="1"/>
                <w:bCs w:val="1"/>
                <w:color w:val="auto"/>
              </w:rPr>
              <w:t>Total Distributable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For the Three Months Ended September 30, 2021 and 2020</w:t>
            </w: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260" w:type="dxa"/>
            <w:vAlign w:val="bottom"/>
          </w:tcPr>
          <w:p>
            <w:pPr>
              <w:spacing w:after="0"/>
              <w:rPr>
                <w:sz w:val="18"/>
                <w:szCs w:val="18"/>
                <w:color w:val="auto"/>
              </w:rPr>
            </w:pPr>
          </w:p>
        </w:tc>
        <w:tc>
          <w:tcPr>
            <w:tcW w:w="10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b w:val="1"/>
                <w:bCs w:val="1"/>
                <w:color w:val="auto"/>
              </w:rPr>
              <w:t>Par Value</w:t>
            </w: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bottom w:val="single" w:sz="8" w:color="auto"/>
            </w:tcBorders>
            <w:gridSpan w:val="4"/>
          </w:tcPr>
          <w:p>
            <w:pPr>
              <w:jc w:val="right"/>
              <w:ind w:right="248"/>
              <w:spacing w:after="0" w:line="217" w:lineRule="exact"/>
              <w:rPr>
                <w:sz w:val="20"/>
                <w:szCs w:val="20"/>
                <w:color w:val="auto"/>
              </w:rPr>
            </w:pPr>
            <w:r>
              <w:rPr>
                <w:rFonts w:ascii="Arial" w:cs="Arial" w:eastAsia="Arial" w:hAnsi="Arial"/>
                <w:sz w:val="14"/>
                <w:szCs w:val="14"/>
                <w:b w:val="1"/>
                <w:bCs w:val="1"/>
                <w:color w:val="auto"/>
              </w:rPr>
              <w:t xml:space="preserve">Capital </w:t>
            </w:r>
            <w:r>
              <w:rPr>
                <w:rFonts w:ascii="Arial" w:cs="Arial" w:eastAsia="Arial" w:hAnsi="Arial"/>
                <w:sz w:val="19"/>
                <w:szCs w:val="19"/>
                <w:b w:val="1"/>
                <w:bCs w:val="1"/>
                <w:color w:val="auto"/>
                <w:vertAlign w:val="superscript"/>
              </w:rPr>
              <w:t>(1)</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w w:val="89"/>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June 30, 2021</w:t>
            </w:r>
          </w:p>
        </w:tc>
        <w:tc>
          <w:tcPr>
            <w:tcW w:w="40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229,481</w:t>
            </w: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(115,761 )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113,747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200"/>
              <w:spacing w:after="0"/>
              <w:rPr>
                <w:sz w:val="20"/>
                <w:szCs w:val="20"/>
                <w:color w:val="auto"/>
              </w:rPr>
            </w:pPr>
            <w:r>
              <w:rPr>
                <w:rFonts w:ascii="Arial" w:cs="Arial" w:eastAsia="Arial" w:hAnsi="Arial"/>
                <w:sz w:val="14"/>
                <w:szCs w:val="14"/>
                <w:color w:val="auto"/>
              </w:rPr>
              <w:t>Net investment loss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(1,510 )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(1,510 )</w:t>
            </w:r>
          </w:p>
        </w:tc>
        <w:tc>
          <w:tcPr>
            <w:tcW w:w="0" w:type="dxa"/>
            <w:vAlign w:val="bottom"/>
          </w:tcPr>
          <w:p>
            <w:pPr>
              <w:spacing w:after="0"/>
              <w:rPr>
                <w:sz w:val="1"/>
                <w:szCs w:val="1"/>
                <w:color w:val="auto"/>
              </w:rPr>
            </w:pPr>
          </w:p>
        </w:tc>
      </w:tr>
      <w:tr>
        <w:trPr>
          <w:trHeight w:val="208"/>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gain on investments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200"/>
              <w:spacing w:after="0"/>
              <w:rPr>
                <w:sz w:val="20"/>
                <w:szCs w:val="20"/>
                <w:color w:val="auto"/>
              </w:rPr>
            </w:pPr>
            <w:r>
              <w:rPr>
                <w:rFonts w:ascii="Arial" w:cs="Arial" w:eastAsia="Arial" w:hAnsi="Arial"/>
                <w:sz w:val="14"/>
                <w:szCs w:val="14"/>
                <w:color w:val="auto"/>
              </w:rPr>
              <w:t>Net unrealized depreciation on investments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(9,402 )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(9,402 )</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CFF0FC"/>
          </w:tcPr>
          <w:p>
            <w:pPr>
              <w:ind w:left="20"/>
              <w:spacing w:after="0"/>
              <w:rPr>
                <w:sz w:val="20"/>
                <w:szCs w:val="20"/>
                <w:color w:val="auto"/>
              </w:rPr>
            </w:pPr>
            <w:r>
              <w:rPr>
                <w:rFonts w:ascii="Arial" w:cs="Arial" w:eastAsia="Arial" w:hAnsi="Arial"/>
                <w:sz w:val="14"/>
                <w:szCs w:val="14"/>
                <w:color w:val="auto"/>
              </w:rPr>
              <w:t>BALANCE, September 30, 2021</w:t>
            </w: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200" w:type="dxa"/>
            <w:vAlign w:val="bottom"/>
            <w:vMerge w:val="continue"/>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08"/>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jc w:val="right"/>
              <w:ind w:right="22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4"/>
              </w:rPr>
              <w:t>229,481</w:t>
            </w:r>
          </w:p>
        </w:tc>
        <w:tc>
          <w:tcPr>
            <w:tcW w:w="2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(119,247 )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110,261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200" w:type="dxa"/>
            <w:vAlign w:val="bottom"/>
            <w:tcBorders>
              <w:top w:val="single" w:sz="8" w:color="CFF0FC"/>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spacing w:after="0"/>
              <w:rPr>
                <w:sz w:val="17"/>
                <w:szCs w:val="17"/>
                <w:color w:val="auto"/>
              </w:rPr>
            </w:pPr>
          </w:p>
        </w:tc>
        <w:tc>
          <w:tcPr>
            <w:tcW w:w="300" w:type="dxa"/>
            <w:vAlign w:val="bottom"/>
            <w:gridSpan w:val="2"/>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BALANCE, June 30, 2020</w:t>
            </w:r>
          </w:p>
        </w:tc>
        <w:tc>
          <w:tcPr>
            <w:tcW w:w="40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2,711,081</w:t>
            </w:r>
          </w:p>
        </w:tc>
        <w:tc>
          <w:tcPr>
            <w:tcW w:w="260" w:type="dxa"/>
            <w:vAlign w:val="bottom"/>
          </w:tcPr>
          <w:p>
            <w:pPr>
              <w:spacing w:after="0"/>
              <w:rPr>
                <w:sz w:val="17"/>
                <w:szCs w:val="17"/>
                <w:color w:val="auto"/>
              </w:rPr>
            </w:pP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7"/>
                <w:szCs w:val="17"/>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238,355</w:t>
            </w:r>
          </w:p>
        </w:tc>
        <w:tc>
          <w:tcPr>
            <w:tcW w:w="20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(133,328 )</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105,054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income</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0"/>
              <w:spacing w:after="0"/>
              <w:rPr>
                <w:sz w:val="20"/>
                <w:szCs w:val="20"/>
                <w:color w:val="auto"/>
              </w:rPr>
            </w:pPr>
            <w:r>
              <w:rPr>
                <w:rFonts w:ascii="Arial" w:cs="Arial" w:eastAsia="Arial" w:hAnsi="Arial"/>
                <w:sz w:val="14"/>
                <w:szCs w:val="14"/>
                <w:color w:val="auto"/>
              </w:rPr>
              <w:t>Net realized loss on investments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(12,344 )</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(12,344 )</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unrealized appreciation on investments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14,802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0"/>
              <w:spacing w:after="0"/>
              <w:rPr>
                <w:sz w:val="20"/>
                <w:szCs w:val="20"/>
                <w:color w:val="auto"/>
              </w:rPr>
            </w:pPr>
            <w:r>
              <w:rPr>
                <w:rFonts w:ascii="Arial" w:cs="Arial" w:eastAsia="Arial" w:hAnsi="Arial"/>
                <w:sz w:val="14"/>
                <w:szCs w:val="14"/>
                <w:color w:val="auto"/>
              </w:rPr>
              <w:t>Net realized gain on extinguishment of debt</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4"/>
                <w:szCs w:val="14"/>
                <w:color w:val="auto"/>
                <w:w w:val="99"/>
              </w:rPr>
              <w:t>—</w:t>
            </w: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w w:val="94"/>
              </w:rPr>
              <w:t>Fractional shares settled in cash as part of one-for-six reverse stock</w:t>
            </w:r>
          </w:p>
        </w:tc>
        <w:tc>
          <w:tcPr>
            <w:tcW w:w="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split</w:t>
            </w:r>
          </w:p>
        </w:tc>
        <w:tc>
          <w:tcPr>
            <w:tcW w:w="400" w:type="dxa"/>
            <w:vAlign w:val="bottom"/>
            <w:shd w:val="clear" w:color="auto" w:fill="CFF0FC"/>
          </w:tcPr>
          <w:p>
            <w:pPr>
              <w:spacing w:after="0"/>
              <w:rPr>
                <w:sz w:val="16"/>
                <w:szCs w:val="16"/>
                <w:color w:val="auto"/>
              </w:rPr>
            </w:pPr>
          </w:p>
        </w:tc>
        <w:tc>
          <w:tcPr>
            <w:tcW w:w="1080" w:type="dxa"/>
            <w:vAlign w:val="bottom"/>
            <w:gridSpan w:val="3"/>
            <w:shd w:val="clear" w:color="auto" w:fill="CFF0FC"/>
          </w:tcPr>
          <w:p>
            <w:pPr>
              <w:jc w:val="right"/>
              <w:ind w:right="200"/>
              <w:spacing w:after="0"/>
              <w:rPr>
                <w:sz w:val="20"/>
                <w:szCs w:val="20"/>
                <w:color w:val="auto"/>
              </w:rPr>
            </w:pPr>
            <w:r>
              <w:rPr>
                <w:rFonts w:ascii="Arial" w:cs="Arial" w:eastAsia="Arial" w:hAnsi="Arial"/>
                <w:sz w:val="14"/>
                <w:szCs w:val="14"/>
                <w:color w:val="auto"/>
              </w:rPr>
              <w:t>(13 )</w:t>
            </w: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BALANCE, September 30, 2020</w:t>
            </w:r>
          </w:p>
        </w:tc>
        <w:tc>
          <w:tcPr>
            <w:tcW w:w="4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2,711,068</w:t>
            </w:r>
          </w:p>
        </w:tc>
        <w:tc>
          <w:tcPr>
            <w:tcW w:w="260" w:type="dxa"/>
            <w:vAlign w:val="bottom"/>
          </w:tcPr>
          <w:p>
            <w:pPr>
              <w:spacing w:after="0"/>
              <w:rPr>
                <w:sz w:val="16"/>
                <w:szCs w:val="16"/>
                <w:color w:val="auto"/>
              </w:rPr>
            </w:pP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6"/>
                <w:szCs w:val="16"/>
                <w:color w:val="auto"/>
              </w:rPr>
            </w:pP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w w:val="94"/>
              </w:rPr>
              <w:t>238,355</w:t>
            </w:r>
          </w:p>
        </w:tc>
        <w:tc>
          <w:tcPr>
            <w:tcW w:w="20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(129,973 )</w:t>
            </w:r>
          </w:p>
        </w:tc>
        <w:tc>
          <w:tcPr>
            <w:tcW w:w="3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108,409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 xml:space="preserve">Common Stock </w:t>
            </w:r>
            <w:r>
              <w:rPr>
                <w:rFonts w:ascii="Arial" w:cs="Arial" w:eastAsia="Arial" w:hAnsi="Arial"/>
                <w:sz w:val="19"/>
                <w:szCs w:val="19"/>
                <w:b w:val="1"/>
                <w:bCs w:val="1"/>
                <w:color w:val="auto"/>
                <w:vertAlign w:val="superscript"/>
              </w:rPr>
              <w:t>(1)</w:t>
            </w: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b w:val="1"/>
                <w:bCs w:val="1"/>
                <w:color w:val="auto"/>
              </w:rPr>
              <w:t>Paid in</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6"/>
          </w:tcPr>
          <w:p>
            <w:pPr>
              <w:ind w:left="20"/>
              <w:spacing w:after="0" w:line="157" w:lineRule="exact"/>
              <w:rPr>
                <w:sz w:val="20"/>
                <w:szCs w:val="20"/>
                <w:color w:val="auto"/>
              </w:rPr>
            </w:pPr>
            <w:r>
              <w:rPr>
                <w:rFonts w:ascii="Arial" w:cs="Arial" w:eastAsia="Arial" w:hAnsi="Arial"/>
                <w:sz w:val="14"/>
                <w:szCs w:val="14"/>
                <w:b w:val="1"/>
                <w:bCs w:val="1"/>
                <w:color w:val="auto"/>
              </w:rPr>
              <w:t>Total Distributable</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For the Nine Months Ended September 30, 2021 and 2020</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Number of Shares</w:t>
            </w:r>
          </w:p>
        </w:tc>
        <w:tc>
          <w:tcPr>
            <w:tcW w:w="240" w:type="dxa"/>
            <w:vAlign w:val="bottom"/>
          </w:tcPr>
          <w:p>
            <w:pPr>
              <w:spacing w:after="0"/>
              <w:rPr>
                <w:sz w:val="18"/>
                <w:szCs w:val="18"/>
                <w:color w:val="auto"/>
              </w:rPr>
            </w:pPr>
          </w:p>
        </w:tc>
        <w:tc>
          <w:tcPr>
            <w:tcW w:w="8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Par Value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ind w:right="40"/>
              <w:spacing w:after="0" w:line="217" w:lineRule="exact"/>
              <w:rPr>
                <w:sz w:val="20"/>
                <w:szCs w:val="20"/>
                <w:color w:val="auto"/>
              </w:rPr>
            </w:pPr>
            <w:r>
              <w:rPr>
                <w:rFonts w:ascii="Arial" w:cs="Arial" w:eastAsia="Arial" w:hAnsi="Arial"/>
                <w:sz w:val="14"/>
                <w:szCs w:val="14"/>
                <w:b w:val="1"/>
                <w:bCs w:val="1"/>
                <w:color w:val="auto"/>
                <w:w w:val="99"/>
              </w:rPr>
              <w:t xml:space="preserve">Capital </w:t>
            </w:r>
            <w:r>
              <w:rPr>
                <w:rFonts w:ascii="Arial" w:cs="Arial" w:eastAsia="Arial" w:hAnsi="Arial"/>
                <w:sz w:val="19"/>
                <w:szCs w:val="19"/>
                <w:b w:val="1"/>
                <w:bCs w:val="1"/>
                <w:color w:val="auto"/>
                <w:w w:val="99"/>
                <w:vertAlign w:val="superscript"/>
              </w:rPr>
              <w:t>(1)</w:t>
            </w: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Loss</w:t>
            </w:r>
          </w:p>
        </w:tc>
        <w:tc>
          <w:tcPr>
            <w:tcW w:w="1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2020</w:t>
            </w:r>
          </w:p>
        </w:tc>
        <w:tc>
          <w:tcPr>
            <w:tcW w:w="4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229,481</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w w:val="76"/>
              </w:rPr>
              <w:t>$</w:t>
            </w:r>
          </w:p>
        </w:tc>
        <w:tc>
          <w:tcPr>
            <w:tcW w:w="134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(120,561 )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108,947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200"/>
              <w:spacing w:after="0"/>
              <w:rPr>
                <w:sz w:val="20"/>
                <w:szCs w:val="20"/>
                <w:color w:val="auto"/>
              </w:rPr>
            </w:pPr>
            <w:r>
              <w:rPr>
                <w:rFonts w:ascii="Arial" w:cs="Arial" w:eastAsia="Arial" w:hAnsi="Arial"/>
                <w:sz w:val="14"/>
                <w:szCs w:val="14"/>
                <w:color w:val="auto"/>
              </w:rPr>
              <w:t>Net investment loss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4"/>
                <w:szCs w:val="14"/>
                <w:color w:val="auto"/>
              </w:rPr>
              <w:t>(2,259 )</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(2,259 )</w:t>
            </w:r>
          </w:p>
        </w:tc>
        <w:tc>
          <w:tcPr>
            <w:tcW w:w="0" w:type="dxa"/>
            <w:vAlign w:val="bottom"/>
          </w:tcPr>
          <w:p>
            <w:pPr>
              <w:spacing w:after="0"/>
              <w:rPr>
                <w:sz w:val="1"/>
                <w:szCs w:val="1"/>
                <w:color w:val="auto"/>
              </w:rPr>
            </w:pPr>
          </w:p>
        </w:tc>
      </w:tr>
      <w:tr>
        <w:trPr>
          <w:trHeight w:val="208"/>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gain on investments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349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200" w:type="dxa"/>
            <w:vAlign w:val="bottom"/>
          </w:tcPr>
          <w:p>
            <w:pPr>
              <w:ind w:left="200"/>
              <w:spacing w:after="0"/>
              <w:rPr>
                <w:sz w:val="20"/>
                <w:szCs w:val="20"/>
                <w:color w:val="auto"/>
              </w:rPr>
            </w:pPr>
            <w:r>
              <w:rPr>
                <w:rFonts w:ascii="Arial" w:cs="Arial" w:eastAsia="Arial" w:hAnsi="Arial"/>
                <w:sz w:val="14"/>
                <w:szCs w:val="14"/>
                <w:color w:val="auto"/>
              </w:rPr>
              <w:t>Net unrealized appreciation on investments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4"/>
          </w:tcPr>
          <w:p>
            <w:pPr>
              <w:jc w:val="right"/>
              <w:ind w:right="20"/>
              <w:spacing w:after="0"/>
              <w:rPr>
                <w:sz w:val="20"/>
                <w:szCs w:val="20"/>
                <w:color w:val="auto"/>
              </w:rPr>
            </w:pPr>
            <w:r>
              <w:rPr>
                <w:rFonts w:ascii="Arial" w:cs="Arial" w:eastAsia="Arial" w:hAnsi="Arial"/>
                <w:sz w:val="14"/>
                <w:szCs w:val="14"/>
                <w:color w:val="auto"/>
              </w:rPr>
              <w:t>4,039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4,039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loss on extinguishment of debt</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w w:val="92"/>
              </w:rPr>
              <w:t>(815 )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(815 )</w:t>
            </w:r>
          </w:p>
        </w:tc>
        <w:tc>
          <w:tcPr>
            <w:tcW w:w="0" w:type="dxa"/>
            <w:vAlign w:val="bottom"/>
          </w:tcPr>
          <w:p>
            <w:pPr>
              <w:spacing w:after="0"/>
              <w:rPr>
                <w:sz w:val="1"/>
                <w:szCs w:val="1"/>
                <w:color w:val="auto"/>
              </w:rPr>
            </w:pPr>
          </w:p>
        </w:tc>
      </w:tr>
      <w:tr>
        <w:trPr>
          <w:trHeight w:val="20"/>
        </w:trPr>
        <w:tc>
          <w:tcPr>
            <w:tcW w:w="4200" w:type="dxa"/>
            <w:vAlign w:val="bottom"/>
            <w:vMerge w:val="restart"/>
          </w:tcPr>
          <w:p>
            <w:pPr>
              <w:ind w:left="20"/>
              <w:spacing w:after="0"/>
              <w:rPr>
                <w:sz w:val="20"/>
                <w:szCs w:val="20"/>
                <w:color w:val="auto"/>
              </w:rPr>
            </w:pPr>
            <w:r>
              <w:rPr>
                <w:rFonts w:ascii="Arial" w:cs="Arial" w:eastAsia="Arial" w:hAnsi="Arial"/>
                <w:sz w:val="14"/>
                <w:szCs w:val="14"/>
                <w:color w:val="auto"/>
              </w:rPr>
              <w:t>BALANCE, September 30, 2021</w:t>
            </w: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0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229,481</w:t>
            </w:r>
          </w:p>
        </w:tc>
        <w:tc>
          <w:tcPr>
            <w:tcW w:w="22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gridSpan w:val="5"/>
          </w:tcPr>
          <w:p>
            <w:pPr>
              <w:jc w:val="right"/>
              <w:ind w:right="140"/>
              <w:spacing w:after="0"/>
              <w:rPr>
                <w:sz w:val="20"/>
                <w:szCs w:val="20"/>
                <w:color w:val="auto"/>
              </w:rPr>
            </w:pPr>
            <w:r>
              <w:rPr>
                <w:rFonts w:ascii="Arial" w:cs="Arial" w:eastAsia="Arial" w:hAnsi="Arial"/>
                <w:sz w:val="14"/>
                <w:szCs w:val="14"/>
                <w:color w:val="auto"/>
              </w:rPr>
              <w:t>(119,247 )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110,261</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2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20" w:type="dxa"/>
            <w:vAlign w:val="bottom"/>
            <w:gridSpan w:val="2"/>
            <w:shd w:val="clear" w:color="auto" w:fill="CFF0FC"/>
          </w:tcPr>
          <w:p>
            <w:pPr>
              <w:spacing w:after="0"/>
              <w:rPr>
                <w:sz w:val="16"/>
                <w:szCs w:val="16"/>
                <w:color w:val="auto"/>
              </w:rPr>
            </w:pPr>
          </w:p>
        </w:tc>
        <w:tc>
          <w:tcPr>
            <w:tcW w:w="840" w:type="dxa"/>
            <w:vAlign w:val="bottom"/>
            <w:gridSpan w:val="3"/>
            <w:shd w:val="clear" w:color="auto" w:fill="CFF0FC"/>
          </w:tcPr>
          <w:p>
            <w:pPr>
              <w:spacing w:after="0"/>
              <w:rPr>
                <w:sz w:val="16"/>
                <w:szCs w:val="16"/>
                <w:color w:val="auto"/>
              </w:rPr>
            </w:pPr>
          </w:p>
        </w:tc>
        <w:tc>
          <w:tcPr>
            <w:tcW w:w="320" w:type="dxa"/>
            <w:vAlign w:val="bottom"/>
            <w:gridSpan w:val="2"/>
            <w:shd w:val="clear" w:color="auto" w:fill="CFF0FC"/>
          </w:tcPr>
          <w:p>
            <w:pPr>
              <w:spacing w:after="0"/>
              <w:rPr>
                <w:sz w:val="16"/>
                <w:szCs w:val="16"/>
                <w:color w:val="auto"/>
              </w:rPr>
            </w:pPr>
          </w:p>
        </w:tc>
        <w:tc>
          <w:tcPr>
            <w:tcW w:w="1340" w:type="dxa"/>
            <w:vAlign w:val="bottom"/>
            <w:gridSpan w:val="5"/>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gridSpan w:val="2"/>
          </w:tcPr>
          <w:p>
            <w:pPr>
              <w:spacing w:after="0"/>
              <w:rPr>
                <w:sz w:val="17"/>
                <w:szCs w:val="17"/>
                <w:color w:val="auto"/>
              </w:rPr>
            </w:pPr>
          </w:p>
        </w:tc>
        <w:tc>
          <w:tcPr>
            <w:tcW w:w="840" w:type="dxa"/>
            <w:vAlign w:val="bottom"/>
            <w:gridSpan w:val="3"/>
          </w:tcPr>
          <w:p>
            <w:pPr>
              <w:spacing w:after="0"/>
              <w:rPr>
                <w:sz w:val="17"/>
                <w:szCs w:val="17"/>
                <w:color w:val="auto"/>
              </w:rPr>
            </w:pPr>
          </w:p>
        </w:tc>
        <w:tc>
          <w:tcPr>
            <w:tcW w:w="320" w:type="dxa"/>
            <w:vAlign w:val="bottom"/>
            <w:gridSpan w:val="2"/>
          </w:tcPr>
          <w:p>
            <w:pPr>
              <w:spacing w:after="0"/>
              <w:rPr>
                <w:sz w:val="17"/>
                <w:szCs w:val="17"/>
                <w:color w:val="auto"/>
              </w:rPr>
            </w:pPr>
          </w:p>
        </w:tc>
        <w:tc>
          <w:tcPr>
            <w:tcW w:w="134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December 31, 2019</w:t>
            </w:r>
          </w:p>
        </w:tc>
        <w:tc>
          <w:tcPr>
            <w:tcW w:w="4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2,700,628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4"/>
                <w:szCs w:val="14"/>
                <w:color w:val="auto"/>
              </w:rPr>
              <w:t>238,021</w:t>
            </w:r>
          </w:p>
        </w:tc>
        <w:tc>
          <w:tcPr>
            <w:tcW w:w="32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w w:val="76"/>
              </w:rPr>
              <w:t>$</w:t>
            </w:r>
          </w:p>
        </w:tc>
        <w:tc>
          <w:tcPr>
            <w:tcW w:w="134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(89,935 )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148,113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120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loss on investments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(24,661 )</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(24,661 )</w:t>
            </w:r>
          </w:p>
        </w:tc>
        <w:tc>
          <w:tcPr>
            <w:tcW w:w="0" w:type="dxa"/>
            <w:vAlign w:val="bottom"/>
          </w:tcPr>
          <w:p>
            <w:pPr>
              <w:spacing w:after="0"/>
              <w:rPr>
                <w:sz w:val="1"/>
                <w:szCs w:val="1"/>
                <w:color w:val="auto"/>
              </w:rPr>
            </w:pPr>
          </w:p>
        </w:tc>
      </w:tr>
      <w:tr>
        <w:trPr>
          <w:trHeight w:val="196"/>
        </w:trPr>
        <w:tc>
          <w:tcPr>
            <w:tcW w:w="4200" w:type="dxa"/>
            <w:vAlign w:val="bottom"/>
          </w:tcPr>
          <w:p>
            <w:pPr>
              <w:ind w:left="200"/>
              <w:spacing w:after="0"/>
              <w:rPr>
                <w:sz w:val="20"/>
                <w:szCs w:val="20"/>
                <w:color w:val="auto"/>
              </w:rPr>
            </w:pPr>
            <w:r>
              <w:rPr>
                <w:rFonts w:ascii="Arial" w:cs="Arial" w:eastAsia="Arial" w:hAnsi="Arial"/>
                <w:sz w:val="14"/>
                <w:szCs w:val="14"/>
                <w:color w:val="auto"/>
              </w:rPr>
              <w:t>Net unrealized depreciation on investments</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5"/>
          </w:tcPr>
          <w:p>
            <w:pPr>
              <w:jc w:val="right"/>
              <w:ind w:right="140"/>
              <w:spacing w:after="0"/>
              <w:rPr>
                <w:sz w:val="20"/>
                <w:szCs w:val="20"/>
                <w:color w:val="auto"/>
              </w:rPr>
            </w:pPr>
            <w:r>
              <w:rPr>
                <w:rFonts w:ascii="Arial" w:cs="Arial" w:eastAsia="Arial" w:hAnsi="Arial"/>
                <w:sz w:val="14"/>
                <w:szCs w:val="14"/>
                <w:color w:val="auto"/>
              </w:rPr>
              <w:t>(11,599 )</w:t>
            </w:r>
          </w:p>
        </w:tc>
        <w:tc>
          <w:tcPr>
            <w:tcW w:w="100" w:type="dxa"/>
            <w:vAlign w:val="bottom"/>
          </w:tcPr>
          <w:p>
            <w:pPr>
              <w:spacing w:after="0"/>
              <w:rPr>
                <w:sz w:val="17"/>
                <w:szCs w:val="17"/>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(11,599 )</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realized gain on extinguishment of debt</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155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600" w:type="dxa"/>
            <w:vAlign w:val="bottom"/>
            <w:gridSpan w:val="2"/>
          </w:tcPr>
          <w:p>
            <w:pPr>
              <w:ind w:left="200"/>
              <w:spacing w:after="0"/>
              <w:rPr>
                <w:sz w:val="20"/>
                <w:szCs w:val="20"/>
                <w:color w:val="auto"/>
              </w:rPr>
            </w:pPr>
            <w:r>
              <w:rPr>
                <w:rFonts w:ascii="Arial" w:cs="Arial" w:eastAsia="Arial" w:hAnsi="Arial"/>
                <w:sz w:val="14"/>
                <w:szCs w:val="14"/>
                <w:color w:val="auto"/>
                <w:w w:val="97"/>
              </w:rPr>
              <w:t>Fractional shares settled in cash as part of one-for-six reverse stock split</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(13 )</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Distributions to Shareholders:</w:t>
            </w:r>
          </w:p>
        </w:tc>
        <w:tc>
          <w:tcPr>
            <w:tcW w:w="4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ind w:left="380"/>
              <w:spacing w:after="0"/>
              <w:rPr>
                <w:sz w:val="20"/>
                <w:szCs w:val="20"/>
                <w:color w:val="auto"/>
              </w:rPr>
            </w:pPr>
            <w:r>
              <w:rPr>
                <w:rFonts w:ascii="Arial" w:cs="Arial" w:eastAsia="Arial" w:hAnsi="Arial"/>
                <w:sz w:val="14"/>
                <w:szCs w:val="14"/>
                <w:color w:val="auto"/>
              </w:rPr>
              <w:t>Stock issued under dividend reinvestment plan</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10,453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334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334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Distributions declared</w:t>
            </w:r>
          </w:p>
        </w:tc>
        <w:tc>
          <w:tcPr>
            <w:tcW w:w="4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1"/>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gridSpan w:val="5"/>
            <w:shd w:val="clear" w:color="auto" w:fill="CFF0FC"/>
          </w:tcPr>
          <w:p>
            <w:pPr>
              <w:jc w:val="right"/>
              <w:ind w:right="140"/>
              <w:spacing w:after="0"/>
              <w:rPr>
                <w:sz w:val="20"/>
                <w:szCs w:val="20"/>
                <w:color w:val="auto"/>
              </w:rPr>
            </w:pPr>
            <w:r>
              <w:rPr>
                <w:rFonts w:ascii="Arial" w:cs="Arial" w:eastAsia="Arial" w:hAnsi="Arial"/>
                <w:sz w:val="14"/>
                <w:szCs w:val="14"/>
                <w:color w:val="auto"/>
              </w:rPr>
              <w:t>(4,053 )</w:t>
            </w:r>
          </w:p>
        </w:tc>
        <w:tc>
          <w:tcPr>
            <w:tcW w:w="10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(4,053 )</w:t>
            </w: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BALANCE, September 30, 2020</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2,711,068</w:t>
            </w:r>
          </w:p>
        </w:tc>
        <w:tc>
          <w:tcPr>
            <w:tcW w:w="24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3"/>
          </w:tcPr>
          <w:p>
            <w:pPr>
              <w:jc w:val="right"/>
              <w:spacing w:after="0"/>
              <w:rPr>
                <w:sz w:val="20"/>
                <w:szCs w:val="20"/>
                <w:color w:val="auto"/>
              </w:rPr>
            </w:pPr>
            <w:r>
              <w:rPr>
                <w:rFonts w:ascii="Arial" w:cs="Arial" w:eastAsia="Arial" w:hAnsi="Arial"/>
                <w:sz w:val="14"/>
                <w:szCs w:val="14"/>
                <w:color w:val="auto"/>
              </w:rPr>
              <w:t>238,355</w:t>
            </w:r>
          </w:p>
        </w:tc>
        <w:tc>
          <w:tcPr>
            <w:tcW w:w="22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1340" w:type="dxa"/>
            <w:vAlign w:val="bottom"/>
            <w:gridSpan w:val="5"/>
          </w:tcPr>
          <w:p>
            <w:pPr>
              <w:jc w:val="right"/>
              <w:ind w:right="140"/>
              <w:spacing w:after="0"/>
              <w:rPr>
                <w:sz w:val="20"/>
                <w:szCs w:val="20"/>
                <w:color w:val="auto"/>
              </w:rPr>
            </w:pPr>
            <w:r>
              <w:rPr>
                <w:rFonts w:ascii="Arial" w:cs="Arial" w:eastAsia="Arial" w:hAnsi="Arial"/>
                <w:sz w:val="14"/>
                <w:szCs w:val="14"/>
                <w:color w:val="auto"/>
              </w:rPr>
              <w:t>(129,973 )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108,409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-4354195</wp:posOffset>
            </wp:positionV>
            <wp:extent cx="1625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-4337050</wp:posOffset>
            </wp:positionV>
            <wp:extent cx="1625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-4491355</wp:posOffset>
            </wp:positionV>
            <wp:extent cx="1625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-4354195</wp:posOffset>
            </wp:positionV>
            <wp:extent cx="137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-4337050</wp:posOffset>
            </wp:positionV>
            <wp:extent cx="137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-4491355</wp:posOffset>
            </wp:positionV>
            <wp:extent cx="137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-4354195</wp:posOffset>
            </wp:positionV>
            <wp:extent cx="137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-4337050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-4491355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-4354195</wp:posOffset>
            </wp:positionV>
            <wp:extent cx="14605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-4337050</wp:posOffset>
            </wp:positionV>
            <wp:extent cx="1460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-4491355</wp:posOffset>
            </wp:positionV>
            <wp:extent cx="14605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-4354195</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-4337050</wp:posOffset>
            </wp:positionV>
            <wp:extent cx="514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-4491355</wp:posOffset>
            </wp:positionV>
            <wp:extent cx="514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-159385</wp:posOffset>
            </wp:positionV>
            <wp:extent cx="154305"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-159385</wp:posOffset>
            </wp:positionV>
            <wp:extent cx="14605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-159385</wp:posOffset>
            </wp:positionV>
            <wp:extent cx="1371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-159385</wp:posOffset>
            </wp:positionV>
            <wp:extent cx="13716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-159385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ind w:left="440" w:hanging="432"/>
        <w:spacing w:after="0" w:line="293"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the Company's common stock have been adjusted for the three and nine months ended September 30, 2020 to reflect the one-for-six reverse stock split effected on August 21, 2020 on a retroactive basis, as described in Note 1.</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91"/>
              </w:rPr>
              <w:t>Logan Ridge Finance Corporation</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4"/>
        </w:trPr>
        <w:tc>
          <w:tcPr>
            <w:tcW w:w="7860" w:type="dxa"/>
            <w:vAlign w:val="bottom"/>
          </w:tcPr>
          <w:p>
            <w:pPr>
              <w:jc w:val="center"/>
              <w:ind w:left="329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7860" w:type="dxa"/>
            <w:vAlign w:val="bottom"/>
          </w:tcPr>
          <w:p>
            <w:pPr>
              <w:jc w:val="center"/>
              <w:ind w:left="33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7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0"/>
              </w:rPr>
              <w:t>For the Nine Months Ended September</w:t>
            </w:r>
          </w:p>
        </w:tc>
      </w:tr>
      <w:tr>
        <w:trPr>
          <w:trHeight w:val="241"/>
        </w:trPr>
        <w:tc>
          <w:tcPr>
            <w:tcW w:w="7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r>
      <w:tr>
        <w:trPr>
          <w:trHeight w:val="257"/>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860" w:type="dxa"/>
            <w:vAlign w:val="bottom"/>
          </w:tcPr>
          <w:p>
            <w:pPr>
              <w:ind w:left="200"/>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1,314</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(35,985 )</w:t>
            </w:r>
          </w:p>
        </w:tc>
      </w:tr>
      <w:tr>
        <w:trPr>
          <w:trHeight w:val="249"/>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6"/>
              </w:rPr>
              <w:t>Adjustments to reconcile net increase (decrease) in net assets resulting from operations to net cash</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provided by operating activities:</w:t>
            </w:r>
          </w:p>
        </w:tc>
        <w:tc>
          <w:tcPr>
            <w:tcW w:w="1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860" w:type="dxa"/>
            <w:vAlign w:val="bottom"/>
          </w:tcPr>
          <w:p>
            <w:pPr>
              <w:ind w:left="3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(43,275 )</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(21,070 )</w:t>
            </w:r>
          </w:p>
        </w:tc>
      </w:tr>
      <w:tr>
        <w:trPr>
          <w:trHeight w:val="263"/>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Repayments and sales of investments</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127,519</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69,157</w:t>
            </w:r>
          </w:p>
        </w:tc>
        <w:tc>
          <w:tcPr>
            <w:tcW w:w="100" w:type="dxa"/>
            <w:vAlign w:val="bottom"/>
            <w:shd w:val="clear" w:color="auto" w:fill="CFF0FC"/>
          </w:tcPr>
          <w:p>
            <w:pPr>
              <w:spacing w:after="0"/>
              <w:rPr>
                <w:sz w:val="22"/>
                <w:szCs w:val="22"/>
                <w:color w:val="auto"/>
              </w:rPr>
            </w:pPr>
          </w:p>
        </w:tc>
      </w:tr>
      <w:tr>
        <w:trPr>
          <w:trHeight w:val="250"/>
        </w:trPr>
        <w:tc>
          <w:tcPr>
            <w:tcW w:w="7860" w:type="dxa"/>
            <w:vAlign w:val="bottom"/>
          </w:tcPr>
          <w:p>
            <w:pPr>
              <w:ind w:left="380"/>
              <w:spacing w:after="0"/>
              <w:rPr>
                <w:sz w:val="20"/>
                <w:szCs w:val="20"/>
                <w:color w:val="auto"/>
              </w:rPr>
            </w:pPr>
            <w:r>
              <w:rPr>
                <w:rFonts w:ascii="Arial" w:cs="Arial" w:eastAsia="Arial" w:hAnsi="Arial"/>
                <w:sz w:val="18"/>
                <w:szCs w:val="18"/>
                <w:color w:val="auto"/>
              </w:rPr>
              <w:t>Net realized (gain) loss on investments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(349 )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24,661</w:t>
            </w: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realized loss (gain) on extinguishment of debt</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(155 )</w:t>
            </w:r>
          </w:p>
        </w:tc>
      </w:tr>
      <w:tr>
        <w:trPr>
          <w:trHeight w:val="250"/>
        </w:trPr>
        <w:tc>
          <w:tcPr>
            <w:tcW w:w="7860" w:type="dxa"/>
            <w:vAlign w:val="bottom"/>
          </w:tcPr>
          <w:p>
            <w:pPr>
              <w:ind w:left="380"/>
              <w:spacing w:after="0"/>
              <w:rPr>
                <w:sz w:val="20"/>
                <w:szCs w:val="20"/>
                <w:color w:val="auto"/>
              </w:rPr>
            </w:pPr>
            <w:r>
              <w:rPr>
                <w:rFonts w:ascii="Arial" w:cs="Arial" w:eastAsia="Arial" w:hAnsi="Arial"/>
                <w:sz w:val="18"/>
                <w:szCs w:val="18"/>
                <w:color w:val="auto"/>
              </w:rPr>
              <w:t>Net unrealized (appreciation) depreciation on investments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(4,039 )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11,599</w:t>
            </w: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Payment-in-kind interest and dividends</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(393 )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(1,544 )</w:t>
            </w:r>
          </w:p>
        </w:tc>
      </w:tr>
      <w:tr>
        <w:trPr>
          <w:trHeight w:val="250"/>
        </w:trPr>
        <w:tc>
          <w:tcPr>
            <w:tcW w:w="7860" w:type="dxa"/>
            <w:vAlign w:val="bottom"/>
          </w:tcPr>
          <w:p>
            <w:pPr>
              <w:ind w:left="380"/>
              <w:spacing w:after="0"/>
              <w:rPr>
                <w:sz w:val="20"/>
                <w:szCs w:val="20"/>
                <w:color w:val="auto"/>
              </w:rPr>
            </w:pPr>
            <w:r>
              <w:rPr>
                <w:rFonts w:ascii="Arial" w:cs="Arial" w:eastAsia="Arial" w:hAnsi="Arial"/>
                <w:sz w:val="18"/>
                <w:szCs w:val="18"/>
                <w:color w:val="auto"/>
              </w:rPr>
              <w:t>Accretion of original issue discount on investments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(156 )</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(520 )</w:t>
            </w:r>
          </w:p>
        </w:tc>
      </w:tr>
      <w:tr>
        <w:trPr>
          <w:trHeight w:val="263"/>
        </w:trPr>
        <w:tc>
          <w:tcPr>
            <w:tcW w:w="78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deferred financing fees</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1,059</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100" w:type="dxa"/>
            <w:vAlign w:val="bottom"/>
            <w:shd w:val="clear" w:color="auto" w:fill="CFF0FC"/>
          </w:tcPr>
          <w:p>
            <w:pPr>
              <w:spacing w:after="0"/>
              <w:rPr>
                <w:sz w:val="22"/>
                <w:szCs w:val="22"/>
                <w:color w:val="auto"/>
              </w:rPr>
            </w:pPr>
          </w:p>
        </w:tc>
      </w:tr>
      <w:tr>
        <w:trPr>
          <w:trHeight w:val="250"/>
        </w:trPr>
        <w:tc>
          <w:tcPr>
            <w:tcW w:w="7860" w:type="dxa"/>
            <w:vAlign w:val="bottom"/>
          </w:tcPr>
          <w:p>
            <w:pPr>
              <w:ind w:left="38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Interest and dividend receivable</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(427 )</w:t>
            </w:r>
          </w:p>
        </w:tc>
      </w:tr>
      <w:tr>
        <w:trPr>
          <w:trHeight w:val="250"/>
        </w:trPr>
        <w:tc>
          <w:tcPr>
            <w:tcW w:w="7860" w:type="dxa"/>
            <w:vAlign w:val="bottom"/>
          </w:tcPr>
          <w:p>
            <w:pPr>
              <w:ind w:left="5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(2,511 )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Receivable for unsettled trades</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(3,101 )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Pr>
          <w:p>
            <w:pPr>
              <w:ind w:left="56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(106 )</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Management and incentive fees payable</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(2,661 )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(111 )</w:t>
            </w:r>
          </w:p>
        </w:tc>
      </w:tr>
      <w:tr>
        <w:trPr>
          <w:trHeight w:val="250"/>
        </w:trPr>
        <w:tc>
          <w:tcPr>
            <w:tcW w:w="7860" w:type="dxa"/>
            <w:vAlign w:val="bottom"/>
          </w:tcPr>
          <w:p>
            <w:pPr>
              <w:ind w:left="560"/>
              <w:spacing w:after="0"/>
              <w:rPr>
                <w:sz w:val="20"/>
                <w:szCs w:val="20"/>
                <w:color w:val="auto"/>
              </w:rPr>
            </w:pPr>
            <w:r>
              <w:rPr>
                <w:rFonts w:ascii="Arial" w:cs="Arial" w:eastAsia="Arial" w:hAnsi="Arial"/>
                <w:sz w:val="18"/>
                <w:szCs w:val="18"/>
                <w:color w:val="auto"/>
              </w:rPr>
              <w:t>Interest and financing fees payable</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(920 )</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(1,564 )</w:t>
            </w:r>
          </w:p>
        </w:tc>
      </w:tr>
      <w:tr>
        <w:trPr>
          <w:trHeight w:val="257"/>
        </w:trPr>
        <w:tc>
          <w:tcPr>
            <w:tcW w:w="786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4,489</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(518 )</w:t>
            </w:r>
          </w:p>
        </w:tc>
      </w:tr>
      <w:tr>
        <w:trPr>
          <w:trHeight w:val="250"/>
        </w:trPr>
        <w:tc>
          <w:tcPr>
            <w:tcW w:w="7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78,963</w:t>
            </w:r>
          </w:p>
        </w:tc>
        <w:tc>
          <w:tcPr>
            <w:tcW w:w="240" w:type="dxa"/>
            <w:vAlign w:val="bottom"/>
            <w:tcBorders>
              <w:top w:val="single" w:sz="8" w:color="CFF0FC"/>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46,279</w:t>
            </w:r>
          </w:p>
        </w:tc>
        <w:tc>
          <w:tcPr>
            <w:tcW w:w="100" w:type="dxa"/>
            <w:vAlign w:val="bottom"/>
            <w:tcBorders>
              <w:top w:val="single" w:sz="8" w:color="CFF0FC"/>
            </w:tcBorders>
          </w:tcPr>
          <w:p>
            <w:pPr>
              <w:spacing w:after="0"/>
              <w:rPr>
                <w:sz w:val="21"/>
                <w:szCs w:val="21"/>
                <w:color w:val="auto"/>
              </w:rPr>
            </w:pPr>
          </w:p>
        </w:tc>
      </w:tr>
      <w:tr>
        <w:trPr>
          <w:trHeight w:val="257"/>
        </w:trPr>
        <w:tc>
          <w:tcPr>
            <w:tcW w:w="78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Paydowns on SBA-guaranteed debentures</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(91,000 )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(59,000 )</w:t>
            </w:r>
          </w:p>
        </w:tc>
      </w:tr>
      <w:tr>
        <w:trPr>
          <w:trHeight w:val="250"/>
        </w:trPr>
        <w:tc>
          <w:tcPr>
            <w:tcW w:w="7860" w:type="dxa"/>
            <w:vAlign w:val="bottom"/>
          </w:tcPr>
          <w:p>
            <w:pPr>
              <w:ind w:left="200"/>
              <w:spacing w:after="0"/>
              <w:rPr>
                <w:sz w:val="20"/>
                <w:szCs w:val="20"/>
                <w:color w:val="auto"/>
              </w:rPr>
            </w:pPr>
            <w:r>
              <w:rPr>
                <w:rFonts w:ascii="Arial" w:cs="Arial" w:eastAsia="Arial" w:hAnsi="Arial"/>
                <w:sz w:val="18"/>
                <w:szCs w:val="18"/>
                <w:color w:val="auto"/>
              </w:rPr>
              <w:t>Prepayment penalty on SBA- guaranteed debentures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(519 )</w:t>
            </w:r>
          </w:p>
        </w:tc>
        <w:tc>
          <w:tcPr>
            <w:tcW w:w="34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Repurchase of 2022 Notes</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(1,980 )</w:t>
            </w:r>
          </w:p>
        </w:tc>
      </w:tr>
      <w:tr>
        <w:trPr>
          <w:trHeight w:val="250"/>
        </w:trPr>
        <w:tc>
          <w:tcPr>
            <w:tcW w:w="7860" w:type="dxa"/>
            <w:vAlign w:val="bottom"/>
          </w:tcPr>
          <w:p>
            <w:pPr>
              <w:ind w:left="200"/>
              <w:spacing w:after="0"/>
              <w:rPr>
                <w:sz w:val="20"/>
                <w:szCs w:val="20"/>
                <w:color w:val="auto"/>
              </w:rPr>
            </w:pPr>
            <w:r>
              <w:rPr>
                <w:rFonts w:ascii="Arial" w:cs="Arial" w:eastAsia="Arial" w:hAnsi="Arial"/>
                <w:sz w:val="18"/>
                <w:szCs w:val="18"/>
                <w:color w:val="auto"/>
              </w:rPr>
              <w:t>Proceeds from KeyBank Credit Facility</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25,000</w:t>
            </w: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Paydowns on KeyBank Credit Facility</w:t>
            </w:r>
          </w:p>
        </w:tc>
        <w:tc>
          <w:tcPr>
            <w:tcW w:w="10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(25,000 )</w:t>
            </w: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Pr>
          <w:p>
            <w:pPr>
              <w:ind w:left="200"/>
              <w:spacing w:after="0"/>
              <w:rPr>
                <w:sz w:val="20"/>
                <w:szCs w:val="20"/>
                <w:color w:val="auto"/>
              </w:rPr>
            </w:pPr>
            <w:r>
              <w:rPr>
                <w:rFonts w:ascii="Arial" w:cs="Arial" w:eastAsia="Arial" w:hAnsi="Arial"/>
                <w:sz w:val="18"/>
                <w:szCs w:val="18"/>
                <w:color w:val="auto"/>
              </w:rPr>
              <w:t>Distributions paid to shareholders</w:t>
            </w:r>
          </w:p>
        </w:tc>
        <w:tc>
          <w:tcPr>
            <w:tcW w:w="100" w:type="dxa"/>
            <w:vAlign w:val="bottom"/>
          </w:tcPr>
          <w:p>
            <w:pPr>
              <w:spacing w:after="0"/>
              <w:rPr>
                <w:sz w:val="21"/>
                <w:szCs w:val="21"/>
                <w:color w:val="auto"/>
              </w:rPr>
            </w:pP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(3,719 )</w:t>
            </w:r>
          </w:p>
        </w:tc>
      </w:tr>
      <w:tr>
        <w:trPr>
          <w:trHeight w:val="256"/>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financing fees paid</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(214 )</w:t>
            </w:r>
          </w:p>
        </w:tc>
      </w:tr>
      <w:tr>
        <w:trPr>
          <w:trHeight w:val="20"/>
        </w:trPr>
        <w:tc>
          <w:tcPr>
            <w:tcW w:w="78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6"/>
        </w:trPr>
        <w:tc>
          <w:tcPr>
            <w:tcW w:w="7860" w:type="dxa"/>
            <w:vAlign w:val="bottom"/>
          </w:tcPr>
          <w:p>
            <w:pPr>
              <w:ind w:left="2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Pr>
          <w:p>
            <w:pPr>
              <w:spacing w:after="0"/>
              <w:rPr>
                <w:sz w:val="22"/>
                <w:szCs w:val="22"/>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(91,519 )</w:t>
            </w:r>
          </w:p>
        </w:tc>
        <w:tc>
          <w:tcPr>
            <w:tcW w:w="340" w:type="dxa"/>
            <w:vAlign w:val="bottom"/>
          </w:tcPr>
          <w:p>
            <w:pPr>
              <w:spacing w:after="0"/>
              <w:rPr>
                <w:sz w:val="22"/>
                <w:szCs w:val="22"/>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(64,913 )</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spacing w:after="0"/>
              <w:rPr>
                <w:sz w:val="20"/>
                <w:szCs w:val="20"/>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(12,556 )</w:t>
            </w:r>
          </w:p>
        </w:tc>
        <w:tc>
          <w:tcPr>
            <w:tcW w:w="34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(18,634 )</w:t>
            </w:r>
          </w:p>
        </w:tc>
      </w:tr>
      <w:tr>
        <w:trPr>
          <w:trHeight w:val="257"/>
        </w:trPr>
        <w:tc>
          <w:tcPr>
            <w:tcW w:w="7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49,942</w:t>
            </w:r>
          </w:p>
        </w:tc>
        <w:tc>
          <w:tcPr>
            <w:tcW w:w="24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62,321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7860" w:type="dxa"/>
            <w:vAlign w:val="bottom"/>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37,386</w:t>
            </w:r>
          </w:p>
        </w:tc>
        <w:tc>
          <w:tcPr>
            <w:tcW w:w="24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43,687</w:t>
            </w:r>
          </w:p>
        </w:tc>
        <w:tc>
          <w:tcPr>
            <w:tcW w:w="100" w:type="dxa"/>
            <w:vAlign w:val="bottom"/>
          </w:tcPr>
          <w:p>
            <w:pPr>
              <w:spacing w:after="0"/>
              <w:rPr>
                <w:sz w:val="22"/>
                <w:szCs w:val="22"/>
                <w:color w:val="auto"/>
              </w:rPr>
            </w:pP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SUPPLEMENTAL DISCLOSURE OF CASH FLOW INFORMATION</w:t>
            </w: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8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7,621</w:t>
            </w: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10,964</w:t>
            </w:r>
          </w:p>
        </w:tc>
        <w:tc>
          <w:tcPr>
            <w:tcW w:w="100" w:type="dxa"/>
            <w:vAlign w:val="bottom"/>
            <w:shd w:val="clear" w:color="auto" w:fill="CFF0FC"/>
          </w:tcPr>
          <w:p>
            <w:pPr>
              <w:spacing w:after="0"/>
              <w:rPr>
                <w:sz w:val="22"/>
                <w:szCs w:val="22"/>
                <w:color w:val="auto"/>
              </w:rPr>
            </w:pPr>
          </w:p>
        </w:tc>
      </w:tr>
      <w:tr>
        <w:trPr>
          <w:trHeight w:val="256"/>
        </w:trPr>
        <w:tc>
          <w:tcPr>
            <w:tcW w:w="7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78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SUPPLEMENTAL DISCLOSURE OF NON-CASH INVESTING AND FINANCING TRANSACTIONS</w:t>
            </w:r>
          </w:p>
        </w:tc>
        <w:tc>
          <w:tcPr>
            <w:tcW w:w="10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3"/>
        </w:trPr>
        <w:tc>
          <w:tcPr>
            <w:tcW w:w="7860" w:type="dxa"/>
            <w:vAlign w:val="bottom"/>
          </w:tcPr>
          <w:p>
            <w:pPr>
              <w:ind w:left="200"/>
              <w:spacing w:after="0"/>
              <w:rPr>
                <w:sz w:val="20"/>
                <w:szCs w:val="20"/>
                <w:color w:val="auto"/>
              </w:rPr>
            </w:pPr>
            <w:r>
              <w:rPr>
                <w:rFonts w:ascii="Arial" w:cs="Arial" w:eastAsia="Arial" w:hAnsi="Arial"/>
                <w:sz w:val="18"/>
                <w:szCs w:val="18"/>
                <w:color w:val="auto"/>
              </w:rPr>
              <w:t>Distributions paid through dividend reinvestment plan share issuances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-3493770</wp:posOffset>
            </wp:positionV>
            <wp:extent cx="1543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-3493770</wp:posOffset>
            </wp:positionV>
            <wp:extent cx="5969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-1847850</wp:posOffset>
            </wp:positionV>
            <wp:extent cx="154305"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-1847850</wp:posOffset>
            </wp:positionV>
            <wp:extent cx="5969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-1162050</wp:posOffset>
            </wp:positionV>
            <wp:extent cx="154305"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-1162050</wp:posOffset>
            </wp:positionV>
            <wp:extent cx="5969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tcPr>
          <w:p>
            <w:pPr>
              <w:ind w:left="40"/>
              <w:spacing w:after="0"/>
              <w:rPr>
                <w:sz w:val="20"/>
                <w:szCs w:val="20"/>
                <w:color w:val="auto"/>
              </w:rPr>
            </w:pPr>
            <w:r>
              <w:rPr>
                <w:rFonts w:ascii="Arial" w:cs="Arial" w:eastAsia="Arial" w:hAnsi="Arial"/>
                <w:sz w:val="13"/>
                <w:szCs w:val="13"/>
                <w:b w:val="1"/>
                <w:bCs w:val="1"/>
                <w:color w:val="auto"/>
                <w:w w:val="86"/>
              </w:rPr>
              <w:t xml:space="preserve">Portfolio Company, Country </w:t>
            </w:r>
            <w:r>
              <w:rPr>
                <w:rFonts w:ascii="Arial" w:cs="Arial" w:eastAsia="Arial" w:hAnsi="Arial"/>
                <w:sz w:val="16"/>
                <w:szCs w:val="16"/>
                <w:b w:val="1"/>
                <w:bCs w:val="1"/>
                <w:color w:val="auto"/>
                <w:w w:val="86"/>
                <w:vertAlign w:val="superscript"/>
              </w:rPr>
              <w:t>(1), (2),</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07"/>
        </w:trPr>
        <w:tc>
          <w:tcPr>
            <w:tcW w:w="1900" w:type="dxa"/>
            <w:vAlign w:val="bottom"/>
          </w:tcPr>
          <w:p>
            <w:pPr>
              <w:ind w:left="760"/>
              <w:spacing w:after="0"/>
              <w:rPr>
                <w:sz w:val="20"/>
                <w:szCs w:val="20"/>
                <w:color w:val="auto"/>
              </w:rPr>
            </w:pPr>
            <w:r>
              <w:rPr>
                <w:rFonts w:ascii="Arial" w:cs="Arial" w:eastAsia="Arial" w:hAnsi="Arial"/>
                <w:sz w:val="8"/>
                <w:szCs w:val="8"/>
                <w:b w:val="1"/>
                <w:bCs w:val="1"/>
                <w:color w:val="auto"/>
              </w:rPr>
              <w:t>(3), (4), (5)</w:t>
            </w:r>
          </w:p>
        </w:tc>
        <w:tc>
          <w:tcPr>
            <w:tcW w:w="114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9"/>
                <w:szCs w:val="9"/>
                <w:color w:val="auto"/>
              </w:rPr>
            </w:pPr>
          </w:p>
        </w:tc>
        <w:tc>
          <w:tcPr>
            <w:tcW w:w="192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Type of Investment</w:t>
            </w:r>
          </w:p>
        </w:tc>
        <w:tc>
          <w:tcPr>
            <w:tcW w:w="100" w:type="dxa"/>
            <w:vAlign w:val="bottom"/>
          </w:tcPr>
          <w:p>
            <w:pPr>
              <w:spacing w:after="0"/>
              <w:rPr>
                <w:sz w:val="9"/>
                <w:szCs w:val="9"/>
                <w:color w:val="auto"/>
              </w:rPr>
            </w:pPr>
          </w:p>
        </w:tc>
        <w:tc>
          <w:tcPr>
            <w:tcW w:w="112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5"/>
              </w:rPr>
              <w:t>Acquisition Date</w:t>
            </w:r>
          </w:p>
        </w:tc>
        <w:tc>
          <w:tcPr>
            <w:tcW w:w="80" w:type="dxa"/>
            <w:vAlign w:val="bottom"/>
          </w:tcPr>
          <w:p>
            <w:pPr>
              <w:spacing w:after="0"/>
              <w:rPr>
                <w:sz w:val="9"/>
                <w:szCs w:val="9"/>
                <w:color w:val="auto"/>
              </w:rPr>
            </w:pPr>
          </w:p>
        </w:tc>
        <w:tc>
          <w:tcPr>
            <w:tcW w:w="108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2"/>
              </w:rPr>
              <w:t>Principal Amount</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60" w:type="dxa"/>
            <w:vAlign w:val="bottom"/>
            <w:gridSpan w:val="2"/>
            <w:vMerge w:val="restart"/>
          </w:tcPr>
          <w:p>
            <w:pPr>
              <w:jc w:val="right"/>
              <w:ind w:right="660"/>
              <w:spacing w:after="0"/>
              <w:rPr>
                <w:sz w:val="20"/>
                <w:szCs w:val="20"/>
                <w:color w:val="auto"/>
              </w:rPr>
            </w:pPr>
            <w:r>
              <w:rPr>
                <w:rFonts w:ascii="Arial" w:cs="Arial" w:eastAsia="Arial" w:hAnsi="Arial"/>
                <w:sz w:val="13"/>
                <w:szCs w:val="13"/>
                <w:b w:val="1"/>
                <w:bCs w:val="1"/>
                <w:color w:val="auto"/>
              </w:rPr>
              <w:t>Cost</w:t>
            </w:r>
          </w:p>
        </w:tc>
        <w:tc>
          <w:tcPr>
            <w:tcW w:w="160" w:type="dxa"/>
            <w:vAlign w:val="bottom"/>
          </w:tcPr>
          <w:p>
            <w:pPr>
              <w:spacing w:after="0"/>
              <w:rPr>
                <w:sz w:val="9"/>
                <w:szCs w:val="9"/>
                <w:color w:val="auto"/>
              </w:rPr>
            </w:pPr>
          </w:p>
        </w:tc>
        <w:tc>
          <w:tcPr>
            <w:tcW w:w="102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9"/>
              </w:rPr>
              <w:t>Fair Value</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55"/>
        </w:trPr>
        <w:tc>
          <w:tcPr>
            <w:tcW w:w="190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9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040" w:type="dxa"/>
            <w:vAlign w:val="bottom"/>
            <w:tcBorders>
              <w:top w:val="single" w:sz="8" w:color="auto"/>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Non-control/non-affiliated investments - 101.0%</w:t>
            </w:r>
          </w:p>
        </w:tc>
        <w:tc>
          <w:tcPr>
            <w:tcW w:w="100" w:type="dxa"/>
            <w:vAlign w:val="bottom"/>
            <w:shd w:val="clear" w:color="auto" w:fill="CFF0FC"/>
          </w:tcPr>
          <w:p>
            <w:pPr>
              <w:spacing w:after="0"/>
              <w:rPr>
                <w:sz w:val="15"/>
                <w:szCs w:val="15"/>
                <w:color w:val="auto"/>
              </w:rPr>
            </w:pPr>
          </w:p>
        </w:tc>
        <w:tc>
          <w:tcPr>
            <w:tcW w:w="19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04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Non-control/non-affiliated investments - United States</w:t>
            </w: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Accordion Partners LLC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Industrials</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9"/>
              </w:rPr>
              <w:t>First Lien Debt (6.5% Cash (3 month</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9/24/2021</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LIBOR + 5.5%), 1.0% Floor), Due</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9/24/27)</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480" w:type="dxa"/>
            <w:vAlign w:val="bottom"/>
            <w:gridSpan w:val="2"/>
            <w:shd w:val="clear" w:color="auto" w:fill="CFF0FC"/>
          </w:tcPr>
          <w:p>
            <w:pPr>
              <w:jc w:val="right"/>
              <w:ind w:right="25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14,000</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13,791</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13,790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rPr>
              <w:t>Accordion Partners LLC</w:t>
            </w:r>
          </w:p>
        </w:tc>
        <w:tc>
          <w:tcPr>
            <w:tcW w:w="1140" w:type="dxa"/>
            <w:vAlign w:val="bottom"/>
          </w:tcPr>
          <w:p>
            <w:pPr>
              <w:ind w:left="40"/>
              <w:spacing w:after="0"/>
              <w:rPr>
                <w:sz w:val="20"/>
                <w:szCs w:val="20"/>
                <w:color w:val="auto"/>
              </w:rPr>
            </w:pPr>
            <w:r>
              <w:rPr>
                <w:rFonts w:ascii="Arial" w:cs="Arial" w:eastAsia="Arial" w:hAnsi="Arial"/>
                <w:sz w:val="13"/>
                <w:szCs w:val="13"/>
                <w:color w:val="auto"/>
              </w:rPr>
              <w:t>Industrials</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w w:val="89"/>
              </w:rPr>
              <w:t>First Lien Debt (6.5% Cash (3 month</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9/24/2021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w w:val="97"/>
              </w:rPr>
              <w:t>LIBOR + 5.5%), 1.0% Floor), Due</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2"/>
          </w:tcPr>
          <w:p>
            <w:pPr>
              <w:ind w:left="120"/>
              <w:spacing w:after="0"/>
              <w:rPr>
                <w:sz w:val="20"/>
                <w:szCs w:val="20"/>
                <w:color w:val="auto"/>
              </w:rPr>
            </w:pPr>
            <w:r>
              <w:rPr>
                <w:rFonts w:ascii="Arial" w:cs="Arial" w:eastAsia="Arial" w:hAnsi="Arial"/>
                <w:sz w:val="13"/>
                <w:szCs w:val="13"/>
                <w:color w:val="auto"/>
              </w:rPr>
              <w:t>9/24/27)</w:t>
            </w:r>
            <w:r>
              <w:rPr>
                <w:rFonts w:ascii="Arial" w:cs="Arial" w:eastAsia="Arial" w:hAnsi="Arial"/>
                <w:sz w:val="16"/>
                <w:szCs w:val="16"/>
                <w:color w:val="auto"/>
                <w:vertAlign w:val="superscript"/>
              </w:rPr>
              <w:t>(12)</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3"/>
                <w:szCs w:val="13"/>
                <w:color w:val="auto"/>
              </w:rPr>
              <w:t>(30 )</w:t>
            </w:r>
          </w:p>
        </w:tc>
        <w:tc>
          <w:tcPr>
            <w:tcW w:w="160" w:type="dxa"/>
            <w:vAlign w:val="bottom"/>
          </w:tcPr>
          <w:p>
            <w:pPr>
              <w:spacing w:after="0"/>
              <w:rPr>
                <w:sz w:val="16"/>
                <w:szCs w:val="16"/>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(30 )</w:t>
            </w: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Accordion Partners LLC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Industrials</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9"/>
              </w:rPr>
              <w:t>First Lien Debt (6.5% Cash (3 month</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9/24/2021</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LIBOR + 5.5%), 1.0% Floor), Due</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3"/>
                <w:szCs w:val="13"/>
                <w:color w:val="auto"/>
              </w:rPr>
              <w:t>(75 )</w:t>
            </w:r>
          </w:p>
        </w:tc>
        <w:tc>
          <w:tcPr>
            <w:tcW w:w="160" w:type="dxa"/>
            <w:vAlign w:val="bottom"/>
            <w:shd w:val="clear" w:color="auto" w:fill="CFF0FC"/>
          </w:tcPr>
          <w:p>
            <w:pPr>
              <w:spacing w:after="0"/>
              <w:rPr>
                <w:sz w:val="13"/>
                <w:szCs w:val="13"/>
                <w:color w:val="auto"/>
              </w:rPr>
            </w:pPr>
          </w:p>
        </w:tc>
        <w:tc>
          <w:tcPr>
            <w:tcW w:w="10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(75 )</w:t>
            </w: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76"/>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9/30/26)</w:t>
            </w:r>
            <w:r>
              <w:rPr>
                <w:rFonts w:ascii="Arial" w:cs="Arial" w:eastAsia="Arial" w:hAnsi="Arial"/>
                <w:sz w:val="16"/>
                <w:szCs w:val="16"/>
                <w:color w:val="auto"/>
                <w:vertAlign w:val="superscript"/>
              </w:rPr>
              <w:t>(14)</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vMerge w:val="continue"/>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20" w:type="dxa"/>
            <w:vAlign w:val="bottom"/>
            <w:gridSpan w:val="2"/>
            <w:vMerge w:val="continue"/>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13,686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13,685</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12.4 %</w:t>
            </w:r>
          </w:p>
        </w:tc>
        <w:tc>
          <w:tcPr>
            <w:tcW w:w="0" w:type="dxa"/>
            <w:vAlign w:val="bottom"/>
          </w:tcPr>
          <w:p>
            <w:pPr>
              <w:spacing w:after="0"/>
              <w:rPr>
                <w:sz w:val="1"/>
                <w:szCs w:val="1"/>
                <w:color w:val="auto"/>
              </w:rPr>
            </w:pPr>
          </w:p>
        </w:tc>
      </w:tr>
      <w:tr>
        <w:trPr>
          <w:trHeight w:val="189"/>
        </w:trPr>
        <w:tc>
          <w:tcPr>
            <w:tcW w:w="19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First Lien Debt (8.0% Cash, Due</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6/25/2020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3"/>
                <w:szCs w:val="13"/>
                <w:color w:val="auto"/>
              </w:rPr>
              <w:t>LLC</w:t>
            </w:r>
          </w:p>
        </w:tc>
        <w:tc>
          <w:tcPr>
            <w:tcW w:w="1140" w:type="dxa"/>
            <w:vAlign w:val="bottom"/>
          </w:tcPr>
          <w:p>
            <w:pPr>
              <w:spacing w:after="0"/>
              <w:rPr>
                <w:sz w:val="14"/>
                <w:szCs w:val="14"/>
                <w:color w:val="auto"/>
              </w:rPr>
            </w:pPr>
          </w:p>
        </w:tc>
        <w:tc>
          <w:tcPr>
            <w:tcW w:w="2020" w:type="dxa"/>
            <w:vAlign w:val="bottom"/>
            <w:gridSpan w:val="2"/>
          </w:tcPr>
          <w:p>
            <w:pPr>
              <w:ind w:left="120"/>
              <w:spacing w:after="0"/>
              <w:rPr>
                <w:sz w:val="20"/>
                <w:szCs w:val="20"/>
                <w:color w:val="auto"/>
              </w:rPr>
            </w:pPr>
            <w:r>
              <w:rPr>
                <w:rFonts w:ascii="Arial" w:cs="Arial" w:eastAsia="Arial" w:hAnsi="Arial"/>
                <w:sz w:val="13"/>
                <w:szCs w:val="13"/>
                <w:color w:val="auto"/>
              </w:rPr>
              <w:t>12/18/22)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7,119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7,119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6,753</w:t>
            </w: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6.1 %</w:t>
            </w:r>
          </w:p>
        </w:tc>
        <w:tc>
          <w:tcPr>
            <w:tcW w:w="0" w:type="dxa"/>
            <w:vAlign w:val="bottom"/>
          </w:tcPr>
          <w:p>
            <w:pPr>
              <w:spacing w:after="0"/>
              <w:rPr>
                <w:sz w:val="1"/>
                <w:szCs w:val="1"/>
                <w:color w:val="auto"/>
              </w:rPr>
            </w:pPr>
          </w:p>
        </w:tc>
      </w:tr>
      <w:tr>
        <w:trPr>
          <w:trHeight w:val="181"/>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 Preferred Units (13,811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1,275</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Series B Preferred Units (48,025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6/25/2020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3"/>
                <w:szCs w:val="13"/>
                <w:color w:val="auto"/>
              </w:rPr>
              <w:t>LLC</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units)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3,943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81"/>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Series C Preferred Units (78,900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Membership Units (20,092 units)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12/18/2017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00" w:type="dxa"/>
            <w:vAlign w:val="bottom"/>
          </w:tcPr>
          <w:p>
            <w:pPr>
              <w:ind w:left="20"/>
              <w:spacing w:after="0"/>
              <w:rPr>
                <w:sz w:val="20"/>
                <w:szCs w:val="20"/>
                <w:color w:val="auto"/>
              </w:rPr>
            </w:pPr>
            <w:r>
              <w:rPr>
                <w:rFonts w:ascii="Arial" w:cs="Arial" w:eastAsia="Arial" w:hAnsi="Arial"/>
                <w:sz w:val="13"/>
                <w:szCs w:val="13"/>
                <w:color w:val="auto"/>
              </w:rPr>
              <w:t>LLC</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81"/>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Alternative Biomedical Solutions,</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Membership Unit Warrants (49,295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63"/>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13,137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7,539</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89"/>
        </w:trPr>
        <w:tc>
          <w:tcPr>
            <w:tcW w:w="19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w w:val="98"/>
              </w:rPr>
              <w:t>American Clinical Solutions, LLC</w:t>
            </w:r>
          </w:p>
        </w:tc>
        <w:tc>
          <w:tcPr>
            <w:tcW w:w="114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First Lien Debt (7.0% Cash, Due</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12/31/2019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20" w:type="dxa"/>
            <w:vAlign w:val="bottom"/>
            <w:gridSpan w:val="2"/>
          </w:tcPr>
          <w:p>
            <w:pPr>
              <w:ind w:left="120"/>
              <w:spacing w:after="0"/>
              <w:rPr>
                <w:sz w:val="20"/>
                <w:szCs w:val="20"/>
                <w:color w:val="auto"/>
              </w:rPr>
            </w:pPr>
            <w:r>
              <w:rPr>
                <w:rFonts w:ascii="Arial" w:cs="Arial" w:eastAsia="Arial" w:hAnsi="Arial"/>
                <w:sz w:val="13"/>
                <w:szCs w:val="13"/>
                <w:color w:val="auto"/>
              </w:rPr>
              <w:t>12/31/22)</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3,500</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3,467</w:t>
            </w: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3.1 %</w:t>
            </w:r>
          </w:p>
        </w:tc>
        <w:tc>
          <w:tcPr>
            <w:tcW w:w="0" w:type="dxa"/>
            <w:vAlign w:val="bottom"/>
          </w:tcPr>
          <w:p>
            <w:pPr>
              <w:spacing w:after="0"/>
              <w:rPr>
                <w:sz w:val="1"/>
                <w:szCs w:val="1"/>
                <w:color w:val="auto"/>
              </w:rPr>
            </w:pPr>
          </w:p>
        </w:tc>
      </w:tr>
      <w:tr>
        <w:trPr>
          <w:trHeight w:val="170"/>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American Clinical Solutions, LLC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First Lien Debt (7.0% Cash, Due</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4/13/2020</w:t>
            </w: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020" w:type="dxa"/>
            <w:vAlign w:val="bottom"/>
            <w:gridSpan w:val="2"/>
            <w:shd w:val="clear" w:color="auto" w:fill="CFF0FC"/>
          </w:tcPr>
          <w:p>
            <w:pPr>
              <w:ind w:left="120"/>
              <w:spacing w:after="0"/>
              <w:rPr>
                <w:sz w:val="20"/>
                <w:szCs w:val="20"/>
                <w:color w:val="auto"/>
              </w:rPr>
            </w:pPr>
            <w:r>
              <w:rPr>
                <w:rFonts w:ascii="Arial" w:cs="Arial" w:eastAsia="Arial" w:hAnsi="Arial"/>
                <w:sz w:val="13"/>
                <w:szCs w:val="13"/>
                <w:color w:val="auto"/>
              </w:rPr>
              <w:t xml:space="preserve">12/31/21) </w:t>
            </w:r>
            <w:r>
              <w:rPr>
                <w:rFonts w:ascii="Arial" w:cs="Arial" w:eastAsia="Arial" w:hAnsi="Arial"/>
                <w:sz w:val="16"/>
                <w:szCs w:val="16"/>
                <w:color w:val="auto"/>
                <w:vertAlign w:val="superscript"/>
              </w:rPr>
              <w:t>(6)</w:t>
            </w: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248</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w w:val="98"/>
              </w:rPr>
              <w:t>American Clinical Solutions, LLC</w:t>
            </w:r>
          </w:p>
        </w:tc>
        <w:tc>
          <w:tcPr>
            <w:tcW w:w="114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Class A Membership Units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4/13/2020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3,198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4,906</w:t>
            </w:r>
          </w:p>
        </w:tc>
        <w:tc>
          <w:tcPr>
            <w:tcW w:w="140" w:type="dxa"/>
            <w:vAlign w:val="bottom"/>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4.4 %</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(6,030,384 units)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6,948</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8,621</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7.8 %</w:t>
            </w:r>
          </w:p>
        </w:tc>
        <w:tc>
          <w:tcPr>
            <w:tcW w:w="0" w:type="dxa"/>
            <w:vAlign w:val="bottom"/>
          </w:tcPr>
          <w:p>
            <w:pPr>
              <w:spacing w:after="0"/>
              <w:rPr>
                <w:sz w:val="1"/>
                <w:szCs w:val="1"/>
                <w:color w:val="auto"/>
              </w:rPr>
            </w:pPr>
          </w:p>
        </w:tc>
      </w:tr>
      <w:tr>
        <w:trPr>
          <w:trHeight w:val="189"/>
        </w:trPr>
        <w:tc>
          <w:tcPr>
            <w:tcW w:w="190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92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gridSpan w:val="2"/>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68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AP Core Holdings II, LLC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Information</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First Lien Debt (6.25% Cash (1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7/21/2021</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shd w:val="clear" w:color="auto" w:fill="CFF0FC"/>
          </w:tcPr>
          <w:p>
            <w:pPr>
              <w:spacing w:after="0"/>
              <w:rPr>
                <w:sz w:val="14"/>
                <w:szCs w:val="14"/>
                <w:color w:val="auto"/>
              </w:rPr>
            </w:pP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Technology</w:t>
            </w:r>
          </w:p>
        </w:tc>
        <w:tc>
          <w:tcPr>
            <w:tcW w:w="100" w:type="dxa"/>
            <w:vAlign w:val="bottom"/>
            <w:shd w:val="clear" w:color="auto" w:fill="CFF0FC"/>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month LIBOR + 5.5%), 0.75%</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Floor), Due 7/21/27)</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2,463</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2,515</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rPr>
              <w:t>AP Core Holdings II, LLC</w:t>
            </w:r>
          </w:p>
        </w:tc>
        <w:tc>
          <w:tcPr>
            <w:tcW w:w="1140" w:type="dxa"/>
            <w:vAlign w:val="bottom"/>
          </w:tcPr>
          <w:p>
            <w:pPr>
              <w:ind w:left="40"/>
              <w:spacing w:after="0"/>
              <w:rPr>
                <w:sz w:val="20"/>
                <w:szCs w:val="20"/>
                <w:color w:val="auto"/>
              </w:rPr>
            </w:pPr>
            <w:r>
              <w:rPr>
                <w:rFonts w:ascii="Arial" w:cs="Arial" w:eastAsia="Arial" w:hAnsi="Arial"/>
                <w:sz w:val="13"/>
                <w:szCs w:val="13"/>
                <w:color w:val="auto"/>
              </w:rPr>
              <w:t>Information</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First Lien Debt (6.25% Cash (1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7/21/2021</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00" w:type="dxa"/>
            <w:vAlign w:val="bottom"/>
          </w:tcPr>
          <w:p>
            <w:pPr>
              <w:spacing w:after="0"/>
              <w:rPr>
                <w:sz w:val="14"/>
                <w:szCs w:val="14"/>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Technology</w:t>
            </w:r>
          </w:p>
        </w:tc>
        <w:tc>
          <w:tcPr>
            <w:tcW w:w="10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month LIBOR + 5.5%), 0.75%</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2,463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2,463</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63"/>
        </w:trPr>
        <w:tc>
          <w:tcPr>
            <w:tcW w:w="19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rPr>
              <w:t>Floor), Due 7/21/27)</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2,500</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4,978</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4.5 %</w:t>
            </w:r>
          </w:p>
        </w:tc>
        <w:tc>
          <w:tcPr>
            <w:tcW w:w="0" w:type="dxa"/>
            <w:vAlign w:val="bottom"/>
          </w:tcPr>
          <w:p>
            <w:pPr>
              <w:spacing w:after="0"/>
              <w:rPr>
                <w:sz w:val="1"/>
                <w:szCs w:val="1"/>
                <w:color w:val="auto"/>
              </w:rPr>
            </w:pPr>
          </w:p>
        </w:tc>
      </w:tr>
      <w:tr>
        <w:trPr>
          <w:trHeight w:val="189"/>
        </w:trPr>
        <w:tc>
          <w:tcPr>
            <w:tcW w:w="190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92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gridSpan w:val="2"/>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680" w:type="dxa"/>
            <w:vAlign w:val="bottom"/>
            <w:tcBorders>
              <w:top w:val="single" w:sz="8" w:color="CFF0FC"/>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BigMouth, Inc.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w w:val="93"/>
              </w:rPr>
              <w:t>Consumer Products</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89"/>
              </w:rPr>
              <w:t>First Lien Debt (9.0% Cash (1 month</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11/14/2016</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0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LIBOR + 8.5%, 0.5% Floor), Due</w:t>
            </w: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4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1,268</w:t>
            </w:r>
          </w:p>
        </w:tc>
        <w:tc>
          <w:tcPr>
            <w:tcW w:w="2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948</w:t>
            </w:r>
          </w:p>
        </w:tc>
        <w:tc>
          <w:tcPr>
            <w:tcW w:w="1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76"/>
        </w:trPr>
        <w:tc>
          <w:tcPr>
            <w:tcW w:w="19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20" w:type="dxa"/>
            <w:vAlign w:val="bottom"/>
            <w:gridSpan w:val="2"/>
            <w:shd w:val="clear" w:color="auto" w:fill="CFF0FC"/>
          </w:tcPr>
          <w:p>
            <w:pPr>
              <w:ind w:left="120"/>
              <w:spacing w:after="0" w:line="176" w:lineRule="exact"/>
              <w:rPr>
                <w:sz w:val="20"/>
                <w:szCs w:val="20"/>
                <w:color w:val="auto"/>
              </w:rPr>
            </w:pPr>
            <w:r>
              <w:rPr>
                <w:rFonts w:ascii="Arial" w:cs="Arial" w:eastAsia="Arial" w:hAnsi="Arial"/>
                <w:sz w:val="13"/>
                <w:szCs w:val="13"/>
                <w:color w:val="auto"/>
              </w:rPr>
              <w:t xml:space="preserve">11/14/21) </w:t>
            </w:r>
            <w:r>
              <w:rPr>
                <w:rFonts w:ascii="Arial" w:cs="Arial" w:eastAsia="Arial" w:hAnsi="Arial"/>
                <w:sz w:val="16"/>
                <w:szCs w:val="16"/>
                <w:color w:val="auto"/>
                <w:vertAlign w:val="superscript"/>
              </w:rPr>
              <w:t>(7)</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1,866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1,268</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948</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89"/>
        </w:trPr>
        <w:tc>
          <w:tcPr>
            <w:tcW w:w="19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00" w:type="dxa"/>
            <w:vAlign w:val="bottom"/>
          </w:tcPr>
          <w:p>
            <w:pPr>
              <w:ind w:left="20"/>
              <w:spacing w:after="0"/>
              <w:rPr>
                <w:sz w:val="20"/>
                <w:szCs w:val="20"/>
                <w:color w:val="auto"/>
              </w:rPr>
            </w:pPr>
            <w:r>
              <w:rPr>
                <w:rFonts w:ascii="Arial" w:cs="Arial" w:eastAsia="Arial" w:hAnsi="Arial"/>
                <w:sz w:val="13"/>
                <w:szCs w:val="13"/>
                <w:color w:val="auto"/>
              </w:rPr>
              <w:t>BLST Operating Company, LLC</w:t>
            </w:r>
          </w:p>
        </w:tc>
        <w:tc>
          <w:tcPr>
            <w:tcW w:w="1140" w:type="dxa"/>
            <w:vAlign w:val="bottom"/>
          </w:tcPr>
          <w:p>
            <w:pPr>
              <w:ind w:left="40"/>
              <w:spacing w:after="0"/>
              <w:rPr>
                <w:sz w:val="20"/>
                <w:szCs w:val="20"/>
                <w:color w:val="auto"/>
              </w:rPr>
            </w:pPr>
            <w:r>
              <w:rPr>
                <w:rFonts w:ascii="Arial" w:cs="Arial" w:eastAsia="Arial" w:hAnsi="Arial"/>
                <w:sz w:val="13"/>
                <w:szCs w:val="13"/>
                <w:color w:val="auto"/>
                <w:w w:val="93"/>
              </w:rPr>
              <w:t>Online Merchandise</w:t>
            </w:r>
          </w:p>
        </w:tc>
        <w:tc>
          <w:tcPr>
            <w:tcW w:w="100" w:type="dxa"/>
            <w:vAlign w:val="bottom"/>
          </w:tcPr>
          <w:p>
            <w:pPr>
              <w:spacing w:after="0"/>
              <w:rPr>
                <w:sz w:val="15"/>
                <w:szCs w:val="15"/>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w w:val="92"/>
              </w:rPr>
              <w:t>Second Lien Debt (10.0% (1 month</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8/28/2020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0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Retailer</w:t>
            </w:r>
          </w:p>
        </w:tc>
        <w:tc>
          <w:tcPr>
            <w:tcW w:w="100" w:type="dxa"/>
            <w:vAlign w:val="bottom"/>
          </w:tcPr>
          <w:p>
            <w:pPr>
              <w:spacing w:after="0"/>
              <w:rPr>
                <w:sz w:val="13"/>
                <w:szCs w:val="13"/>
                <w:color w:val="auto"/>
              </w:rPr>
            </w:pPr>
          </w:p>
        </w:tc>
        <w:tc>
          <w:tcPr>
            <w:tcW w:w="1920" w:type="dxa"/>
            <w:vAlign w:val="bottom"/>
          </w:tcPr>
          <w:p>
            <w:pPr>
              <w:ind w:left="20"/>
              <w:spacing w:after="0"/>
              <w:rPr>
                <w:sz w:val="20"/>
                <w:szCs w:val="20"/>
                <w:color w:val="auto"/>
              </w:rPr>
            </w:pPr>
            <w:r>
              <w:rPr>
                <w:rFonts w:ascii="Arial" w:cs="Arial" w:eastAsia="Arial" w:hAnsi="Arial"/>
                <w:sz w:val="13"/>
                <w:szCs w:val="13"/>
                <w:color w:val="auto"/>
                <w:w w:val="99"/>
              </w:rPr>
              <w:t>LIBOR + 8.5%, 1.5% Floor), Due</w:t>
            </w: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20" w:type="dxa"/>
            <w:vAlign w:val="bottom"/>
            <w:gridSpan w:val="2"/>
          </w:tcPr>
          <w:p>
            <w:pPr>
              <w:ind w:left="120"/>
              <w:spacing w:after="0"/>
              <w:rPr>
                <w:sz w:val="20"/>
                <w:szCs w:val="20"/>
                <w:color w:val="auto"/>
              </w:rPr>
            </w:pPr>
            <w:r>
              <w:rPr>
                <w:rFonts w:ascii="Arial" w:cs="Arial" w:eastAsia="Arial" w:hAnsi="Arial"/>
                <w:sz w:val="13"/>
                <w:szCs w:val="13"/>
                <w:color w:val="auto"/>
              </w:rPr>
              <w:t xml:space="preserve">8/28/25) </w:t>
            </w:r>
            <w:r>
              <w:rPr>
                <w:rFonts w:ascii="Arial" w:cs="Arial" w:eastAsia="Arial" w:hAnsi="Arial"/>
                <w:sz w:val="16"/>
                <w:szCs w:val="16"/>
                <w:color w:val="auto"/>
                <w:vertAlign w:val="superscript"/>
              </w:rPr>
              <w:t>(8)</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1,780</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1,773</w:t>
            </w:r>
          </w:p>
        </w:tc>
        <w:tc>
          <w:tcPr>
            <w:tcW w:w="1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73"/>
        </w:trPr>
        <w:tc>
          <w:tcPr>
            <w:tcW w:w="19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BLST Operating Company, LLC</w:t>
            </w: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w w:val="93"/>
              </w:rPr>
              <w:t>Online Merchandise</w:t>
            </w:r>
          </w:p>
        </w:tc>
        <w:tc>
          <w:tcPr>
            <w:tcW w:w="100" w:type="dxa"/>
            <w:vAlign w:val="bottom"/>
            <w:shd w:val="clear" w:color="auto" w:fill="CFF0FC"/>
          </w:tcPr>
          <w:p>
            <w:pPr>
              <w:spacing w:after="0"/>
              <w:rPr>
                <w:sz w:val="15"/>
                <w:szCs w:val="15"/>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Class A Common Units (217,013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8/28/2020</w:t>
            </w:r>
          </w:p>
        </w:tc>
        <w:tc>
          <w:tcPr>
            <w:tcW w:w="8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2,711</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63"/>
        </w:trPr>
        <w:tc>
          <w:tcPr>
            <w:tcW w:w="1900" w:type="dxa"/>
            <w:vAlign w:val="bottom"/>
            <w:shd w:val="clear" w:color="auto" w:fill="CFF0FC"/>
          </w:tcPr>
          <w:p>
            <w:pPr>
              <w:spacing w:after="0"/>
              <w:rPr>
                <w:sz w:val="14"/>
                <w:szCs w:val="14"/>
                <w:color w:val="auto"/>
              </w:rPr>
            </w:pPr>
          </w:p>
        </w:tc>
        <w:tc>
          <w:tcPr>
            <w:tcW w:w="1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Retailer</w:t>
            </w:r>
          </w:p>
        </w:tc>
        <w:tc>
          <w:tcPr>
            <w:tcW w:w="100" w:type="dxa"/>
            <w:vAlign w:val="bottom"/>
            <w:shd w:val="clear" w:color="auto" w:fill="CFF0FC"/>
          </w:tcPr>
          <w:p>
            <w:pPr>
              <w:spacing w:after="0"/>
              <w:rPr>
                <w:sz w:val="14"/>
                <w:szCs w:val="14"/>
                <w:color w:val="auto"/>
              </w:rPr>
            </w:pPr>
          </w:p>
        </w:tc>
        <w:tc>
          <w:tcPr>
            <w:tcW w:w="192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0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9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2,066</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4,484</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4.1 %</w:t>
            </w:r>
          </w:p>
        </w:tc>
        <w:tc>
          <w:tcPr>
            <w:tcW w:w="0" w:type="dxa"/>
            <w:vAlign w:val="bottom"/>
          </w:tcPr>
          <w:p>
            <w:pPr>
              <w:spacing w:after="0"/>
              <w:rPr>
                <w:sz w:val="1"/>
                <w:szCs w:val="1"/>
                <w:color w:val="auto"/>
              </w:rPr>
            </w:pPr>
          </w:p>
        </w:tc>
      </w:tr>
      <w:tr>
        <w:trPr>
          <w:trHeight w:val="189"/>
        </w:trPr>
        <w:tc>
          <w:tcPr>
            <w:tcW w:w="190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-5028565</wp:posOffset>
            </wp:positionV>
            <wp:extent cx="16256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-5028565</wp:posOffset>
            </wp:positionV>
            <wp:extent cx="85725"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-5028565</wp:posOffset>
            </wp:positionV>
            <wp:extent cx="939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-3442335</wp:posOffset>
            </wp:positionV>
            <wp:extent cx="16256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-3442335</wp:posOffset>
            </wp:positionV>
            <wp:extent cx="85725"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-3442335</wp:posOffset>
            </wp:positionV>
            <wp:extent cx="939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-2396490</wp:posOffset>
            </wp:positionV>
            <wp:extent cx="16256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-2396490</wp:posOffset>
            </wp:positionV>
            <wp:extent cx="85725"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-2396490</wp:posOffset>
            </wp:positionV>
            <wp:extent cx="9398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-1496695</wp:posOffset>
            </wp:positionV>
            <wp:extent cx="16256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-1496695</wp:posOffset>
            </wp:positionV>
            <wp:extent cx="85725"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-1496695</wp:posOffset>
            </wp:positionV>
            <wp:extent cx="939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-1050925</wp:posOffset>
            </wp:positionV>
            <wp:extent cx="16256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-1050925</wp:posOffset>
            </wp:positionV>
            <wp:extent cx="8572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-1050925</wp:posOffset>
            </wp:positionV>
            <wp:extent cx="939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-253365</wp:posOffset>
            </wp:positionV>
            <wp:extent cx="16256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-253365</wp:posOffset>
            </wp:positionV>
            <wp:extent cx="85725"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-253365</wp:posOffset>
            </wp:positionV>
            <wp:extent cx="939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0"/>
        </w:trPr>
        <w:tc>
          <w:tcPr>
            <w:tcW w:w="1880" w:type="dxa"/>
            <w:vAlign w:val="bottom"/>
          </w:tcPr>
          <w:p>
            <w:pPr>
              <w:ind w:left="20"/>
              <w:spacing w:after="0"/>
              <w:rPr>
                <w:sz w:val="20"/>
                <w:szCs w:val="20"/>
                <w:color w:val="auto"/>
              </w:rPr>
            </w:pPr>
            <w:r>
              <w:rPr>
                <w:rFonts w:ascii="Arial" w:cs="Arial" w:eastAsia="Arial" w:hAnsi="Arial"/>
                <w:sz w:val="13"/>
                <w:szCs w:val="13"/>
                <w:color w:val="auto"/>
                <w:w w:val="96"/>
              </w:rPr>
              <w:t>Burke America Parts Group, LLC</w:t>
            </w:r>
          </w:p>
        </w:tc>
        <w:tc>
          <w:tcPr>
            <w:tcW w:w="1220" w:type="dxa"/>
            <w:vAlign w:val="bottom"/>
          </w:tcPr>
          <w:p>
            <w:pPr>
              <w:ind w:left="60"/>
              <w:spacing w:after="0"/>
              <w:rPr>
                <w:sz w:val="20"/>
                <w:szCs w:val="20"/>
                <w:color w:val="auto"/>
              </w:rPr>
            </w:pPr>
            <w:r>
              <w:rPr>
                <w:rFonts w:ascii="Arial" w:cs="Arial" w:eastAsia="Arial" w:hAnsi="Arial"/>
                <w:sz w:val="13"/>
                <w:szCs w:val="13"/>
                <w:color w:val="auto"/>
              </w:rPr>
              <w:t>Home Repair Parts</w:t>
            </w:r>
          </w:p>
        </w:tc>
        <w:tc>
          <w:tcPr>
            <w:tcW w:w="2260" w:type="dxa"/>
            <w:vAlign w:val="bottom"/>
          </w:tcPr>
          <w:p>
            <w:pPr>
              <w:ind w:left="60"/>
              <w:spacing w:after="0"/>
              <w:rPr>
                <w:sz w:val="20"/>
                <w:szCs w:val="20"/>
                <w:color w:val="auto"/>
              </w:rPr>
            </w:pPr>
            <w:r>
              <w:rPr>
                <w:rFonts w:ascii="Arial" w:cs="Arial" w:eastAsia="Arial" w:hAnsi="Arial"/>
                <w:sz w:val="13"/>
                <w:szCs w:val="13"/>
                <w:color w:val="auto"/>
              </w:rPr>
              <w:t>Membership Units (14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4/30/2015</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3,300</w:t>
            </w:r>
          </w:p>
        </w:tc>
        <w:tc>
          <w:tcPr>
            <w:tcW w:w="140" w:type="dxa"/>
            <w:vAlign w:val="bottom"/>
          </w:tcPr>
          <w:p>
            <w:pPr>
              <w:spacing w:after="0"/>
              <w:rPr>
                <w:sz w:val="13"/>
                <w:szCs w:val="13"/>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Manufacturer</w:t>
            </w:r>
          </w:p>
        </w:tc>
        <w:tc>
          <w:tcPr>
            <w:tcW w:w="2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3,300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89"/>
        </w:trPr>
        <w:tc>
          <w:tcPr>
            <w:tcW w:w="188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tcPr>
          <w:p>
            <w:pPr>
              <w:spacing w:after="0"/>
              <w:rPr>
                <w:sz w:val="16"/>
                <w:szCs w:val="16"/>
                <w:color w:val="auto"/>
              </w:rPr>
            </w:pPr>
          </w:p>
        </w:tc>
        <w:tc>
          <w:tcPr>
            <w:tcW w:w="226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Chicken Soup for the Soul,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Multi-platform</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(10.0% Cash (1</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12/14/2018</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80" w:type="dxa"/>
            <w:vAlign w:val="bottom"/>
            <w:shd w:val="clear" w:color="auto" w:fill="CFF0FC"/>
          </w:tcPr>
          <w:p>
            <w:pPr>
              <w:spacing w:after="0"/>
              <w:rPr>
                <w:sz w:val="13"/>
                <w:szCs w:val="13"/>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w w:val="93"/>
              </w:rPr>
              <w:t>media and consumer</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month LIBOR + 8.5%, 1.5% Floor),</w:t>
            </w:r>
          </w:p>
        </w:tc>
        <w:tc>
          <w:tcPr>
            <w:tcW w:w="232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10,045</w:t>
            </w:r>
          </w:p>
        </w:tc>
        <w:tc>
          <w:tcPr>
            <w:tcW w:w="26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10,045</w:t>
            </w:r>
          </w:p>
        </w:tc>
        <w:tc>
          <w:tcPr>
            <w:tcW w:w="1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9.1 %</w:t>
            </w:r>
          </w:p>
        </w:tc>
        <w:tc>
          <w:tcPr>
            <w:tcW w:w="0" w:type="dxa"/>
            <w:vAlign w:val="bottom"/>
          </w:tcPr>
          <w:p>
            <w:pPr>
              <w:spacing w:after="0"/>
              <w:rPr>
                <w:sz w:val="1"/>
                <w:szCs w:val="1"/>
                <w:color w:val="auto"/>
              </w:rPr>
            </w:pPr>
          </w:p>
        </w:tc>
      </w:tr>
      <w:tr>
        <w:trPr>
          <w:trHeight w:val="176"/>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products</w:t>
            </w:r>
          </w:p>
        </w:tc>
        <w:tc>
          <w:tcPr>
            <w:tcW w:w="2260" w:type="dxa"/>
            <w:vAlign w:val="bottom"/>
            <w:shd w:val="clear" w:color="auto" w:fill="CFF0FC"/>
          </w:tcPr>
          <w:p>
            <w:pPr>
              <w:ind w:left="60"/>
              <w:spacing w:after="0" w:line="176" w:lineRule="exact"/>
              <w:rPr>
                <w:sz w:val="20"/>
                <w:szCs w:val="20"/>
                <w:color w:val="auto"/>
              </w:rPr>
            </w:pPr>
            <w:r>
              <w:rPr>
                <w:rFonts w:ascii="Arial" w:cs="Arial" w:eastAsia="Arial" w:hAnsi="Arial"/>
                <w:sz w:val="13"/>
                <w:szCs w:val="13"/>
                <w:color w:val="auto"/>
              </w:rPr>
              <w:t xml:space="preserve">Due 2/22/22) </w:t>
            </w:r>
            <w:r>
              <w:rPr>
                <w:rFonts w:ascii="Arial" w:cs="Arial" w:eastAsia="Arial" w:hAnsi="Arial"/>
                <w:sz w:val="16"/>
                <w:szCs w:val="16"/>
                <w:color w:val="auto"/>
                <w:vertAlign w:val="superscript"/>
              </w:rPr>
              <w:t>(6)</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10,045</w:t>
            </w:r>
          </w:p>
        </w:tc>
        <w:tc>
          <w:tcPr>
            <w:tcW w:w="104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10,045</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10,045</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9.1 %</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rPr>
                <w:sz w:val="20"/>
                <w:szCs w:val="20"/>
                <w:color w:val="auto"/>
              </w:rPr>
            </w:pPr>
            <w:r>
              <w:rPr>
                <w:rFonts w:ascii="Arial" w:cs="Arial" w:eastAsia="Arial" w:hAnsi="Arial"/>
                <w:sz w:val="13"/>
                <w:szCs w:val="13"/>
                <w:color w:val="auto"/>
              </w:rPr>
              <w:t>Chief Fire Intermediate, Inc.</w:t>
            </w:r>
          </w:p>
        </w:tc>
        <w:tc>
          <w:tcPr>
            <w:tcW w:w="1220" w:type="dxa"/>
            <w:vAlign w:val="bottom"/>
          </w:tcPr>
          <w:p>
            <w:pPr>
              <w:ind w:left="60"/>
              <w:spacing w:after="0"/>
              <w:rPr>
                <w:sz w:val="20"/>
                <w:szCs w:val="20"/>
                <w:color w:val="auto"/>
              </w:rPr>
            </w:pPr>
            <w:r>
              <w:rPr>
                <w:rFonts w:ascii="Arial" w:cs="Arial" w:eastAsia="Arial" w:hAnsi="Arial"/>
                <w:sz w:val="13"/>
                <w:szCs w:val="13"/>
                <w:color w:val="auto"/>
              </w:rPr>
              <w:t>Security System</w:t>
            </w:r>
          </w:p>
        </w:tc>
        <w:tc>
          <w:tcPr>
            <w:tcW w:w="2260" w:type="dxa"/>
            <w:vAlign w:val="bottom"/>
          </w:tcPr>
          <w:p>
            <w:pPr>
              <w:ind w:left="60"/>
              <w:spacing w:after="0"/>
              <w:rPr>
                <w:sz w:val="20"/>
                <w:szCs w:val="20"/>
                <w:color w:val="auto"/>
              </w:rPr>
            </w:pPr>
            <w:r>
              <w:rPr>
                <w:rFonts w:ascii="Arial" w:cs="Arial" w:eastAsia="Arial" w:hAnsi="Arial"/>
                <w:sz w:val="13"/>
                <w:szCs w:val="13"/>
                <w:color w:val="auto"/>
              </w:rPr>
              <w:t>First Lien Debt (8.6% Cash (1 month</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11/8/2019</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80" w:type="dxa"/>
            <w:vAlign w:val="bottom"/>
          </w:tcPr>
          <w:p>
            <w:pPr>
              <w:spacing w:after="0"/>
              <w:rPr>
                <w:sz w:val="13"/>
                <w:szCs w:val="13"/>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Services</w:t>
            </w:r>
          </w:p>
        </w:tc>
        <w:tc>
          <w:tcPr>
            <w:tcW w:w="2260" w:type="dxa"/>
            <w:vAlign w:val="bottom"/>
          </w:tcPr>
          <w:p>
            <w:pPr>
              <w:ind w:left="60"/>
              <w:spacing w:after="0"/>
              <w:rPr>
                <w:sz w:val="20"/>
                <w:szCs w:val="20"/>
                <w:color w:val="auto"/>
              </w:rPr>
            </w:pPr>
            <w:r>
              <w:rPr>
                <w:rFonts w:ascii="Arial" w:cs="Arial" w:eastAsia="Arial" w:hAnsi="Arial"/>
                <w:sz w:val="13"/>
                <w:szCs w:val="13"/>
                <w:color w:val="auto"/>
              </w:rPr>
              <w:t>LIBOR + 7.0%, 1.6% Floor), Due</w:t>
            </w:r>
          </w:p>
        </w:tc>
        <w:tc>
          <w:tcPr>
            <w:tcW w:w="2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60" w:type="dxa"/>
            <w:vAlign w:val="bottom"/>
          </w:tcPr>
          <w:p>
            <w:pPr>
              <w:ind w:left="60"/>
              <w:spacing w:after="0"/>
              <w:rPr>
                <w:sz w:val="20"/>
                <w:szCs w:val="20"/>
                <w:color w:val="auto"/>
              </w:rPr>
            </w:pPr>
            <w:r>
              <w:rPr>
                <w:rFonts w:ascii="Arial" w:cs="Arial" w:eastAsia="Arial" w:hAnsi="Arial"/>
                <w:sz w:val="13"/>
                <w:szCs w:val="13"/>
                <w:color w:val="auto"/>
              </w:rPr>
              <w:t xml:space="preserve">11/8/24) </w:t>
            </w:r>
            <w:r>
              <w:rPr>
                <w:rFonts w:ascii="Arial" w:cs="Arial" w:eastAsia="Arial" w:hAnsi="Arial"/>
                <w:sz w:val="16"/>
                <w:szCs w:val="16"/>
                <w:color w:val="auto"/>
                <w:vertAlign w:val="superscript"/>
              </w:rPr>
              <w:t>(7)</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8,100</w:t>
            </w:r>
          </w:p>
        </w:tc>
        <w:tc>
          <w:tcPr>
            <w:tcW w:w="1040" w:type="dxa"/>
            <w:vAlign w:val="bottom"/>
          </w:tcPr>
          <w:p>
            <w:pPr>
              <w:jc w:val="right"/>
              <w:spacing w:after="0"/>
              <w:rPr>
                <w:sz w:val="20"/>
                <w:szCs w:val="20"/>
                <w:color w:val="auto"/>
              </w:rPr>
            </w:pPr>
            <w:r>
              <w:rPr>
                <w:rFonts w:ascii="Arial" w:cs="Arial" w:eastAsia="Arial" w:hAnsi="Arial"/>
                <w:sz w:val="13"/>
                <w:szCs w:val="13"/>
                <w:color w:val="auto"/>
              </w:rPr>
              <w:t>8,100</w:t>
            </w:r>
          </w:p>
        </w:tc>
        <w:tc>
          <w:tcPr>
            <w:tcW w:w="2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Chief Fire Intermediate, Inc.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Security System</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Class A Preferred Units (34,740</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11/8/2019</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Services</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units)</w:t>
            </w: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913</w:t>
            </w:r>
          </w:p>
        </w:tc>
        <w:tc>
          <w:tcPr>
            <w:tcW w:w="2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rPr>
                <w:sz w:val="20"/>
                <w:szCs w:val="20"/>
                <w:color w:val="auto"/>
              </w:rPr>
            </w:pPr>
            <w:r>
              <w:rPr>
                <w:rFonts w:ascii="Arial" w:cs="Arial" w:eastAsia="Arial" w:hAnsi="Arial"/>
                <w:sz w:val="13"/>
                <w:szCs w:val="13"/>
                <w:color w:val="auto"/>
              </w:rPr>
              <w:t>Chief Fire Intermediate, Inc.</w:t>
            </w:r>
          </w:p>
        </w:tc>
        <w:tc>
          <w:tcPr>
            <w:tcW w:w="1220" w:type="dxa"/>
            <w:vAlign w:val="bottom"/>
          </w:tcPr>
          <w:p>
            <w:pPr>
              <w:ind w:left="60"/>
              <w:spacing w:after="0"/>
              <w:rPr>
                <w:sz w:val="20"/>
                <w:szCs w:val="20"/>
                <w:color w:val="auto"/>
              </w:rPr>
            </w:pPr>
            <w:r>
              <w:rPr>
                <w:rFonts w:ascii="Arial" w:cs="Arial" w:eastAsia="Arial" w:hAnsi="Arial"/>
                <w:sz w:val="13"/>
                <w:szCs w:val="13"/>
                <w:color w:val="auto"/>
              </w:rPr>
              <w:t>Security System</w:t>
            </w:r>
          </w:p>
        </w:tc>
        <w:tc>
          <w:tcPr>
            <w:tcW w:w="2260" w:type="dxa"/>
            <w:vAlign w:val="bottom"/>
          </w:tcPr>
          <w:p>
            <w:pPr>
              <w:ind w:left="60"/>
              <w:spacing w:after="0"/>
              <w:rPr>
                <w:sz w:val="20"/>
                <w:szCs w:val="20"/>
                <w:color w:val="auto"/>
              </w:rPr>
            </w:pPr>
            <w:r>
              <w:rPr>
                <w:rFonts w:ascii="Arial" w:cs="Arial" w:eastAsia="Arial" w:hAnsi="Arial"/>
                <w:sz w:val="13"/>
                <w:szCs w:val="13"/>
                <w:color w:val="auto"/>
              </w:rPr>
              <w:t>Class B Common Units (3,510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11/8/2019</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Services</w:t>
            </w:r>
          </w:p>
        </w:tc>
        <w:tc>
          <w:tcPr>
            <w:tcW w:w="22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9,013</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97"/>
        </w:trPr>
        <w:tc>
          <w:tcPr>
            <w:tcW w:w="18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Freedom Electronics,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Electronic Machine</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(7.0% Cash (1 month</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6/1/2020</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Repair</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+ 5.0%, 2.0% Floor), Due</w:t>
            </w:r>
          </w:p>
        </w:tc>
        <w:tc>
          <w:tcPr>
            <w:tcW w:w="2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12/20/23)</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2,595</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2,595</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2,595</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2.3 %</w:t>
            </w: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3"/>
                <w:szCs w:val="13"/>
                <w:color w:val="auto"/>
              </w:rPr>
              <w:t>Freedom Electronics, LLC</w:t>
            </w:r>
          </w:p>
        </w:tc>
        <w:tc>
          <w:tcPr>
            <w:tcW w:w="1220" w:type="dxa"/>
            <w:vAlign w:val="bottom"/>
          </w:tcPr>
          <w:p>
            <w:pPr>
              <w:ind w:left="60"/>
              <w:spacing w:after="0"/>
              <w:rPr>
                <w:sz w:val="20"/>
                <w:szCs w:val="20"/>
                <w:color w:val="auto"/>
              </w:rPr>
            </w:pPr>
            <w:r>
              <w:rPr>
                <w:rFonts w:ascii="Arial" w:cs="Arial" w:eastAsia="Arial" w:hAnsi="Arial"/>
                <w:sz w:val="13"/>
                <w:szCs w:val="13"/>
                <w:color w:val="auto"/>
              </w:rPr>
              <w:t>Electronic Machine</w:t>
            </w:r>
          </w:p>
        </w:tc>
        <w:tc>
          <w:tcPr>
            <w:tcW w:w="2260" w:type="dxa"/>
            <w:vAlign w:val="bottom"/>
          </w:tcPr>
          <w:p>
            <w:pPr>
              <w:ind w:left="60"/>
              <w:spacing w:after="0"/>
              <w:rPr>
                <w:sz w:val="20"/>
                <w:szCs w:val="20"/>
                <w:color w:val="auto"/>
              </w:rPr>
            </w:pPr>
            <w:r>
              <w:rPr>
                <w:rFonts w:ascii="Arial" w:cs="Arial" w:eastAsia="Arial" w:hAnsi="Arial"/>
                <w:sz w:val="13"/>
                <w:szCs w:val="13"/>
                <w:color w:val="auto"/>
              </w:rPr>
              <w:t>First Lien Debt (8.7% Cash, Due</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12/20/2018</w:t>
            </w: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Repair</w:t>
            </w:r>
          </w:p>
        </w:tc>
        <w:tc>
          <w:tcPr>
            <w:tcW w:w="2260" w:type="dxa"/>
            <w:vAlign w:val="bottom"/>
          </w:tcPr>
          <w:p>
            <w:pPr>
              <w:ind w:left="60"/>
              <w:spacing w:after="0"/>
              <w:rPr>
                <w:sz w:val="20"/>
                <w:szCs w:val="20"/>
                <w:color w:val="auto"/>
              </w:rPr>
            </w:pPr>
            <w:r>
              <w:rPr>
                <w:rFonts w:ascii="Arial" w:cs="Arial" w:eastAsia="Arial" w:hAnsi="Arial"/>
                <w:sz w:val="13"/>
                <w:szCs w:val="13"/>
                <w:color w:val="auto"/>
              </w:rPr>
              <w:t xml:space="preserve">12/20/23) </w:t>
            </w:r>
            <w:r>
              <w:rPr>
                <w:rFonts w:ascii="Arial" w:cs="Arial" w:eastAsia="Arial" w:hAnsi="Arial"/>
                <w:sz w:val="16"/>
                <w:szCs w:val="16"/>
                <w:color w:val="auto"/>
                <w:vertAlign w:val="superscript"/>
              </w:rPr>
              <w:t>(10)(11)</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5,661</w:t>
            </w:r>
          </w:p>
        </w:tc>
        <w:tc>
          <w:tcPr>
            <w:tcW w:w="1040" w:type="dxa"/>
            <w:vAlign w:val="bottom"/>
          </w:tcPr>
          <w:p>
            <w:pPr>
              <w:jc w:val="right"/>
              <w:spacing w:after="0"/>
              <w:rPr>
                <w:sz w:val="20"/>
                <w:szCs w:val="20"/>
                <w:color w:val="auto"/>
              </w:rPr>
            </w:pPr>
            <w:r>
              <w:rPr>
                <w:rFonts w:ascii="Arial" w:cs="Arial" w:eastAsia="Arial" w:hAnsi="Arial"/>
                <w:sz w:val="13"/>
                <w:szCs w:val="13"/>
                <w:color w:val="auto"/>
              </w:rPr>
              <w:t>5,661</w:t>
            </w:r>
          </w:p>
        </w:tc>
        <w:tc>
          <w:tcPr>
            <w:tcW w:w="26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5,641</w:t>
            </w:r>
          </w:p>
        </w:tc>
        <w:tc>
          <w:tcPr>
            <w:tcW w:w="1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5.1 %</w:t>
            </w: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Freedom Electronics,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Electronic Machine</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Membership Units (181,818 units)</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12/20/2018</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182</w:t>
            </w:r>
          </w:p>
        </w:tc>
        <w:tc>
          <w:tcPr>
            <w:tcW w:w="260" w:type="dxa"/>
            <w:vAlign w:val="bottom"/>
            <w:shd w:val="clear" w:color="auto" w:fill="CFF0FC"/>
          </w:tcPr>
          <w:p>
            <w:pPr>
              <w:spacing w:after="0"/>
              <w:rPr>
                <w:sz w:val="15"/>
                <w:szCs w:val="15"/>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228</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0.2 %</w:t>
            </w:r>
          </w:p>
        </w:tc>
        <w:tc>
          <w:tcPr>
            <w:tcW w:w="0" w:type="dxa"/>
            <w:vAlign w:val="bottom"/>
          </w:tcPr>
          <w:p>
            <w:pPr>
              <w:spacing w:after="0"/>
              <w:rPr>
                <w:sz w:val="1"/>
                <w:szCs w:val="1"/>
                <w:color w:val="auto"/>
              </w:rPr>
            </w:pPr>
          </w:p>
        </w:tc>
      </w:tr>
      <w:tr>
        <w:trPr>
          <w:trHeight w:val="163"/>
        </w:trPr>
        <w:tc>
          <w:tcPr>
            <w:tcW w:w="1880" w:type="dxa"/>
            <w:vAlign w:val="bottom"/>
            <w:shd w:val="clear" w:color="auto" w:fill="CFF0FC"/>
          </w:tcPr>
          <w:p>
            <w:pPr>
              <w:spacing w:after="0"/>
              <w:rPr>
                <w:sz w:val="14"/>
                <w:szCs w:val="14"/>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Repair</w:t>
            </w:r>
          </w:p>
        </w:tc>
        <w:tc>
          <w:tcPr>
            <w:tcW w:w="226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8,438</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8,464</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7.6 %</w:t>
            </w: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3"/>
                <w:szCs w:val="13"/>
                <w:color w:val="auto"/>
              </w:rPr>
              <w:t>HUMC Opco, LLC</w:t>
            </w:r>
          </w:p>
        </w:tc>
        <w:tc>
          <w:tcPr>
            <w:tcW w:w="1220" w:type="dxa"/>
            <w:vAlign w:val="bottom"/>
          </w:tcPr>
          <w:p>
            <w:pPr>
              <w:ind w:left="60"/>
              <w:spacing w:after="0"/>
              <w:rPr>
                <w:sz w:val="20"/>
                <w:szCs w:val="20"/>
                <w:color w:val="auto"/>
              </w:rPr>
            </w:pPr>
            <w:r>
              <w:rPr>
                <w:rFonts w:ascii="Arial" w:cs="Arial" w:eastAsia="Arial" w:hAnsi="Arial"/>
                <w:sz w:val="13"/>
                <w:szCs w:val="13"/>
                <w:color w:val="auto"/>
              </w:rPr>
              <w:t>Healthcare</w:t>
            </w:r>
          </w:p>
        </w:tc>
        <w:tc>
          <w:tcPr>
            <w:tcW w:w="2260" w:type="dxa"/>
            <w:vAlign w:val="bottom"/>
          </w:tcPr>
          <w:p>
            <w:pPr>
              <w:ind w:left="60"/>
              <w:spacing w:after="0"/>
              <w:rPr>
                <w:sz w:val="20"/>
                <w:szCs w:val="20"/>
                <w:color w:val="auto"/>
              </w:rPr>
            </w:pPr>
            <w:r>
              <w:rPr>
                <w:rFonts w:ascii="Arial" w:cs="Arial" w:eastAsia="Arial" w:hAnsi="Arial"/>
                <w:sz w:val="13"/>
                <w:szCs w:val="13"/>
                <w:color w:val="auto"/>
              </w:rPr>
              <w:t>First Lien Debt (9.0% Cash, Due</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8/8/2019</w:t>
            </w: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4,689</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4,689</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tcPr>
          <w:p>
            <w:pPr>
              <w:ind w:left="60"/>
              <w:spacing w:after="0" w:line="176" w:lineRule="exact"/>
              <w:rPr>
                <w:sz w:val="20"/>
                <w:szCs w:val="20"/>
                <w:color w:val="auto"/>
              </w:rPr>
            </w:pPr>
            <w:r>
              <w:rPr>
                <w:rFonts w:ascii="Arial" w:cs="Arial" w:eastAsia="Arial" w:hAnsi="Arial"/>
                <w:sz w:val="13"/>
                <w:szCs w:val="13"/>
                <w:color w:val="auto"/>
              </w:rPr>
              <w:t xml:space="preserve">11/19/21) </w:t>
            </w:r>
            <w:r>
              <w:rPr>
                <w:rFonts w:ascii="Arial" w:cs="Arial" w:eastAsia="Arial" w:hAnsi="Arial"/>
                <w:sz w:val="16"/>
                <w:szCs w:val="16"/>
                <w:color w:val="auto"/>
                <w:vertAlign w:val="superscript"/>
              </w:rPr>
              <w:t>(6)</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4,689</w:t>
            </w: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4,689</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4,689</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4.2 %</w:t>
            </w:r>
          </w:p>
        </w:tc>
        <w:tc>
          <w:tcPr>
            <w:tcW w:w="0" w:type="dxa"/>
            <w:vAlign w:val="bottom"/>
          </w:tcPr>
          <w:p>
            <w:pPr>
              <w:spacing w:after="0"/>
              <w:rPr>
                <w:sz w:val="1"/>
                <w:szCs w:val="1"/>
                <w:color w:val="auto"/>
              </w:rPr>
            </w:pPr>
          </w:p>
        </w:tc>
      </w:tr>
      <w:tr>
        <w:trPr>
          <w:trHeight w:val="297"/>
        </w:trPr>
        <w:tc>
          <w:tcPr>
            <w:tcW w:w="18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J5 Infrastructure Partners,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w w:val="92"/>
              </w:rPr>
              <w:t>Wireless Deployment</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(8.3% Cash (1 month</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12/20/2019</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80" w:type="dxa"/>
            <w:vAlign w:val="bottom"/>
            <w:shd w:val="clear" w:color="auto" w:fill="CFF0FC"/>
          </w:tcPr>
          <w:p>
            <w:pPr>
              <w:spacing w:after="0"/>
              <w:rPr>
                <w:sz w:val="13"/>
                <w:szCs w:val="13"/>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Services</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+ 6.5%, 1.8% Floor), Due</w:t>
            </w:r>
          </w:p>
        </w:tc>
        <w:tc>
          <w:tcPr>
            <w:tcW w:w="23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12/20/24)</w:t>
            </w:r>
            <w:r>
              <w:rPr>
                <w:rFonts w:ascii="Arial" w:cs="Arial" w:eastAsia="Arial" w:hAnsi="Arial"/>
                <w:sz w:val="16"/>
                <w:szCs w:val="16"/>
                <w:color w:val="auto"/>
                <w:vertAlign w:val="superscript"/>
              </w:rPr>
              <w:t>(20)</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rPr>
                <w:sz w:val="20"/>
                <w:szCs w:val="20"/>
                <w:color w:val="auto"/>
              </w:rPr>
            </w:pPr>
            <w:r>
              <w:rPr>
                <w:rFonts w:ascii="Arial" w:cs="Arial" w:eastAsia="Arial" w:hAnsi="Arial"/>
                <w:sz w:val="13"/>
                <w:szCs w:val="13"/>
                <w:color w:val="auto"/>
              </w:rPr>
              <w:t>J5 Infrastructure Partners, LLC</w:t>
            </w:r>
          </w:p>
        </w:tc>
        <w:tc>
          <w:tcPr>
            <w:tcW w:w="1220" w:type="dxa"/>
            <w:vAlign w:val="bottom"/>
          </w:tcPr>
          <w:p>
            <w:pPr>
              <w:ind w:left="60"/>
              <w:spacing w:after="0"/>
              <w:rPr>
                <w:sz w:val="20"/>
                <w:szCs w:val="20"/>
                <w:color w:val="auto"/>
              </w:rPr>
            </w:pPr>
            <w:r>
              <w:rPr>
                <w:rFonts w:ascii="Arial" w:cs="Arial" w:eastAsia="Arial" w:hAnsi="Arial"/>
                <w:sz w:val="13"/>
                <w:szCs w:val="13"/>
                <w:color w:val="auto"/>
                <w:w w:val="92"/>
              </w:rPr>
              <w:t>Wireless Deployment</w:t>
            </w:r>
          </w:p>
        </w:tc>
        <w:tc>
          <w:tcPr>
            <w:tcW w:w="2260" w:type="dxa"/>
            <w:vAlign w:val="bottom"/>
          </w:tcPr>
          <w:p>
            <w:pPr>
              <w:ind w:left="60"/>
              <w:spacing w:after="0"/>
              <w:rPr>
                <w:sz w:val="20"/>
                <w:szCs w:val="20"/>
                <w:color w:val="auto"/>
              </w:rPr>
            </w:pPr>
            <w:r>
              <w:rPr>
                <w:rFonts w:ascii="Arial" w:cs="Arial" w:eastAsia="Arial" w:hAnsi="Arial"/>
                <w:sz w:val="13"/>
                <w:szCs w:val="13"/>
                <w:color w:val="auto"/>
              </w:rPr>
              <w:t>First Lien Debt (8.3% Cash (1 month</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12/20/2019</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color w:val="auto"/>
              </w:rPr>
              <w:t>Services</w:t>
            </w:r>
          </w:p>
        </w:tc>
        <w:tc>
          <w:tcPr>
            <w:tcW w:w="2260" w:type="dxa"/>
            <w:vAlign w:val="bottom"/>
          </w:tcPr>
          <w:p>
            <w:pPr>
              <w:ind w:left="60"/>
              <w:spacing w:after="0"/>
              <w:rPr>
                <w:sz w:val="20"/>
                <w:szCs w:val="20"/>
                <w:color w:val="auto"/>
              </w:rPr>
            </w:pPr>
            <w:r>
              <w:rPr>
                <w:rFonts w:ascii="Arial" w:cs="Arial" w:eastAsia="Arial" w:hAnsi="Arial"/>
                <w:sz w:val="13"/>
                <w:szCs w:val="13"/>
                <w:color w:val="auto"/>
              </w:rPr>
              <w:t>LIBOR + 6.5%, 1.8% Floor), Due</w:t>
            </w:r>
          </w:p>
        </w:tc>
        <w:tc>
          <w:tcPr>
            <w:tcW w:w="2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5,809</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5,809</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Arial" w:cs="Arial" w:eastAsia="Arial" w:hAnsi="Arial"/>
                <w:sz w:val="13"/>
                <w:szCs w:val="13"/>
                <w:color w:val="auto"/>
              </w:rPr>
              <w:t>12/20/24)</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5,809</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5,809</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5,809</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297"/>
        </w:trPr>
        <w:tc>
          <w:tcPr>
            <w:tcW w:w="18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Jurassic Quest Holdings,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Entertainment</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(9.5% Cash (1 month</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5/1/2019</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+ 7.5%, 2.0% Floor), Due</w:t>
            </w:r>
          </w:p>
        </w:tc>
        <w:tc>
          <w:tcPr>
            <w:tcW w:w="2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5/1/24)</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8,480</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8,480</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8,480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7.7 %</w:t>
            </w:r>
          </w:p>
        </w:tc>
        <w:tc>
          <w:tcPr>
            <w:tcW w:w="0" w:type="dxa"/>
            <w:vAlign w:val="bottom"/>
          </w:tcPr>
          <w:p>
            <w:pPr>
              <w:spacing w:after="0"/>
              <w:rPr>
                <w:sz w:val="1"/>
                <w:szCs w:val="1"/>
                <w:color w:val="auto"/>
              </w:rPr>
            </w:pPr>
          </w:p>
        </w:tc>
      </w:tr>
      <w:tr>
        <w:trPr>
          <w:trHeight w:val="181"/>
        </w:trPr>
        <w:tc>
          <w:tcPr>
            <w:tcW w:w="1880" w:type="dxa"/>
            <w:vAlign w:val="bottom"/>
          </w:tcPr>
          <w:p>
            <w:pPr>
              <w:ind w:left="20"/>
              <w:spacing w:after="0"/>
              <w:rPr>
                <w:sz w:val="20"/>
                <w:szCs w:val="20"/>
                <w:color w:val="auto"/>
              </w:rPr>
            </w:pPr>
            <w:r>
              <w:rPr>
                <w:rFonts w:ascii="Arial" w:cs="Arial" w:eastAsia="Arial" w:hAnsi="Arial"/>
                <w:sz w:val="13"/>
                <w:szCs w:val="13"/>
                <w:color w:val="auto"/>
              </w:rPr>
              <w:t>Jurassic Quest Holdings, LLC</w:t>
            </w:r>
          </w:p>
        </w:tc>
        <w:tc>
          <w:tcPr>
            <w:tcW w:w="1220" w:type="dxa"/>
            <w:vAlign w:val="bottom"/>
          </w:tcPr>
          <w:p>
            <w:pPr>
              <w:ind w:left="60"/>
              <w:spacing w:after="0"/>
              <w:rPr>
                <w:sz w:val="20"/>
                <w:szCs w:val="20"/>
                <w:color w:val="auto"/>
              </w:rPr>
            </w:pPr>
            <w:r>
              <w:rPr>
                <w:rFonts w:ascii="Arial" w:cs="Arial" w:eastAsia="Arial" w:hAnsi="Arial"/>
                <w:sz w:val="13"/>
                <w:szCs w:val="13"/>
                <w:color w:val="auto"/>
              </w:rPr>
              <w:t>Entertainment</w:t>
            </w:r>
          </w:p>
        </w:tc>
        <w:tc>
          <w:tcPr>
            <w:tcW w:w="2260" w:type="dxa"/>
            <w:vAlign w:val="bottom"/>
          </w:tcPr>
          <w:p>
            <w:pPr>
              <w:ind w:left="60"/>
              <w:spacing w:after="0"/>
              <w:rPr>
                <w:sz w:val="20"/>
                <w:szCs w:val="20"/>
                <w:color w:val="auto"/>
              </w:rPr>
            </w:pPr>
            <w:r>
              <w:rPr>
                <w:rFonts w:ascii="Arial" w:cs="Arial" w:eastAsia="Arial" w:hAnsi="Arial"/>
                <w:sz w:val="13"/>
                <w:szCs w:val="13"/>
                <w:color w:val="auto"/>
              </w:rPr>
              <w:t>Preferred Units (467,784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5/1/2019</w:t>
            </w:r>
          </w:p>
        </w:tc>
        <w:tc>
          <w:tcPr>
            <w:tcW w:w="1040" w:type="dxa"/>
            <w:vAlign w:val="bottom"/>
          </w:tcPr>
          <w:p>
            <w:pPr>
              <w:jc w:val="right"/>
              <w:spacing w:after="0"/>
              <w:rPr>
                <w:sz w:val="20"/>
                <w:szCs w:val="20"/>
                <w:color w:val="auto"/>
              </w:rPr>
            </w:pPr>
            <w:r>
              <w:rPr>
                <w:rFonts w:ascii="Arial" w:cs="Arial" w:eastAsia="Arial" w:hAnsi="Arial"/>
                <w:sz w:val="13"/>
                <w:szCs w:val="13"/>
                <w:color w:val="auto"/>
              </w:rPr>
              <w:t>480</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1,360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1.2 %</w:t>
            </w:r>
          </w:p>
        </w:tc>
        <w:tc>
          <w:tcPr>
            <w:tcW w:w="0" w:type="dxa"/>
            <w:vAlign w:val="bottom"/>
          </w:tcPr>
          <w:p>
            <w:pPr>
              <w:spacing w:after="0"/>
              <w:rPr>
                <w:sz w:val="1"/>
                <w:szCs w:val="1"/>
                <w:color w:val="auto"/>
              </w:rPr>
            </w:pPr>
          </w:p>
        </w:tc>
      </w:tr>
      <w:tr>
        <w:trPr>
          <w:trHeight w:val="21"/>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8,960</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9,840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8.9 %</w:t>
            </w:r>
          </w:p>
        </w:tc>
        <w:tc>
          <w:tcPr>
            <w:tcW w:w="0" w:type="dxa"/>
            <w:vAlign w:val="bottom"/>
          </w:tcPr>
          <w:p>
            <w:pPr>
              <w:spacing w:after="0"/>
              <w:rPr>
                <w:sz w:val="1"/>
                <w:szCs w:val="1"/>
                <w:color w:val="auto"/>
              </w:rPr>
            </w:pPr>
          </w:p>
        </w:tc>
      </w:tr>
      <w:tr>
        <w:trPr>
          <w:trHeight w:val="189"/>
        </w:trPr>
        <w:tc>
          <w:tcPr>
            <w:tcW w:w="188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tcPr>
          <w:p>
            <w:pPr>
              <w:spacing w:after="0"/>
              <w:rPr>
                <w:sz w:val="16"/>
                <w:szCs w:val="16"/>
                <w:color w:val="auto"/>
              </w:rPr>
            </w:pPr>
          </w:p>
        </w:tc>
        <w:tc>
          <w:tcPr>
            <w:tcW w:w="226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Lucky Bucks, LLC</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Consumer</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(6.25% Cash (1</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7/20/2021</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spacing w:after="0"/>
              <w:rPr>
                <w:sz w:val="14"/>
                <w:szCs w:val="14"/>
                <w:color w:val="auto"/>
              </w:rPr>
            </w:pP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Discretionary</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month LIBOR + 5.5%, 0.75%</w:t>
            </w:r>
          </w:p>
        </w:tc>
        <w:tc>
          <w:tcPr>
            <w:tcW w:w="2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5,882</w:t>
            </w:r>
          </w:p>
        </w:tc>
        <w:tc>
          <w:tcPr>
            <w:tcW w:w="26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5,880</w:t>
            </w:r>
          </w:p>
        </w:tc>
        <w:tc>
          <w:tcPr>
            <w:tcW w:w="14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163"/>
        </w:trPr>
        <w:tc>
          <w:tcPr>
            <w:tcW w:w="18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Due 7/21/27)</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6,000</w:t>
            </w:r>
          </w:p>
        </w:tc>
        <w:tc>
          <w:tcPr>
            <w:tcW w:w="10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5,882</w:t>
            </w: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5,880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5.3 %</w:t>
            </w:r>
          </w:p>
        </w:tc>
        <w:tc>
          <w:tcPr>
            <w:tcW w:w="0" w:type="dxa"/>
            <w:vAlign w:val="bottom"/>
          </w:tcPr>
          <w:p>
            <w:pPr>
              <w:spacing w:after="0"/>
              <w:rPr>
                <w:sz w:val="1"/>
                <w:szCs w:val="1"/>
                <w:color w:val="auto"/>
              </w:rPr>
            </w:pPr>
          </w:p>
        </w:tc>
      </w:tr>
      <w:tr>
        <w:trPr>
          <w:trHeight w:val="351"/>
        </w:trPr>
        <w:tc>
          <w:tcPr>
            <w:tcW w:w="1880" w:type="dxa"/>
            <w:vAlign w:val="bottom"/>
            <w:shd w:val="clear" w:color="auto" w:fill="CFF0FC"/>
          </w:tcPr>
          <w:p>
            <w:pPr>
              <w:spacing w:after="0"/>
              <w:rPr>
                <w:sz w:val="24"/>
                <w:szCs w:val="24"/>
                <w:color w:val="auto"/>
              </w:rPr>
            </w:pPr>
          </w:p>
        </w:tc>
        <w:tc>
          <w:tcPr>
            <w:tcW w:w="1220" w:type="dxa"/>
            <w:vAlign w:val="bottom"/>
            <w:shd w:val="clear" w:color="auto" w:fill="CFF0FC"/>
          </w:tcPr>
          <w:p>
            <w:pPr>
              <w:spacing w:after="0"/>
              <w:rPr>
                <w:sz w:val="24"/>
                <w:szCs w:val="24"/>
                <w:color w:val="auto"/>
              </w:rPr>
            </w:pPr>
          </w:p>
        </w:tc>
        <w:tc>
          <w:tcPr>
            <w:tcW w:w="2260" w:type="dxa"/>
            <w:vAlign w:val="bottom"/>
            <w:shd w:val="clear" w:color="auto" w:fill="CFF0FC"/>
          </w:tcPr>
          <w:p>
            <w:pPr>
              <w:spacing w:after="0"/>
              <w:rPr>
                <w:sz w:val="24"/>
                <w:szCs w:val="24"/>
                <w:color w:val="auto"/>
              </w:rPr>
            </w:pPr>
          </w:p>
        </w:tc>
        <w:tc>
          <w:tcPr>
            <w:tcW w:w="2320" w:type="dxa"/>
            <w:vAlign w:val="bottom"/>
            <w:shd w:val="clear" w:color="auto" w:fill="CFF0FC"/>
          </w:tcPr>
          <w:p>
            <w:pPr>
              <w:spacing w:after="0"/>
              <w:rPr>
                <w:sz w:val="24"/>
                <w:szCs w:val="24"/>
                <w:color w:val="auto"/>
              </w:rPr>
            </w:pPr>
          </w:p>
        </w:tc>
        <w:tc>
          <w:tcPr>
            <w:tcW w:w="1040" w:type="dxa"/>
            <w:vAlign w:val="bottom"/>
            <w:tcBorders>
              <w:top w:val="single" w:sz="8" w:color="auto"/>
            </w:tcBorders>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4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rPr>
                <w:sz w:val="20"/>
                <w:szCs w:val="20"/>
                <w:color w:val="auto"/>
              </w:rPr>
            </w:pPr>
            <w:r>
              <w:rPr>
                <w:rFonts w:ascii="Arial" w:cs="Arial" w:eastAsia="Arial" w:hAnsi="Arial"/>
                <w:sz w:val="13"/>
                <w:szCs w:val="13"/>
                <w:color w:val="auto"/>
                <w:w w:val="92"/>
              </w:rPr>
              <w:t>Mandolin Technology Intermediate</w:t>
            </w:r>
          </w:p>
        </w:tc>
        <w:tc>
          <w:tcPr>
            <w:tcW w:w="1220" w:type="dxa"/>
            <w:vAlign w:val="bottom"/>
          </w:tcPr>
          <w:p>
            <w:pPr>
              <w:ind w:left="60"/>
              <w:spacing w:after="0"/>
              <w:rPr>
                <w:sz w:val="20"/>
                <w:szCs w:val="20"/>
                <w:color w:val="auto"/>
              </w:rPr>
            </w:pPr>
            <w:r>
              <w:rPr>
                <w:rFonts w:ascii="Arial" w:cs="Arial" w:eastAsia="Arial" w:hAnsi="Arial"/>
                <w:sz w:val="13"/>
                <w:szCs w:val="13"/>
                <w:color w:val="auto"/>
              </w:rPr>
              <w:t>Information</w:t>
            </w:r>
          </w:p>
        </w:tc>
        <w:tc>
          <w:tcPr>
            <w:tcW w:w="2260" w:type="dxa"/>
            <w:vAlign w:val="bottom"/>
          </w:tcPr>
          <w:p>
            <w:pPr>
              <w:ind w:left="60"/>
              <w:spacing w:after="0"/>
              <w:rPr>
                <w:sz w:val="20"/>
                <w:szCs w:val="20"/>
                <w:color w:val="auto"/>
              </w:rPr>
            </w:pPr>
            <w:r>
              <w:rPr>
                <w:rFonts w:ascii="Arial" w:cs="Arial" w:eastAsia="Arial" w:hAnsi="Arial"/>
                <w:sz w:val="13"/>
                <w:szCs w:val="13"/>
                <w:color w:val="auto"/>
              </w:rPr>
              <w:t>Second Lien Debt (7.0% Cash (1</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7/22/2021</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3"/>
                <w:szCs w:val="13"/>
                <w:color w:val="auto"/>
              </w:rPr>
              <w:t>Holdings, Inc</w:t>
            </w:r>
          </w:p>
        </w:tc>
        <w:tc>
          <w:tcPr>
            <w:tcW w:w="1220" w:type="dxa"/>
            <w:vAlign w:val="bottom"/>
          </w:tcPr>
          <w:p>
            <w:pPr>
              <w:ind w:left="60"/>
              <w:spacing w:after="0"/>
              <w:rPr>
                <w:sz w:val="20"/>
                <w:szCs w:val="20"/>
                <w:color w:val="auto"/>
              </w:rPr>
            </w:pPr>
            <w:r>
              <w:rPr>
                <w:rFonts w:ascii="Arial" w:cs="Arial" w:eastAsia="Arial" w:hAnsi="Arial"/>
                <w:sz w:val="13"/>
                <w:szCs w:val="13"/>
                <w:color w:val="auto"/>
              </w:rPr>
              <w:t>Technology</w:t>
            </w:r>
          </w:p>
        </w:tc>
        <w:tc>
          <w:tcPr>
            <w:tcW w:w="2260" w:type="dxa"/>
            <w:vAlign w:val="bottom"/>
          </w:tcPr>
          <w:p>
            <w:pPr>
              <w:ind w:left="60"/>
              <w:spacing w:after="0"/>
              <w:rPr>
                <w:sz w:val="20"/>
                <w:szCs w:val="20"/>
                <w:color w:val="auto"/>
              </w:rPr>
            </w:pPr>
            <w:r>
              <w:rPr>
                <w:rFonts w:ascii="Arial" w:cs="Arial" w:eastAsia="Arial" w:hAnsi="Arial"/>
                <w:sz w:val="13"/>
                <w:szCs w:val="13"/>
                <w:color w:val="auto"/>
              </w:rPr>
              <w:t>month LIBOR + 6.5%, 0.5% Floor),</w:t>
            </w:r>
          </w:p>
        </w:tc>
        <w:tc>
          <w:tcPr>
            <w:tcW w:w="2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1,980</w:t>
            </w:r>
          </w:p>
        </w:tc>
        <w:tc>
          <w:tcPr>
            <w:tcW w:w="26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1,980</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163"/>
        </w:trPr>
        <w:tc>
          <w:tcPr>
            <w:tcW w:w="1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60" w:type="dxa"/>
            <w:vAlign w:val="bottom"/>
          </w:tcPr>
          <w:p>
            <w:pPr>
              <w:ind w:left="60"/>
              <w:spacing w:after="0"/>
              <w:rPr>
                <w:sz w:val="20"/>
                <w:szCs w:val="20"/>
                <w:color w:val="auto"/>
              </w:rPr>
            </w:pPr>
            <w:r>
              <w:rPr>
                <w:rFonts w:ascii="Arial" w:cs="Arial" w:eastAsia="Arial" w:hAnsi="Arial"/>
                <w:sz w:val="13"/>
                <w:szCs w:val="13"/>
                <w:color w:val="auto"/>
              </w:rPr>
              <w:t>Due 7/23/29)</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2,000</w:t>
            </w:r>
          </w:p>
        </w:tc>
        <w:tc>
          <w:tcPr>
            <w:tcW w:w="10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1,980</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1.8 %</w:t>
            </w:r>
          </w:p>
        </w:tc>
        <w:tc>
          <w:tcPr>
            <w:tcW w:w="0" w:type="dxa"/>
            <w:vAlign w:val="bottom"/>
          </w:tcPr>
          <w:p>
            <w:pPr>
              <w:spacing w:after="0"/>
              <w:rPr>
                <w:sz w:val="1"/>
                <w:szCs w:val="1"/>
                <w:color w:val="auto"/>
              </w:rPr>
            </w:pPr>
          </w:p>
        </w:tc>
      </w:tr>
      <w:tr>
        <w:trPr>
          <w:trHeight w:val="297"/>
        </w:trPr>
        <w:tc>
          <w:tcPr>
            <w:tcW w:w="1880" w:type="dxa"/>
            <w:vAlign w:val="bottom"/>
            <w:tcBorders>
              <w:top w:val="single" w:sz="8" w:color="CFF0FC"/>
            </w:tcBorders>
          </w:tcPr>
          <w:p>
            <w:pPr>
              <w:spacing w:after="0"/>
              <w:rPr>
                <w:sz w:val="24"/>
                <w:szCs w:val="24"/>
                <w:color w:val="auto"/>
              </w:rPr>
            </w:pPr>
          </w:p>
        </w:tc>
        <w:tc>
          <w:tcPr>
            <w:tcW w:w="122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Marble Point Credit Management</w:t>
            </w:r>
          </w:p>
        </w:tc>
        <w:tc>
          <w:tcPr>
            <w:tcW w:w="122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Financials</w:t>
            </w: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(7.0% Cash (3 month</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8/11/2021</w:t>
            </w:r>
          </w:p>
        </w:tc>
        <w:tc>
          <w:tcPr>
            <w:tcW w:w="10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220" w:type="dxa"/>
            <w:vAlign w:val="bottom"/>
            <w:shd w:val="clear" w:color="auto" w:fill="CFF0FC"/>
          </w:tcPr>
          <w:p>
            <w:pPr>
              <w:spacing w:after="0"/>
              <w:rPr>
                <w:sz w:val="14"/>
                <w:szCs w:val="14"/>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+ 6.0%, 1.70% Floor), Due</w:t>
            </w:r>
          </w:p>
        </w:tc>
        <w:tc>
          <w:tcPr>
            <w:tcW w:w="23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ind w:left="60"/>
              <w:spacing w:after="0"/>
              <w:rPr>
                <w:sz w:val="20"/>
                <w:szCs w:val="20"/>
                <w:color w:val="auto"/>
              </w:rPr>
            </w:pPr>
            <w:r>
              <w:rPr>
                <w:rFonts w:ascii="Arial" w:cs="Arial" w:eastAsia="Arial" w:hAnsi="Arial"/>
                <w:sz w:val="13"/>
                <w:szCs w:val="13"/>
                <w:color w:val="auto"/>
              </w:rPr>
              <w:t>8/11/28)</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5,876</w:t>
            </w: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5,717</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5,714</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173"/>
        </w:trPr>
        <w:tc>
          <w:tcPr>
            <w:tcW w:w="1880" w:type="dxa"/>
            <w:vAlign w:val="bottom"/>
          </w:tcPr>
          <w:p>
            <w:pPr>
              <w:ind w:left="20"/>
              <w:spacing w:after="0"/>
              <w:rPr>
                <w:sz w:val="20"/>
                <w:szCs w:val="20"/>
                <w:color w:val="auto"/>
              </w:rPr>
            </w:pPr>
            <w:r>
              <w:rPr>
                <w:rFonts w:ascii="Arial" w:cs="Arial" w:eastAsia="Arial" w:hAnsi="Arial"/>
                <w:sz w:val="13"/>
                <w:szCs w:val="13"/>
                <w:color w:val="auto"/>
                <w:w w:val="96"/>
              </w:rPr>
              <w:t>Marble Point Credit Management</w:t>
            </w:r>
          </w:p>
        </w:tc>
        <w:tc>
          <w:tcPr>
            <w:tcW w:w="1220" w:type="dxa"/>
            <w:vAlign w:val="bottom"/>
          </w:tcPr>
          <w:p>
            <w:pPr>
              <w:ind w:left="60"/>
              <w:spacing w:after="0"/>
              <w:rPr>
                <w:sz w:val="20"/>
                <w:szCs w:val="20"/>
                <w:color w:val="auto"/>
              </w:rPr>
            </w:pPr>
            <w:r>
              <w:rPr>
                <w:rFonts w:ascii="Arial" w:cs="Arial" w:eastAsia="Arial" w:hAnsi="Arial"/>
                <w:sz w:val="13"/>
                <w:szCs w:val="13"/>
                <w:color w:val="auto"/>
              </w:rPr>
              <w:t>Financials</w:t>
            </w:r>
          </w:p>
        </w:tc>
        <w:tc>
          <w:tcPr>
            <w:tcW w:w="2260" w:type="dxa"/>
            <w:vAlign w:val="bottom"/>
          </w:tcPr>
          <w:p>
            <w:pPr>
              <w:ind w:left="60"/>
              <w:spacing w:after="0"/>
              <w:rPr>
                <w:sz w:val="20"/>
                <w:szCs w:val="20"/>
                <w:color w:val="auto"/>
              </w:rPr>
            </w:pPr>
            <w:r>
              <w:rPr>
                <w:rFonts w:ascii="Arial" w:cs="Arial" w:eastAsia="Arial" w:hAnsi="Arial"/>
                <w:sz w:val="13"/>
                <w:szCs w:val="13"/>
                <w:color w:val="auto"/>
              </w:rPr>
              <w:t>Revolving line of credit (7.0% Cash</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8/11/2021</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80" w:type="dxa"/>
            <w:vAlign w:val="bottom"/>
          </w:tcPr>
          <w:p>
            <w:pPr>
              <w:ind w:left="20"/>
              <w:spacing w:after="0"/>
              <w:rPr>
                <w:sz w:val="20"/>
                <w:szCs w:val="20"/>
                <w:color w:val="auto"/>
              </w:rPr>
            </w:pPr>
            <w:r>
              <w:rPr>
                <w:rFonts w:ascii="Arial" w:cs="Arial" w:eastAsia="Arial" w:hAnsi="Arial"/>
                <w:sz w:val="13"/>
                <w:szCs w:val="13"/>
                <w:color w:val="auto"/>
              </w:rPr>
              <w:t>LLC</w:t>
            </w:r>
          </w:p>
        </w:tc>
        <w:tc>
          <w:tcPr>
            <w:tcW w:w="1220" w:type="dxa"/>
            <w:vAlign w:val="bottom"/>
          </w:tcPr>
          <w:p>
            <w:pPr>
              <w:spacing w:after="0"/>
              <w:rPr>
                <w:sz w:val="13"/>
                <w:szCs w:val="13"/>
                <w:color w:val="auto"/>
              </w:rPr>
            </w:pPr>
          </w:p>
        </w:tc>
        <w:tc>
          <w:tcPr>
            <w:tcW w:w="2260" w:type="dxa"/>
            <w:vAlign w:val="bottom"/>
          </w:tcPr>
          <w:p>
            <w:pPr>
              <w:ind w:left="60"/>
              <w:spacing w:after="0"/>
              <w:rPr>
                <w:sz w:val="20"/>
                <w:szCs w:val="20"/>
                <w:color w:val="auto"/>
              </w:rPr>
            </w:pPr>
            <w:r>
              <w:rPr>
                <w:rFonts w:ascii="Arial" w:cs="Arial" w:eastAsia="Arial" w:hAnsi="Arial"/>
                <w:sz w:val="13"/>
                <w:szCs w:val="13"/>
                <w:color w:val="auto"/>
              </w:rPr>
              <w:t>(3 month LIBOR + 6.0%), 1.0%</w:t>
            </w:r>
          </w:p>
        </w:tc>
        <w:tc>
          <w:tcPr>
            <w:tcW w:w="2320" w:type="dxa"/>
            <w:vAlign w:val="bottom"/>
          </w:tcPr>
          <w:p>
            <w:pPr>
              <w:spacing w:after="0"/>
              <w:rPr>
                <w:sz w:val="13"/>
                <w:szCs w:val="13"/>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(25 )</w:t>
            </w:r>
          </w:p>
        </w:tc>
        <w:tc>
          <w:tcPr>
            <w:tcW w:w="11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(25 )</w:t>
            </w: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6"/>
        </w:trPr>
        <w:tc>
          <w:tcPr>
            <w:tcW w:w="18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60" w:type="dxa"/>
            <w:vAlign w:val="bottom"/>
          </w:tcPr>
          <w:p>
            <w:pPr>
              <w:ind w:left="60"/>
              <w:spacing w:after="0" w:line="176" w:lineRule="exact"/>
              <w:rPr>
                <w:sz w:val="20"/>
                <w:szCs w:val="20"/>
                <w:color w:val="auto"/>
              </w:rPr>
            </w:pPr>
            <w:r>
              <w:rPr>
                <w:rFonts w:ascii="Arial" w:cs="Arial" w:eastAsia="Arial" w:hAnsi="Arial"/>
                <w:sz w:val="13"/>
                <w:szCs w:val="13"/>
                <w:color w:val="auto"/>
              </w:rPr>
              <w:t>Floor), Due 8/11/28)</w:t>
            </w:r>
            <w:r>
              <w:rPr>
                <w:rFonts w:ascii="Arial" w:cs="Arial" w:eastAsia="Arial" w:hAnsi="Arial"/>
                <w:sz w:val="16"/>
                <w:szCs w:val="16"/>
                <w:color w:val="auto"/>
                <w:vertAlign w:val="superscript"/>
              </w:rPr>
              <w:t>(15)</w:t>
            </w:r>
          </w:p>
        </w:tc>
        <w:tc>
          <w:tcPr>
            <w:tcW w:w="232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88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5,692</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5,689</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5.2 %</w:t>
            </w:r>
          </w:p>
        </w:tc>
        <w:tc>
          <w:tcPr>
            <w:tcW w:w="0" w:type="dxa"/>
            <w:vAlign w:val="bottom"/>
          </w:tcPr>
          <w:p>
            <w:pPr>
              <w:spacing w:after="0"/>
              <w:rPr>
                <w:sz w:val="1"/>
                <w:szCs w:val="1"/>
                <w:color w:val="auto"/>
              </w:rPr>
            </w:pPr>
          </w:p>
        </w:tc>
      </w:tr>
      <w:tr>
        <w:trPr>
          <w:trHeight w:val="22"/>
        </w:trPr>
        <w:tc>
          <w:tcPr>
            <w:tcW w:w="188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226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-7120255</wp:posOffset>
            </wp:positionV>
            <wp:extent cx="16256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-7120255</wp:posOffset>
            </wp:positionV>
            <wp:extent cx="8572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-7120255</wp:posOffset>
            </wp:positionV>
            <wp:extent cx="939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-6674485</wp:posOffset>
            </wp:positionV>
            <wp:extent cx="162560"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-6674485</wp:posOffset>
            </wp:positionV>
            <wp:extent cx="8572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-6674485</wp:posOffset>
            </wp:positionV>
            <wp:extent cx="939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-5525770</wp:posOffset>
            </wp:positionV>
            <wp:extent cx="16256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-5525770</wp:posOffset>
            </wp:positionV>
            <wp:extent cx="85725"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-5525770</wp:posOffset>
            </wp:positionV>
            <wp:extent cx="939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-4565650</wp:posOffset>
            </wp:positionV>
            <wp:extent cx="16256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-4565650</wp:posOffset>
            </wp:positionV>
            <wp:extent cx="8572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-4565650</wp:posOffset>
            </wp:positionV>
            <wp:extent cx="939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-3965575</wp:posOffset>
            </wp:positionV>
            <wp:extent cx="16256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-3965575</wp:posOffset>
            </wp:positionV>
            <wp:extent cx="8572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-3965575</wp:posOffset>
            </wp:positionV>
            <wp:extent cx="939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-2996565</wp:posOffset>
            </wp:positionV>
            <wp:extent cx="1594485" cy="194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594485" cy="19431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-2225040</wp:posOffset>
            </wp:positionV>
            <wp:extent cx="16256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-2225040</wp:posOffset>
            </wp:positionV>
            <wp:extent cx="8572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-2225040</wp:posOffset>
            </wp:positionV>
            <wp:extent cx="939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-1779270</wp:posOffset>
            </wp:positionV>
            <wp:extent cx="16256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-1779270</wp:posOffset>
            </wp:positionV>
            <wp:extent cx="857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-1779270</wp:posOffset>
            </wp:positionV>
            <wp:extent cx="939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-973455</wp:posOffset>
            </wp:positionV>
            <wp:extent cx="1625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-973455</wp:posOffset>
            </wp:positionV>
            <wp:extent cx="857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-973455</wp:posOffset>
            </wp:positionV>
            <wp:extent cx="939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-5080</wp:posOffset>
            </wp:positionV>
            <wp:extent cx="16256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-5080</wp:posOffset>
            </wp:positionV>
            <wp:extent cx="8572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-5080</wp:posOffset>
            </wp:positionV>
            <wp:extent cx="939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MicroHoldco,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General Industrial</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 xml:space="preserve">Preferred Units (740,237 units) </w:t>
            </w:r>
            <w:r>
              <w:rPr>
                <w:rFonts w:ascii="Arial" w:cs="Arial" w:eastAsia="Arial" w:hAnsi="Arial"/>
                <w:sz w:val="16"/>
                <w:szCs w:val="16"/>
                <w:color w:val="auto"/>
                <w:vertAlign w:val="superscript"/>
              </w:rPr>
              <w:t>(13)</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7/25/2019</w:t>
            </w:r>
          </w:p>
        </w:tc>
        <w:tc>
          <w:tcPr>
            <w:tcW w:w="3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740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tcPr>
          <w:p>
            <w:pPr>
              <w:ind w:left="20"/>
              <w:spacing w:after="0"/>
              <w:rPr>
                <w:sz w:val="20"/>
                <w:szCs w:val="20"/>
                <w:color w:val="auto"/>
              </w:rPr>
            </w:pPr>
            <w:r>
              <w:rPr>
                <w:rFonts w:ascii="Arial" w:cs="Arial" w:eastAsia="Arial" w:hAnsi="Arial"/>
                <w:sz w:val="13"/>
                <w:szCs w:val="13"/>
                <w:color w:val="auto"/>
                <w:w w:val="91"/>
              </w:rPr>
              <w:t>Sequoia Healthcare Management,</w:t>
            </w:r>
          </w:p>
        </w:tc>
        <w:tc>
          <w:tcPr>
            <w:tcW w:w="1200" w:type="dxa"/>
            <w:vAlign w:val="bottom"/>
          </w:tcPr>
          <w:p>
            <w:pPr>
              <w:ind w:left="100"/>
              <w:spacing w:after="0"/>
              <w:rPr>
                <w:sz w:val="20"/>
                <w:szCs w:val="20"/>
                <w:color w:val="auto"/>
              </w:rPr>
            </w:pPr>
            <w:r>
              <w:rPr>
                <w:rFonts w:ascii="Arial" w:cs="Arial" w:eastAsia="Arial" w:hAnsi="Arial"/>
                <w:sz w:val="13"/>
                <w:szCs w:val="13"/>
                <w:color w:val="auto"/>
              </w:rPr>
              <w:t>Healthcare</w:t>
            </w:r>
          </w:p>
        </w:tc>
        <w:tc>
          <w:tcPr>
            <w:tcW w:w="2320" w:type="dxa"/>
            <w:vAlign w:val="bottom"/>
          </w:tcPr>
          <w:p>
            <w:pPr>
              <w:ind w:left="120"/>
              <w:spacing w:after="0"/>
              <w:rPr>
                <w:sz w:val="20"/>
                <w:szCs w:val="20"/>
                <w:color w:val="auto"/>
              </w:rPr>
            </w:pPr>
            <w:r>
              <w:rPr>
                <w:rFonts w:ascii="Arial" w:cs="Arial" w:eastAsia="Arial" w:hAnsi="Arial"/>
                <w:sz w:val="13"/>
                <w:szCs w:val="13"/>
                <w:color w:val="auto"/>
              </w:rPr>
              <w:t>First Lien Debt (12.8% Cash, Due</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8/21/2018</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11,935</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8,297</w:t>
            </w:r>
          </w:p>
        </w:tc>
        <w:tc>
          <w:tcPr>
            <w:tcW w:w="140" w:type="dxa"/>
            <w:vAlign w:val="bottom"/>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76"/>
        </w:trPr>
        <w:tc>
          <w:tcPr>
            <w:tcW w:w="1840" w:type="dxa"/>
            <w:vAlign w:val="bottom"/>
          </w:tcPr>
          <w:p>
            <w:pPr>
              <w:ind w:left="20"/>
              <w:spacing w:after="0"/>
              <w:rPr>
                <w:sz w:val="20"/>
                <w:szCs w:val="20"/>
                <w:color w:val="auto"/>
              </w:rPr>
            </w:pPr>
            <w:r>
              <w:rPr>
                <w:rFonts w:ascii="Arial" w:cs="Arial" w:eastAsia="Arial" w:hAnsi="Arial"/>
                <w:sz w:val="13"/>
                <w:szCs w:val="13"/>
                <w:color w:val="auto"/>
              </w:rPr>
              <w:t>LLC</w:t>
            </w:r>
          </w:p>
        </w:tc>
        <w:tc>
          <w:tcPr>
            <w:tcW w:w="1200" w:type="dxa"/>
            <w:vAlign w:val="bottom"/>
          </w:tcPr>
          <w:p>
            <w:pPr>
              <w:ind w:left="100"/>
              <w:spacing w:after="0"/>
              <w:rPr>
                <w:sz w:val="20"/>
                <w:szCs w:val="20"/>
                <w:color w:val="auto"/>
              </w:rPr>
            </w:pPr>
            <w:r>
              <w:rPr>
                <w:rFonts w:ascii="Arial" w:cs="Arial" w:eastAsia="Arial" w:hAnsi="Arial"/>
                <w:sz w:val="13"/>
                <w:szCs w:val="13"/>
                <w:color w:val="auto"/>
              </w:rPr>
              <w:t>Management</w:t>
            </w:r>
          </w:p>
        </w:tc>
        <w:tc>
          <w:tcPr>
            <w:tcW w:w="232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11/19/21) </w:t>
            </w:r>
            <w:r>
              <w:rPr>
                <w:rFonts w:ascii="Arial" w:cs="Arial" w:eastAsia="Arial" w:hAnsi="Arial"/>
                <w:sz w:val="16"/>
                <w:szCs w:val="16"/>
                <w:color w:val="auto"/>
                <w:vertAlign w:val="superscript"/>
              </w:rPr>
              <w:t>(6)(7)</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11,935</w:t>
            </w:r>
          </w:p>
        </w:tc>
        <w:tc>
          <w:tcPr>
            <w:tcW w:w="3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11,935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8,297</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89"/>
        </w:trPr>
        <w:tc>
          <w:tcPr>
            <w:tcW w:w="1840" w:type="dxa"/>
            <w:vAlign w:val="bottom"/>
            <w:tcBorders>
              <w:top w:val="single" w:sz="8" w:color="CFF0FC"/>
            </w:tcBorders>
          </w:tcPr>
          <w:p>
            <w:pPr>
              <w:spacing w:after="0"/>
              <w:rPr>
                <w:sz w:val="16"/>
                <w:szCs w:val="16"/>
                <w:color w:val="auto"/>
              </w:rPr>
            </w:pPr>
          </w:p>
        </w:tc>
        <w:tc>
          <w:tcPr>
            <w:tcW w:w="120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Taylor Precision Products, Inc.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7"/>
              </w:rPr>
              <w:t>Household Product</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Series C Preferred Stock (379</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12/23/2014</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287</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63"/>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Manufacturer</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w:t>
            </w: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287</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color w:val="auto"/>
              </w:rPr>
              <w:t>U.S. BioTek Laboratories, LLC</w:t>
            </w:r>
          </w:p>
        </w:tc>
        <w:tc>
          <w:tcPr>
            <w:tcW w:w="1200" w:type="dxa"/>
            <w:vAlign w:val="bottom"/>
          </w:tcPr>
          <w:p>
            <w:pPr>
              <w:ind w:left="100"/>
              <w:spacing w:after="0"/>
              <w:rPr>
                <w:sz w:val="20"/>
                <w:szCs w:val="20"/>
                <w:color w:val="auto"/>
              </w:rPr>
            </w:pPr>
            <w:r>
              <w:rPr>
                <w:rFonts w:ascii="Arial" w:cs="Arial" w:eastAsia="Arial" w:hAnsi="Arial"/>
                <w:sz w:val="13"/>
                <w:szCs w:val="13"/>
                <w:color w:val="auto"/>
                <w:w w:val="94"/>
              </w:rPr>
              <w:t>Testing laboratories</w:t>
            </w:r>
          </w:p>
        </w:tc>
        <w:tc>
          <w:tcPr>
            <w:tcW w:w="2320" w:type="dxa"/>
            <w:vAlign w:val="bottom"/>
          </w:tcPr>
          <w:p>
            <w:pPr>
              <w:ind w:left="120"/>
              <w:spacing w:after="0"/>
              <w:rPr>
                <w:sz w:val="20"/>
                <w:szCs w:val="20"/>
                <w:color w:val="auto"/>
              </w:rPr>
            </w:pPr>
            <w:r>
              <w:rPr>
                <w:rFonts w:ascii="Arial" w:cs="Arial" w:eastAsia="Arial" w:hAnsi="Arial"/>
                <w:sz w:val="13"/>
                <w:szCs w:val="13"/>
                <w:color w:val="auto"/>
              </w:rPr>
              <w:t>First Lien Debt (7.0% Cash (3 month</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6/1/2020</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LIBOR + 5.0%, 2.0% Floor), Due</w:t>
            </w: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12/14/23)</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978</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978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978</w:t>
            </w: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70"/>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BioTek Laboratories,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4"/>
              </w:rPr>
              <w:t>Testing laboratories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First Lien Debt (9.3% Cash, Due</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12/14/2018</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 xml:space="preserve">12/14/23) </w:t>
            </w:r>
            <w:r>
              <w:rPr>
                <w:rFonts w:ascii="Arial" w:cs="Arial" w:eastAsia="Arial" w:hAnsi="Arial"/>
                <w:sz w:val="16"/>
                <w:szCs w:val="16"/>
                <w:color w:val="auto"/>
                <w:vertAlign w:val="superscript"/>
              </w:rPr>
              <w:t>(10) (11)</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3,044</w:t>
            </w:r>
          </w:p>
        </w:tc>
        <w:tc>
          <w:tcPr>
            <w:tcW w:w="3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3,044</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3,044</w:t>
            </w:r>
          </w:p>
        </w:tc>
        <w:tc>
          <w:tcPr>
            <w:tcW w:w="14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2.7 %</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U.S. BioTek Laboratories, LLC</w:t>
            </w:r>
          </w:p>
        </w:tc>
        <w:tc>
          <w:tcPr>
            <w:tcW w:w="1200" w:type="dxa"/>
            <w:vAlign w:val="bottom"/>
          </w:tcPr>
          <w:p>
            <w:pPr>
              <w:ind w:left="100"/>
              <w:spacing w:after="0"/>
              <w:rPr>
                <w:sz w:val="20"/>
                <w:szCs w:val="20"/>
                <w:color w:val="auto"/>
              </w:rPr>
            </w:pPr>
            <w:r>
              <w:rPr>
                <w:rFonts w:ascii="Arial" w:cs="Arial" w:eastAsia="Arial" w:hAnsi="Arial"/>
                <w:sz w:val="13"/>
                <w:szCs w:val="13"/>
                <w:color w:val="auto"/>
                <w:w w:val="94"/>
              </w:rPr>
              <w:t>Testing laboratories</w:t>
            </w:r>
          </w:p>
        </w:tc>
        <w:tc>
          <w:tcPr>
            <w:tcW w:w="2320" w:type="dxa"/>
            <w:vAlign w:val="bottom"/>
          </w:tcPr>
          <w:p>
            <w:pPr>
              <w:ind w:left="120"/>
              <w:spacing w:after="0"/>
              <w:rPr>
                <w:sz w:val="20"/>
                <w:szCs w:val="20"/>
                <w:color w:val="auto"/>
              </w:rPr>
            </w:pPr>
            <w:r>
              <w:rPr>
                <w:rFonts w:ascii="Arial" w:cs="Arial" w:eastAsia="Arial" w:hAnsi="Arial"/>
                <w:sz w:val="13"/>
                <w:szCs w:val="13"/>
                <w:color w:val="auto"/>
              </w:rPr>
              <w:t>Class A Preferred Units (500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12/14/2018</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540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658</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0.6 %</w:t>
            </w:r>
          </w:p>
        </w:tc>
        <w:tc>
          <w:tcPr>
            <w:tcW w:w="0" w:type="dxa"/>
            <w:vAlign w:val="bottom"/>
          </w:tcPr>
          <w:p>
            <w:pPr>
              <w:spacing w:after="0"/>
              <w:rPr>
                <w:sz w:val="1"/>
                <w:szCs w:val="1"/>
                <w:color w:val="auto"/>
              </w:rPr>
            </w:pPr>
          </w:p>
        </w:tc>
      </w:tr>
      <w:tr>
        <w:trPr>
          <w:trHeight w:val="197"/>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BioTek Laboratories,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4"/>
              </w:rPr>
              <w:t>Testing laboratories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Class C Units (578 Units)</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12/14/2018</w:t>
            </w: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342</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U.S. BioTek Laboratories, LLC</w:t>
            </w:r>
          </w:p>
        </w:tc>
        <w:tc>
          <w:tcPr>
            <w:tcW w:w="1200" w:type="dxa"/>
            <w:vAlign w:val="bottom"/>
          </w:tcPr>
          <w:p>
            <w:pPr>
              <w:ind w:left="100"/>
              <w:spacing w:after="0"/>
              <w:rPr>
                <w:sz w:val="20"/>
                <w:szCs w:val="20"/>
                <w:color w:val="auto"/>
              </w:rPr>
            </w:pPr>
            <w:r>
              <w:rPr>
                <w:rFonts w:ascii="Arial" w:cs="Arial" w:eastAsia="Arial" w:hAnsi="Arial"/>
                <w:sz w:val="13"/>
                <w:szCs w:val="13"/>
                <w:color w:val="auto"/>
                <w:w w:val="94"/>
              </w:rPr>
              <w:t>Testing laboratories</w:t>
            </w:r>
          </w:p>
        </w:tc>
        <w:tc>
          <w:tcPr>
            <w:tcW w:w="2320" w:type="dxa"/>
            <w:vAlign w:val="bottom"/>
          </w:tcPr>
          <w:p>
            <w:pPr>
              <w:ind w:left="120"/>
              <w:spacing w:after="0"/>
              <w:rPr>
                <w:sz w:val="20"/>
                <w:szCs w:val="20"/>
                <w:color w:val="auto"/>
              </w:rPr>
            </w:pPr>
            <w:r>
              <w:rPr>
                <w:rFonts w:ascii="Arial" w:cs="Arial" w:eastAsia="Arial" w:hAnsi="Arial"/>
                <w:sz w:val="13"/>
                <w:szCs w:val="13"/>
                <w:color w:val="auto"/>
              </w:rPr>
              <w:t>Class D Preferred Units (78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4/3/2020</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97</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21"/>
        </w:trPr>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2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5,119</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4.6 %</w:t>
            </w:r>
          </w:p>
        </w:tc>
        <w:tc>
          <w:tcPr>
            <w:tcW w:w="0" w:type="dxa"/>
            <w:vAlign w:val="bottom"/>
          </w:tcPr>
          <w:p>
            <w:pPr>
              <w:spacing w:after="0"/>
              <w:rPr>
                <w:sz w:val="1"/>
                <w:szCs w:val="1"/>
                <w:color w:val="auto"/>
              </w:rPr>
            </w:pPr>
          </w:p>
        </w:tc>
      </w:tr>
      <w:tr>
        <w:trPr>
          <w:trHeight w:val="189"/>
        </w:trPr>
        <w:tc>
          <w:tcPr>
            <w:tcW w:w="1840" w:type="dxa"/>
            <w:vAlign w:val="bottom"/>
            <w:tcBorders>
              <w:top w:val="single" w:sz="8" w:color="CFF0FC"/>
            </w:tcBorders>
          </w:tcPr>
          <w:p>
            <w:pPr>
              <w:spacing w:after="0"/>
              <w:rPr>
                <w:sz w:val="16"/>
                <w:szCs w:val="16"/>
                <w:color w:val="auto"/>
              </w:rPr>
            </w:pPr>
          </w:p>
        </w:tc>
        <w:tc>
          <w:tcPr>
            <w:tcW w:w="120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23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Well Services, Inc.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8"/>
              </w:rPr>
              <w:t>Oil &amp; Gas Services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Class A Common Stock (343,572</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11/9/2018</w:t>
            </w:r>
          </w:p>
        </w:tc>
        <w:tc>
          <w:tcPr>
            <w:tcW w:w="34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1,244</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872</w:t>
            </w:r>
          </w:p>
        </w:tc>
        <w:tc>
          <w:tcPr>
            <w:tcW w:w="140" w:type="dxa"/>
            <w:vAlign w:val="bottom"/>
            <w:shd w:val="clear" w:color="auto" w:fill="CFF0FC"/>
          </w:tcPr>
          <w:p>
            <w:pPr>
              <w:spacing w:after="0"/>
              <w:rPr>
                <w:sz w:val="14"/>
                <w:szCs w:val="14"/>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320" w:type="dxa"/>
            <w:vAlign w:val="bottom"/>
            <w:shd w:val="clear" w:color="auto" w:fill="CFF0FC"/>
          </w:tcPr>
          <w:p>
            <w:pPr>
              <w:ind w:left="120"/>
              <w:spacing w:after="0" w:line="176" w:lineRule="exact"/>
              <w:rPr>
                <w:sz w:val="20"/>
                <w:szCs w:val="20"/>
                <w:color w:val="auto"/>
              </w:rPr>
            </w:pPr>
            <w:r>
              <w:rPr>
                <w:rFonts w:ascii="Arial" w:cs="Arial" w:eastAsia="Arial" w:hAnsi="Arial"/>
                <w:sz w:val="13"/>
                <w:szCs w:val="13"/>
                <w:color w:val="auto"/>
              </w:rPr>
              <w:t xml:space="preserve">shares) </w:t>
            </w:r>
            <w:r>
              <w:rPr>
                <w:rFonts w:ascii="Arial" w:cs="Arial" w:eastAsia="Arial" w:hAnsi="Arial"/>
                <w:sz w:val="16"/>
                <w:szCs w:val="16"/>
                <w:color w:val="auto"/>
                <w:vertAlign w:val="superscript"/>
              </w:rPr>
              <w:t>(16)</w:t>
            </w:r>
          </w:p>
        </w:tc>
        <w:tc>
          <w:tcPr>
            <w:tcW w:w="23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1,244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872</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0.8 %</w:t>
            </w:r>
          </w:p>
        </w:tc>
        <w:tc>
          <w:tcPr>
            <w:tcW w:w="0" w:type="dxa"/>
            <w:vAlign w:val="bottom"/>
          </w:tcPr>
          <w:p>
            <w:pPr>
              <w:spacing w:after="0"/>
              <w:rPr>
                <w:sz w:val="1"/>
                <w:szCs w:val="1"/>
                <w:color w:val="auto"/>
              </w:rPr>
            </w:pPr>
          </w:p>
        </w:tc>
      </w:tr>
      <w:tr>
        <w:trPr>
          <w:trHeight w:val="351"/>
        </w:trPr>
        <w:tc>
          <w:tcPr>
            <w:tcW w:w="1840" w:type="dxa"/>
            <w:vAlign w:val="bottom"/>
            <w:shd w:val="clear" w:color="auto" w:fill="CFF0FC"/>
          </w:tcPr>
          <w:p>
            <w:pPr>
              <w:spacing w:after="0"/>
              <w:rPr>
                <w:sz w:val="24"/>
                <w:szCs w:val="24"/>
                <w:color w:val="auto"/>
              </w:rPr>
            </w:pPr>
          </w:p>
        </w:tc>
        <w:tc>
          <w:tcPr>
            <w:tcW w:w="1200" w:type="dxa"/>
            <w:vAlign w:val="bottom"/>
            <w:shd w:val="clear" w:color="auto" w:fill="CFF0FC"/>
          </w:tcPr>
          <w:p>
            <w:pPr>
              <w:spacing w:after="0"/>
              <w:rPr>
                <w:sz w:val="24"/>
                <w:szCs w:val="24"/>
                <w:color w:val="auto"/>
              </w:rPr>
            </w:pPr>
          </w:p>
        </w:tc>
        <w:tc>
          <w:tcPr>
            <w:tcW w:w="2320" w:type="dxa"/>
            <w:vAlign w:val="bottom"/>
            <w:shd w:val="clear" w:color="auto" w:fill="CFF0FC"/>
          </w:tcPr>
          <w:p>
            <w:pPr>
              <w:spacing w:after="0"/>
              <w:rPr>
                <w:sz w:val="24"/>
                <w:szCs w:val="24"/>
                <w:color w:val="auto"/>
              </w:rPr>
            </w:pPr>
          </w:p>
        </w:tc>
        <w:tc>
          <w:tcPr>
            <w:tcW w:w="2320" w:type="dxa"/>
            <w:vAlign w:val="bottom"/>
            <w:shd w:val="clear" w:color="auto" w:fill="CFF0FC"/>
          </w:tcPr>
          <w:p>
            <w:pPr>
              <w:spacing w:after="0"/>
              <w:rPr>
                <w:sz w:val="24"/>
                <w:szCs w:val="24"/>
                <w:color w:val="auto"/>
              </w:rPr>
            </w:pPr>
          </w:p>
        </w:tc>
        <w:tc>
          <w:tcPr>
            <w:tcW w:w="340" w:type="dxa"/>
            <w:vAlign w:val="bottom"/>
            <w:tcBorders>
              <w:top w:val="single" w:sz="8" w:color="auto"/>
            </w:tcBorders>
            <w:shd w:val="clear" w:color="auto" w:fill="CFF0FC"/>
          </w:tcPr>
          <w:p>
            <w:pPr>
              <w:spacing w:after="0"/>
              <w:rPr>
                <w:sz w:val="24"/>
                <w:szCs w:val="24"/>
                <w:color w:val="auto"/>
              </w:rPr>
            </w:pPr>
          </w:p>
        </w:tc>
        <w:tc>
          <w:tcPr>
            <w:tcW w:w="700" w:type="dxa"/>
            <w:vAlign w:val="bottom"/>
            <w:tcBorders>
              <w:top w:val="single" w:sz="8" w:color="auto"/>
            </w:tcBorders>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60" w:type="dxa"/>
            <w:vAlign w:val="bottom"/>
            <w:tcBorders>
              <w:top w:val="single" w:sz="8" w:color="auto"/>
            </w:tcBorders>
            <w:shd w:val="clear" w:color="auto" w:fill="CFF0FC"/>
          </w:tcPr>
          <w:p>
            <w:pPr>
              <w:spacing w:after="0"/>
              <w:rPr>
                <w:sz w:val="24"/>
                <w:szCs w:val="24"/>
                <w:color w:val="auto"/>
              </w:rPr>
            </w:pPr>
          </w:p>
        </w:tc>
        <w:tc>
          <w:tcPr>
            <w:tcW w:w="68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color w:val="auto"/>
                <w:w w:val="92"/>
              </w:rPr>
              <w:t>Wealth Enhancement Group, LLC</w:t>
            </w:r>
          </w:p>
        </w:tc>
        <w:tc>
          <w:tcPr>
            <w:tcW w:w="1200" w:type="dxa"/>
            <w:vAlign w:val="bottom"/>
          </w:tcPr>
          <w:p>
            <w:pPr>
              <w:ind w:left="100"/>
              <w:spacing w:after="0"/>
              <w:rPr>
                <w:sz w:val="20"/>
                <w:szCs w:val="20"/>
                <w:color w:val="auto"/>
              </w:rPr>
            </w:pPr>
            <w:r>
              <w:rPr>
                <w:rFonts w:ascii="Arial" w:cs="Arial" w:eastAsia="Arial" w:hAnsi="Arial"/>
                <w:sz w:val="13"/>
                <w:szCs w:val="13"/>
                <w:color w:val="auto"/>
              </w:rPr>
              <w:t>Financials</w:t>
            </w:r>
          </w:p>
        </w:tc>
        <w:tc>
          <w:tcPr>
            <w:tcW w:w="2320" w:type="dxa"/>
            <w:vAlign w:val="bottom"/>
          </w:tcPr>
          <w:p>
            <w:pPr>
              <w:ind w:left="120"/>
              <w:spacing w:after="0"/>
              <w:rPr>
                <w:sz w:val="20"/>
                <w:szCs w:val="20"/>
                <w:color w:val="auto"/>
              </w:rPr>
            </w:pPr>
            <w:r>
              <w:rPr>
                <w:rFonts w:ascii="Arial" w:cs="Arial" w:eastAsia="Arial" w:hAnsi="Arial"/>
                <w:sz w:val="13"/>
                <w:szCs w:val="13"/>
                <w:color w:val="auto"/>
              </w:rPr>
              <w:t>First Lien Debt (6.75% Cash (3</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8/13/2021</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month LIBOR + 5.75%), 1.0%</w:t>
            </w:r>
          </w:p>
        </w:tc>
        <w:tc>
          <w:tcPr>
            <w:tcW w:w="2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Floor), Due 10/2/25)</w:t>
            </w:r>
            <w:r>
              <w:rPr>
                <w:rFonts w:ascii="Arial" w:cs="Arial" w:eastAsia="Arial" w:hAnsi="Arial"/>
                <w:sz w:val="16"/>
                <w:szCs w:val="16"/>
                <w:color w:val="auto"/>
                <w:vertAlign w:val="superscript"/>
              </w:rPr>
              <w:t>(18)</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7,000</w:t>
            </w:r>
          </w:p>
        </w:tc>
        <w:tc>
          <w:tcPr>
            <w:tcW w:w="34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(17 )</w:t>
            </w:r>
          </w:p>
        </w:tc>
        <w:tc>
          <w:tcPr>
            <w:tcW w:w="360" w:type="dxa"/>
            <w:vAlign w:val="bottom"/>
          </w:tcPr>
          <w:p>
            <w:pPr>
              <w:spacing w:after="0"/>
              <w:rPr>
                <w:sz w:val="16"/>
                <w:szCs w:val="16"/>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(39 )</w:t>
            </w: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Wealth Enhancement Group,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Financials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Revolving line of credit (6.75% Cash</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8/13/2021</w:t>
            </w: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(3 month LIBOR + 5.75%), 1.0%</w:t>
            </w:r>
          </w:p>
        </w:tc>
        <w:tc>
          <w:tcPr>
            <w:tcW w:w="23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w:t>
            </w:r>
          </w:p>
        </w:tc>
        <w:tc>
          <w:tcPr>
            <w:tcW w:w="14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176"/>
        </w:trPr>
        <w:tc>
          <w:tcPr>
            <w:tcW w:w="18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320" w:type="dxa"/>
            <w:vAlign w:val="bottom"/>
            <w:shd w:val="clear" w:color="auto" w:fill="CFF0FC"/>
          </w:tcPr>
          <w:p>
            <w:pPr>
              <w:ind w:left="120"/>
              <w:spacing w:after="0" w:line="176" w:lineRule="exact"/>
              <w:rPr>
                <w:sz w:val="20"/>
                <w:szCs w:val="20"/>
                <w:color w:val="auto"/>
              </w:rPr>
            </w:pPr>
            <w:r>
              <w:rPr>
                <w:rFonts w:ascii="Arial" w:cs="Arial" w:eastAsia="Arial" w:hAnsi="Arial"/>
                <w:sz w:val="13"/>
                <w:szCs w:val="13"/>
                <w:color w:val="auto"/>
              </w:rPr>
              <w:t>Floor), Due 10/2/25)</w:t>
            </w:r>
            <w:r>
              <w:rPr>
                <w:rFonts w:ascii="Arial" w:cs="Arial" w:eastAsia="Arial" w:hAnsi="Arial"/>
                <w:sz w:val="16"/>
                <w:szCs w:val="16"/>
                <w:color w:val="auto"/>
                <w:vertAlign w:val="superscript"/>
              </w:rPr>
              <w:t>(19)</w:t>
            </w:r>
          </w:p>
        </w:tc>
        <w:tc>
          <w:tcPr>
            <w:tcW w:w="232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328</w:t>
            </w:r>
          </w:p>
        </w:tc>
        <w:tc>
          <w:tcPr>
            <w:tcW w:w="340" w:type="dxa"/>
            <w:vAlign w:val="bottom"/>
            <w:shd w:val="clear" w:color="auto" w:fill="CFF0FC"/>
          </w:tcPr>
          <w:p>
            <w:pPr>
              <w:spacing w:after="0"/>
              <w:rPr>
                <w:sz w:val="15"/>
                <w:szCs w:val="15"/>
                <w:color w:val="auto"/>
              </w:rPr>
            </w:pPr>
          </w:p>
        </w:tc>
        <w:tc>
          <w:tcPr>
            <w:tcW w:w="700" w:type="dxa"/>
            <w:vAlign w:val="bottom"/>
            <w:vMerge w:val="continue"/>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continue"/>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8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309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287</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0.3 %</w:t>
            </w:r>
          </w:p>
        </w:tc>
        <w:tc>
          <w:tcPr>
            <w:tcW w:w="0" w:type="dxa"/>
            <w:vAlign w:val="bottom"/>
          </w:tcPr>
          <w:p>
            <w:pPr>
              <w:spacing w:after="0"/>
              <w:rPr>
                <w:sz w:val="1"/>
                <w:szCs w:val="1"/>
                <w:color w:val="auto"/>
              </w:rPr>
            </w:pPr>
          </w:p>
        </w:tc>
      </w:tr>
      <w:tr>
        <w:trPr>
          <w:trHeight w:val="351"/>
        </w:trPr>
        <w:tc>
          <w:tcPr>
            <w:tcW w:w="5360" w:type="dxa"/>
            <w:vAlign w:val="bottom"/>
            <w:gridSpan w:val="3"/>
            <w:shd w:val="clear" w:color="auto" w:fill="CFF0FC"/>
          </w:tcPr>
          <w:p>
            <w:pPr>
              <w:spacing w:after="0"/>
              <w:rPr>
                <w:sz w:val="24"/>
                <w:szCs w:val="24"/>
                <w:color w:val="auto"/>
              </w:rPr>
            </w:pPr>
          </w:p>
        </w:tc>
        <w:tc>
          <w:tcPr>
            <w:tcW w:w="2320" w:type="dxa"/>
            <w:vAlign w:val="bottom"/>
            <w:shd w:val="clear" w:color="auto" w:fill="CFF0FC"/>
          </w:tcPr>
          <w:p>
            <w:pPr>
              <w:spacing w:after="0"/>
              <w:rPr>
                <w:sz w:val="24"/>
                <w:szCs w:val="24"/>
                <w:color w:val="auto"/>
              </w:rPr>
            </w:pPr>
          </w:p>
        </w:tc>
        <w:tc>
          <w:tcPr>
            <w:tcW w:w="340" w:type="dxa"/>
            <w:vAlign w:val="bottom"/>
            <w:tcBorders>
              <w:top w:val="single" w:sz="8" w:color="auto"/>
            </w:tcBorders>
            <w:shd w:val="clear" w:color="auto" w:fill="CFF0FC"/>
          </w:tcPr>
          <w:p>
            <w:pPr>
              <w:spacing w:after="0"/>
              <w:rPr>
                <w:sz w:val="24"/>
                <w:szCs w:val="24"/>
                <w:color w:val="auto"/>
              </w:rPr>
            </w:pPr>
          </w:p>
        </w:tc>
        <w:tc>
          <w:tcPr>
            <w:tcW w:w="700" w:type="dxa"/>
            <w:vAlign w:val="bottom"/>
            <w:tcBorders>
              <w:top w:val="single" w:sz="8" w:color="auto"/>
            </w:tcBorders>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360" w:type="dxa"/>
            <w:vAlign w:val="bottom"/>
            <w:tcBorders>
              <w:top w:val="single" w:sz="8" w:color="auto"/>
            </w:tcBorders>
            <w:shd w:val="clear" w:color="auto" w:fill="CFF0FC"/>
          </w:tcPr>
          <w:p>
            <w:pPr>
              <w:spacing w:after="0"/>
              <w:rPr>
                <w:sz w:val="24"/>
                <w:szCs w:val="24"/>
                <w:color w:val="auto"/>
              </w:rPr>
            </w:pPr>
          </w:p>
        </w:tc>
        <w:tc>
          <w:tcPr>
            <w:tcW w:w="68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940" w:type="dxa"/>
            <w:vAlign w:val="bottom"/>
            <w:tcBorders>
              <w:top w:val="single" w:sz="8" w:color="auto"/>
            </w:tcBorders>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3"/>
          </w:tcPr>
          <w:p>
            <w:pPr>
              <w:ind w:left="20"/>
              <w:spacing w:after="0"/>
              <w:rPr>
                <w:sz w:val="20"/>
                <w:szCs w:val="20"/>
                <w:color w:val="auto"/>
              </w:rPr>
            </w:pPr>
            <w:r>
              <w:rPr>
                <w:rFonts w:ascii="Arial" w:cs="Arial" w:eastAsia="Arial" w:hAnsi="Arial"/>
                <w:sz w:val="13"/>
                <w:szCs w:val="13"/>
                <w:b w:val="1"/>
                <w:bCs w:val="1"/>
                <w:color w:val="auto"/>
              </w:rPr>
              <w:t>Sub Total Non-control/non-affiliated investments - United States</w:t>
            </w:r>
          </w:p>
        </w:tc>
        <w:tc>
          <w:tcPr>
            <w:tcW w:w="2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122,180</w:t>
            </w:r>
          </w:p>
        </w:tc>
        <w:tc>
          <w:tcPr>
            <w:tcW w:w="260" w:type="dxa"/>
            <w:vAlign w:val="bottom"/>
          </w:tcPr>
          <w:p>
            <w:pPr>
              <w:spacing w:after="0"/>
              <w:rPr>
                <w:sz w:val="16"/>
                <w:szCs w:val="16"/>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111,553</w:t>
            </w:r>
          </w:p>
        </w:tc>
        <w:tc>
          <w:tcPr>
            <w:tcW w:w="1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101.0 %</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b w:val="1"/>
                <w:bCs w:val="1"/>
                <w:color w:val="auto"/>
              </w:rPr>
              <w:t>Affiliate Investments- 69.8%</w:t>
            </w: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4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Affiliate investments - United States</w:t>
            </w:r>
          </w:p>
        </w:tc>
        <w:tc>
          <w:tcPr>
            <w:tcW w:w="2320" w:type="dxa"/>
            <w:vAlign w:val="bottom"/>
            <w:shd w:val="clear" w:color="auto" w:fill="CFF0FC"/>
          </w:tcPr>
          <w:p>
            <w:pPr>
              <w:spacing w:after="0"/>
              <w:rPr>
                <w:sz w:val="17"/>
                <w:szCs w:val="17"/>
                <w:color w:val="auto"/>
              </w:rPr>
            </w:pPr>
          </w:p>
        </w:tc>
        <w:tc>
          <w:tcPr>
            <w:tcW w:w="2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color w:val="auto"/>
              </w:rPr>
              <w:t>Burgaflex Holdings, LLC</w:t>
            </w:r>
          </w:p>
        </w:tc>
        <w:tc>
          <w:tcPr>
            <w:tcW w:w="1200" w:type="dxa"/>
            <w:vAlign w:val="bottom"/>
          </w:tcPr>
          <w:p>
            <w:pPr>
              <w:ind w:left="100"/>
              <w:spacing w:after="0"/>
              <w:rPr>
                <w:sz w:val="20"/>
                <w:szCs w:val="20"/>
                <w:color w:val="auto"/>
              </w:rPr>
            </w:pPr>
            <w:r>
              <w:rPr>
                <w:rFonts w:ascii="Arial" w:cs="Arial" w:eastAsia="Arial" w:hAnsi="Arial"/>
                <w:sz w:val="13"/>
                <w:szCs w:val="13"/>
                <w:color w:val="auto"/>
              </w:rPr>
              <w:t>Automobile Part</w:t>
            </w:r>
          </w:p>
        </w:tc>
        <w:tc>
          <w:tcPr>
            <w:tcW w:w="2320" w:type="dxa"/>
            <w:vAlign w:val="bottom"/>
          </w:tcPr>
          <w:p>
            <w:pPr>
              <w:ind w:left="120"/>
              <w:spacing w:after="0"/>
              <w:rPr>
                <w:sz w:val="20"/>
                <w:szCs w:val="20"/>
                <w:color w:val="auto"/>
              </w:rPr>
            </w:pPr>
            <w:r>
              <w:rPr>
                <w:rFonts w:ascii="Arial" w:cs="Arial" w:eastAsia="Arial" w:hAnsi="Arial"/>
                <w:sz w:val="13"/>
                <w:szCs w:val="13"/>
                <w:color w:val="auto"/>
              </w:rPr>
              <w:t>Common Stock Class B (1,085,073</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5/7/2019</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Manufacturer</w:t>
            </w:r>
          </w:p>
        </w:tc>
        <w:tc>
          <w:tcPr>
            <w:tcW w:w="2320" w:type="dxa"/>
            <w:vAlign w:val="bottom"/>
          </w:tcPr>
          <w:p>
            <w:pPr>
              <w:ind w:left="120"/>
              <w:spacing w:after="0"/>
              <w:rPr>
                <w:sz w:val="20"/>
                <w:szCs w:val="20"/>
                <w:color w:val="auto"/>
              </w:rPr>
            </w:pPr>
            <w:r>
              <w:rPr>
                <w:rFonts w:ascii="Arial" w:cs="Arial" w:eastAsia="Arial" w:hAnsi="Arial"/>
                <w:sz w:val="13"/>
                <w:szCs w:val="13"/>
                <w:color w:val="auto"/>
              </w:rPr>
              <w:t>shares)</w:t>
            </w:r>
          </w:p>
        </w:tc>
        <w:tc>
          <w:tcPr>
            <w:tcW w:w="26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362</w:t>
            </w:r>
          </w:p>
        </w:tc>
        <w:tc>
          <w:tcPr>
            <w:tcW w:w="260" w:type="dxa"/>
            <w:vAlign w:val="bottom"/>
          </w:tcPr>
          <w:p>
            <w:pPr>
              <w:spacing w:after="0"/>
              <w:rPr>
                <w:sz w:val="14"/>
                <w:szCs w:val="14"/>
                <w:color w:val="auto"/>
              </w:rPr>
            </w:pPr>
          </w:p>
        </w:tc>
        <w:tc>
          <w:tcPr>
            <w:tcW w:w="360" w:type="dxa"/>
            <w:vAlign w:val="bottom"/>
          </w:tcPr>
          <w:p>
            <w:pPr>
              <w:jc w:val="right"/>
              <w:ind w:right="21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1,479</w:t>
            </w: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Burgaflex Holdings,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Automobile Part</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Stock Class A (1,253,198</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7/15/2014</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1,220</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1.1 %</w:t>
            </w:r>
          </w:p>
        </w:tc>
        <w:tc>
          <w:tcPr>
            <w:tcW w:w="0" w:type="dxa"/>
            <w:vAlign w:val="bottom"/>
          </w:tcPr>
          <w:p>
            <w:pPr>
              <w:spacing w:after="0"/>
              <w:rPr>
                <w:sz w:val="1"/>
                <w:szCs w:val="1"/>
                <w:color w:val="auto"/>
              </w:rPr>
            </w:pPr>
          </w:p>
        </w:tc>
      </w:tr>
      <w:tr>
        <w:trPr>
          <w:trHeight w:val="163"/>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Manufacturer</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w:t>
            </w: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1,866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2,699</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color w:val="auto"/>
              </w:rPr>
              <w:t>Eastport Holdings, LLC</w:t>
            </w:r>
          </w:p>
        </w:tc>
        <w:tc>
          <w:tcPr>
            <w:tcW w:w="1200" w:type="dxa"/>
            <w:vAlign w:val="bottom"/>
          </w:tcPr>
          <w:p>
            <w:pPr>
              <w:ind w:left="100"/>
              <w:spacing w:after="0"/>
              <w:rPr>
                <w:sz w:val="20"/>
                <w:szCs w:val="20"/>
                <w:color w:val="auto"/>
              </w:rPr>
            </w:pPr>
            <w:r>
              <w:rPr>
                <w:rFonts w:ascii="Arial" w:cs="Arial" w:eastAsia="Arial" w:hAnsi="Arial"/>
                <w:sz w:val="13"/>
                <w:szCs w:val="13"/>
                <w:color w:val="auto"/>
              </w:rPr>
              <w:t>Business Services</w:t>
            </w:r>
          </w:p>
        </w:tc>
        <w:tc>
          <w:tcPr>
            <w:tcW w:w="2320" w:type="dxa"/>
            <w:vAlign w:val="bottom"/>
          </w:tcPr>
          <w:p>
            <w:pPr>
              <w:ind w:left="120"/>
              <w:spacing w:after="0"/>
              <w:rPr>
                <w:sz w:val="20"/>
                <w:szCs w:val="20"/>
                <w:color w:val="auto"/>
              </w:rPr>
            </w:pPr>
            <w:r>
              <w:rPr>
                <w:rFonts w:ascii="Arial" w:cs="Arial" w:eastAsia="Arial" w:hAnsi="Arial"/>
                <w:sz w:val="13"/>
                <w:szCs w:val="13"/>
                <w:color w:val="auto"/>
              </w:rPr>
              <w:t>Second Lien Debt (13.5% Cash (3</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1/12/2016</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8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month LIBOR + 13.0%, 0.5%</w:t>
            </w:r>
          </w:p>
        </w:tc>
        <w:tc>
          <w:tcPr>
            <w:tcW w:w="2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8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 xml:space="preserve">Floor), Due 4/30/22) </w:t>
            </w:r>
            <w:r>
              <w:rPr>
                <w:rFonts w:ascii="Arial" w:cs="Arial" w:eastAsia="Arial" w:hAnsi="Arial"/>
                <w:sz w:val="16"/>
                <w:szCs w:val="16"/>
                <w:color w:val="auto"/>
                <w:vertAlign w:val="superscript"/>
              </w:rPr>
              <w:t>(6)</w:t>
            </w:r>
          </w:p>
        </w:tc>
        <w:tc>
          <w:tcPr>
            <w:tcW w:w="2320" w:type="dxa"/>
            <w:vAlign w:val="bottom"/>
          </w:tcPr>
          <w:p>
            <w:pPr>
              <w:jc w:val="right"/>
              <w:ind w:right="197"/>
              <w:spacing w:after="0"/>
              <w:rPr>
                <w:sz w:val="20"/>
                <w:szCs w:val="20"/>
                <w:color w:val="auto"/>
              </w:rPr>
            </w:pPr>
            <w:r>
              <w:rPr>
                <w:rFonts w:ascii="Arial" w:cs="Arial" w:eastAsia="Arial" w:hAnsi="Arial"/>
                <w:sz w:val="13"/>
                <w:szCs w:val="13"/>
                <w:color w:val="auto"/>
              </w:rPr>
              <w:t>16,500</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16,414</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16,500</w:t>
            </w:r>
          </w:p>
        </w:tc>
        <w:tc>
          <w:tcPr>
            <w:tcW w:w="14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14.9 %</w:t>
            </w:r>
          </w:p>
        </w:tc>
        <w:tc>
          <w:tcPr>
            <w:tcW w:w="0" w:type="dxa"/>
            <w:vAlign w:val="bottom"/>
          </w:tcPr>
          <w:p>
            <w:pPr>
              <w:spacing w:after="0"/>
              <w:rPr>
                <w:sz w:val="1"/>
                <w:szCs w:val="1"/>
                <w:color w:val="auto"/>
              </w:rPr>
            </w:pPr>
          </w:p>
        </w:tc>
      </w:tr>
      <w:tr>
        <w:trPr>
          <w:trHeight w:val="173"/>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Eastport Holdings,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Business Services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Membership Units (22.9%</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1/12/2016</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3,263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19,392</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17.6 %</w:t>
            </w:r>
          </w:p>
        </w:tc>
        <w:tc>
          <w:tcPr>
            <w:tcW w:w="0" w:type="dxa"/>
            <w:vAlign w:val="bottom"/>
          </w:tcPr>
          <w:p>
            <w:pPr>
              <w:spacing w:after="0"/>
              <w:rPr>
                <w:sz w:val="1"/>
                <w:szCs w:val="1"/>
                <w:color w:val="auto"/>
              </w:rPr>
            </w:pPr>
          </w:p>
        </w:tc>
      </w:tr>
      <w:tr>
        <w:trPr>
          <w:trHeight w:val="163"/>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ownership)</w:t>
            </w: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19,677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35,892</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32.5 %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840" w:type="dxa"/>
            <w:vAlign w:val="bottom"/>
          </w:tcPr>
          <w:p>
            <w:pPr>
              <w:ind w:left="20"/>
              <w:spacing w:after="0"/>
              <w:rPr>
                <w:sz w:val="20"/>
                <w:szCs w:val="20"/>
                <w:color w:val="auto"/>
              </w:rPr>
            </w:pPr>
            <w:r>
              <w:rPr>
                <w:rFonts w:ascii="Arial" w:cs="Arial" w:eastAsia="Arial" w:hAnsi="Arial"/>
                <w:sz w:val="13"/>
                <w:szCs w:val="13"/>
                <w:color w:val="auto"/>
              </w:rPr>
              <w:t>GA Communications, Inc.</w:t>
            </w:r>
          </w:p>
        </w:tc>
        <w:tc>
          <w:tcPr>
            <w:tcW w:w="1200" w:type="dxa"/>
            <w:vAlign w:val="bottom"/>
          </w:tcPr>
          <w:p>
            <w:pPr>
              <w:ind w:left="100"/>
              <w:spacing w:after="0"/>
              <w:rPr>
                <w:sz w:val="20"/>
                <w:szCs w:val="20"/>
                <w:color w:val="auto"/>
              </w:rPr>
            </w:pPr>
            <w:r>
              <w:rPr>
                <w:rFonts w:ascii="Arial" w:cs="Arial" w:eastAsia="Arial" w:hAnsi="Arial"/>
                <w:sz w:val="13"/>
                <w:szCs w:val="13"/>
                <w:color w:val="auto"/>
              </w:rPr>
              <w:t>Advertising &amp;</w:t>
            </w:r>
          </w:p>
        </w:tc>
        <w:tc>
          <w:tcPr>
            <w:tcW w:w="2320" w:type="dxa"/>
            <w:vAlign w:val="bottom"/>
          </w:tcPr>
          <w:p>
            <w:pPr>
              <w:ind w:left="120"/>
              <w:spacing w:after="0"/>
              <w:rPr>
                <w:sz w:val="20"/>
                <w:szCs w:val="20"/>
                <w:color w:val="auto"/>
              </w:rPr>
            </w:pPr>
            <w:r>
              <w:rPr>
                <w:rFonts w:ascii="Arial" w:cs="Arial" w:eastAsia="Arial" w:hAnsi="Arial"/>
                <w:sz w:val="13"/>
                <w:szCs w:val="13"/>
                <w:color w:val="auto"/>
              </w:rPr>
              <w:t>Series A-1 Preferred Stock (1,998</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10/14/2011</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840" w:type="dxa"/>
            <w:vAlign w:val="bottom"/>
          </w:tcPr>
          <w:p>
            <w:pPr>
              <w:spacing w:after="0"/>
              <w:rPr>
                <w:sz w:val="14"/>
                <w:szCs w:val="14"/>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w w:val="97"/>
              </w:rPr>
              <w:t>Marketing Services</w:t>
            </w:r>
          </w:p>
        </w:tc>
        <w:tc>
          <w:tcPr>
            <w:tcW w:w="2320" w:type="dxa"/>
            <w:vAlign w:val="bottom"/>
          </w:tcPr>
          <w:p>
            <w:pPr>
              <w:ind w:left="120"/>
              <w:spacing w:after="0"/>
              <w:rPr>
                <w:sz w:val="20"/>
                <w:szCs w:val="20"/>
                <w:color w:val="auto"/>
              </w:rPr>
            </w:pPr>
            <w:r>
              <w:rPr>
                <w:rFonts w:ascii="Arial" w:cs="Arial" w:eastAsia="Arial" w:hAnsi="Arial"/>
                <w:sz w:val="13"/>
                <w:szCs w:val="13"/>
                <w:color w:val="auto"/>
              </w:rPr>
              <w:t>shares)</w:t>
            </w:r>
          </w:p>
        </w:tc>
        <w:tc>
          <w:tcPr>
            <w:tcW w:w="2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3,477</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4,220</w:t>
            </w:r>
          </w:p>
        </w:tc>
        <w:tc>
          <w:tcPr>
            <w:tcW w:w="140" w:type="dxa"/>
            <w:vAlign w:val="bottom"/>
          </w:tcPr>
          <w:p>
            <w:pPr>
              <w:spacing w:after="0"/>
              <w:rPr>
                <w:sz w:val="14"/>
                <w:szCs w:val="1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3.9 %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 Communications, Inc.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Advertising &amp;</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Series B-1 Common Stock (200,000</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10/14/2011</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63"/>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7"/>
              </w:rPr>
              <w:t>Marketing Services</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w:t>
            </w: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3,479</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4,360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4.0 %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840" w:type="dxa"/>
            <w:vAlign w:val="bottom"/>
          </w:tcPr>
          <w:p>
            <w:pPr>
              <w:ind w:left="20"/>
              <w:spacing w:after="0"/>
              <w:rPr>
                <w:sz w:val="20"/>
                <w:szCs w:val="20"/>
                <w:color w:val="auto"/>
              </w:rPr>
            </w:pPr>
            <w:r>
              <w:rPr>
                <w:rFonts w:ascii="Arial" w:cs="Arial" w:eastAsia="Arial" w:hAnsi="Arial"/>
                <w:sz w:val="13"/>
                <w:szCs w:val="13"/>
                <w:color w:val="auto"/>
              </w:rPr>
              <w:t>LJS Partners, LLC</w:t>
            </w:r>
          </w:p>
        </w:tc>
        <w:tc>
          <w:tcPr>
            <w:tcW w:w="1200" w:type="dxa"/>
            <w:vAlign w:val="bottom"/>
          </w:tcPr>
          <w:p>
            <w:pPr>
              <w:ind w:left="100"/>
              <w:spacing w:after="0"/>
              <w:rPr>
                <w:sz w:val="20"/>
                <w:szCs w:val="20"/>
                <w:color w:val="auto"/>
              </w:rPr>
            </w:pPr>
            <w:r>
              <w:rPr>
                <w:rFonts w:ascii="Arial" w:cs="Arial" w:eastAsia="Arial" w:hAnsi="Arial"/>
                <w:sz w:val="13"/>
                <w:szCs w:val="13"/>
                <w:color w:val="auto"/>
              </w:rPr>
              <w:t>QSR Franchisor</w:t>
            </w:r>
          </w:p>
        </w:tc>
        <w:tc>
          <w:tcPr>
            <w:tcW w:w="2320" w:type="dxa"/>
            <w:vAlign w:val="bottom"/>
          </w:tcPr>
          <w:p>
            <w:pPr>
              <w:ind w:left="120"/>
              <w:spacing w:after="0"/>
              <w:rPr>
                <w:sz w:val="20"/>
                <w:szCs w:val="20"/>
                <w:color w:val="auto"/>
              </w:rPr>
            </w:pPr>
            <w:r>
              <w:rPr>
                <w:rFonts w:ascii="Arial" w:cs="Arial" w:eastAsia="Arial" w:hAnsi="Arial"/>
                <w:sz w:val="13"/>
                <w:szCs w:val="13"/>
                <w:color w:val="auto"/>
              </w:rPr>
              <w:t>Preferred Units (202,336 units)</w:t>
            </w:r>
          </w:p>
        </w:tc>
        <w:tc>
          <w:tcPr>
            <w:tcW w:w="2320" w:type="dxa"/>
            <w:vAlign w:val="bottom"/>
          </w:tcPr>
          <w:p>
            <w:pPr>
              <w:jc w:val="right"/>
              <w:ind w:right="1357"/>
              <w:spacing w:after="0"/>
              <w:rPr>
                <w:sz w:val="20"/>
                <w:szCs w:val="20"/>
                <w:color w:val="auto"/>
              </w:rPr>
            </w:pPr>
            <w:r>
              <w:rPr>
                <w:rFonts w:ascii="Arial" w:cs="Arial" w:eastAsia="Arial" w:hAnsi="Arial"/>
                <w:sz w:val="13"/>
                <w:szCs w:val="13"/>
                <w:color w:val="auto"/>
              </w:rPr>
              <w:t>8/12/2019</w:t>
            </w: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812</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0.7 %</w:t>
            </w:r>
          </w:p>
        </w:tc>
        <w:tc>
          <w:tcPr>
            <w:tcW w:w="0" w:type="dxa"/>
            <w:vAlign w:val="bottom"/>
          </w:tcPr>
          <w:p>
            <w:pPr>
              <w:spacing w:after="0"/>
              <w:rPr>
                <w:sz w:val="1"/>
                <w:szCs w:val="1"/>
                <w:color w:val="auto"/>
              </w:rPr>
            </w:pPr>
          </w:p>
        </w:tc>
      </w:tr>
      <w:tr>
        <w:trPr>
          <w:trHeight w:val="181"/>
        </w:trPr>
        <w:tc>
          <w:tcPr>
            <w:tcW w:w="18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LJS Partners, LLC</w:t>
            </w:r>
          </w:p>
        </w:tc>
        <w:tc>
          <w:tcPr>
            <w:tcW w:w="1200" w:type="dxa"/>
            <w:vAlign w:val="bottom"/>
            <w:shd w:val="clear" w:color="auto" w:fill="CFF0FC"/>
          </w:tcPr>
          <w:p>
            <w:pPr>
              <w:ind w:left="100"/>
              <w:spacing w:after="0"/>
              <w:rPr>
                <w:sz w:val="20"/>
                <w:szCs w:val="20"/>
                <w:color w:val="auto"/>
              </w:rPr>
            </w:pPr>
            <w:r>
              <w:rPr>
                <w:rFonts w:ascii="Arial" w:cs="Arial" w:eastAsia="Arial" w:hAnsi="Arial"/>
                <w:sz w:val="13"/>
                <w:szCs w:val="13"/>
                <w:color w:val="auto"/>
              </w:rPr>
              <w:t>QSR Franchisor</w:t>
            </w: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Membership Units</w:t>
            </w:r>
          </w:p>
        </w:tc>
        <w:tc>
          <w:tcPr>
            <w:tcW w:w="232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1/1/2012</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1,224</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5,648</w:t>
            </w:r>
          </w:p>
        </w:tc>
        <w:tc>
          <w:tcPr>
            <w:tcW w:w="14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5.1 %</w:t>
            </w:r>
          </w:p>
        </w:tc>
        <w:tc>
          <w:tcPr>
            <w:tcW w:w="0" w:type="dxa"/>
            <w:vAlign w:val="bottom"/>
          </w:tcPr>
          <w:p>
            <w:pPr>
              <w:spacing w:after="0"/>
              <w:rPr>
                <w:sz w:val="1"/>
                <w:szCs w:val="1"/>
                <w:color w:val="auto"/>
              </w:rPr>
            </w:pPr>
          </w:p>
        </w:tc>
      </w:tr>
      <w:tr>
        <w:trPr>
          <w:trHeight w:val="163"/>
        </w:trPr>
        <w:tc>
          <w:tcPr>
            <w:tcW w:w="18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(2,593,234 units)</w:t>
            </w:r>
          </w:p>
        </w:tc>
        <w:tc>
          <w:tcPr>
            <w:tcW w:w="23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23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8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1,661</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6,460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5.8 %</w:t>
            </w:r>
          </w:p>
        </w:tc>
        <w:tc>
          <w:tcPr>
            <w:tcW w:w="0" w:type="dxa"/>
            <w:vAlign w:val="bottom"/>
          </w:tcPr>
          <w:p>
            <w:pPr>
              <w:spacing w:after="0"/>
              <w:rPr>
                <w:sz w:val="1"/>
                <w:szCs w:val="1"/>
                <w:color w:val="auto"/>
              </w:rPr>
            </w:pPr>
          </w:p>
        </w:tc>
      </w:tr>
      <w:tr>
        <w:trPr>
          <w:trHeight w:val="189"/>
        </w:trPr>
        <w:tc>
          <w:tcPr>
            <w:tcW w:w="184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23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5077460</wp:posOffset>
            </wp:positionH>
            <wp:positionV relativeFrom="page">
              <wp:posOffset>234315</wp:posOffset>
            </wp:positionV>
            <wp:extent cx="2168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1685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-7223125</wp:posOffset>
            </wp:positionV>
            <wp:extent cx="1625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-7223125</wp:posOffset>
            </wp:positionV>
            <wp:extent cx="85725"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-7223125</wp:posOffset>
            </wp:positionV>
            <wp:extent cx="939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-6623050</wp:posOffset>
            </wp:positionV>
            <wp:extent cx="1625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-6623050</wp:posOffset>
            </wp:positionV>
            <wp:extent cx="857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-6623050</wp:posOffset>
            </wp:positionV>
            <wp:extent cx="939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-6280150</wp:posOffset>
            </wp:positionV>
            <wp:extent cx="16256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-6280150</wp:posOffset>
            </wp:positionV>
            <wp:extent cx="85725"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-6280150</wp:posOffset>
            </wp:positionV>
            <wp:extent cx="939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-4985385</wp:posOffset>
            </wp:positionV>
            <wp:extent cx="1625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-4985385</wp:posOffset>
            </wp:positionV>
            <wp:extent cx="85725"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-4985385</wp:posOffset>
            </wp:positionV>
            <wp:extent cx="939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-4642485</wp:posOffset>
            </wp:positionV>
            <wp:extent cx="16256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-4642485</wp:posOffset>
            </wp:positionV>
            <wp:extent cx="85725"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-4642485</wp:posOffset>
            </wp:positionV>
            <wp:extent cx="939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-3639820</wp:posOffset>
            </wp:positionV>
            <wp:extent cx="16256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-3639820</wp:posOffset>
            </wp:positionV>
            <wp:extent cx="85725"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-3639820</wp:posOffset>
            </wp:positionV>
            <wp:extent cx="939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-2336800</wp:posOffset>
            </wp:positionV>
            <wp:extent cx="16256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-2336800</wp:posOffset>
            </wp:positionV>
            <wp:extent cx="85725"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-2336800</wp:posOffset>
            </wp:positionV>
            <wp:extent cx="939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-1539240</wp:posOffset>
            </wp:positionV>
            <wp:extent cx="16256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-1539240</wp:posOffset>
            </wp:positionV>
            <wp:extent cx="85725"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-1539240</wp:posOffset>
            </wp:positionV>
            <wp:extent cx="9398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-845185</wp:posOffset>
            </wp:positionV>
            <wp:extent cx="1625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-845185</wp:posOffset>
            </wp:positionV>
            <wp:extent cx="857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-845185</wp:posOffset>
            </wp:positionV>
            <wp:extent cx="939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-253365</wp:posOffset>
            </wp:positionV>
            <wp:extent cx="16256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-253365</wp:posOffset>
            </wp:positionV>
            <wp:extent cx="857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-253365</wp:posOffset>
            </wp:positionV>
            <wp:extent cx="939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1940" w:type="dxa"/>
            <w:vAlign w:val="bottom"/>
          </w:tcPr>
          <w:p>
            <w:pPr>
              <w:ind w:left="20"/>
              <w:spacing w:after="0"/>
              <w:rPr>
                <w:sz w:val="20"/>
                <w:szCs w:val="20"/>
                <w:color w:val="auto"/>
              </w:rPr>
            </w:pPr>
            <w:r>
              <w:rPr>
                <w:rFonts w:ascii="Arial" w:cs="Arial" w:eastAsia="Arial" w:hAnsi="Arial"/>
                <w:sz w:val="13"/>
                <w:szCs w:val="13"/>
                <w:color w:val="auto"/>
              </w:rPr>
              <w:t>MMI Holdings, LLC</w:t>
            </w:r>
          </w:p>
        </w:tc>
        <w:tc>
          <w:tcPr>
            <w:tcW w:w="1120" w:type="dxa"/>
            <w:vAlign w:val="bottom"/>
          </w:tcPr>
          <w:p>
            <w:pPr>
              <w:spacing w:after="0"/>
              <w:rPr>
                <w:sz w:val="20"/>
                <w:szCs w:val="20"/>
                <w:color w:val="auto"/>
              </w:rPr>
            </w:pPr>
            <w:r>
              <w:rPr>
                <w:rFonts w:ascii="Arial" w:cs="Arial" w:eastAsia="Arial" w:hAnsi="Arial"/>
                <w:sz w:val="13"/>
                <w:szCs w:val="13"/>
                <w:color w:val="auto"/>
              </w:rPr>
              <w:t>Medical Device</w:t>
            </w:r>
          </w:p>
        </w:tc>
        <w:tc>
          <w:tcPr>
            <w:tcW w:w="2040" w:type="dxa"/>
            <w:vAlign w:val="bottom"/>
          </w:tcPr>
          <w:p>
            <w:pPr>
              <w:ind w:left="100"/>
              <w:spacing w:after="0"/>
              <w:rPr>
                <w:sz w:val="20"/>
                <w:szCs w:val="20"/>
                <w:color w:val="auto"/>
              </w:rPr>
            </w:pPr>
            <w:r>
              <w:rPr>
                <w:rFonts w:ascii="Arial" w:cs="Arial" w:eastAsia="Arial" w:hAnsi="Arial"/>
                <w:sz w:val="13"/>
                <w:szCs w:val="13"/>
                <w:color w:val="auto"/>
                <w:w w:val="98"/>
              </w:rPr>
              <w:t>First Lien Debt (12.0% Cash, Due</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10/17/2011</w:t>
            </w: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Distributor</w:t>
            </w:r>
          </w:p>
        </w:tc>
        <w:tc>
          <w:tcPr>
            <w:tcW w:w="2040" w:type="dxa"/>
            <w:vAlign w:val="bottom"/>
          </w:tcPr>
          <w:p>
            <w:pPr>
              <w:ind w:left="100"/>
              <w:spacing w:after="0"/>
              <w:rPr>
                <w:sz w:val="20"/>
                <w:szCs w:val="20"/>
                <w:color w:val="auto"/>
              </w:rPr>
            </w:pPr>
            <w:r>
              <w:rPr>
                <w:rFonts w:ascii="Arial" w:cs="Arial" w:eastAsia="Arial" w:hAnsi="Arial"/>
                <w:sz w:val="13"/>
                <w:szCs w:val="13"/>
                <w:color w:val="auto"/>
              </w:rPr>
              <w:t xml:space="preserve">1/31/22) </w:t>
            </w:r>
            <w:r>
              <w:rPr>
                <w:rFonts w:ascii="Arial" w:cs="Arial" w:eastAsia="Arial" w:hAnsi="Arial"/>
                <w:sz w:val="16"/>
                <w:szCs w:val="16"/>
                <w:color w:val="auto"/>
                <w:vertAlign w:val="superscript"/>
              </w:rPr>
              <w:t>(6)</w:t>
            </w:r>
          </w:p>
        </w:tc>
        <w:tc>
          <w:tcPr>
            <w:tcW w:w="2580" w:type="dxa"/>
            <w:vAlign w:val="bottom"/>
          </w:tcPr>
          <w:p>
            <w:pPr>
              <w:jc w:val="right"/>
              <w:ind w:right="197"/>
              <w:spacing w:after="0"/>
              <w:rPr>
                <w:sz w:val="20"/>
                <w:szCs w:val="20"/>
                <w:color w:val="auto"/>
              </w:rPr>
            </w:pPr>
            <w:r>
              <w:rPr>
                <w:rFonts w:ascii="Arial" w:cs="Arial" w:eastAsia="Arial" w:hAnsi="Arial"/>
                <w:sz w:val="13"/>
                <w:szCs w:val="13"/>
                <w:color w:val="auto"/>
              </w:rPr>
              <w:t>2,600</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2,600</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2,600</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2.4 %</w:t>
            </w: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Medical Device</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3"/>
              </w:rPr>
              <w:t>Second Lien Debt (6.0% Cash, Due</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10/17/2011</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Distributor</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 xml:space="preserve">1/31/22) </w:t>
            </w:r>
            <w:r>
              <w:rPr>
                <w:rFonts w:ascii="Arial" w:cs="Arial" w:eastAsia="Arial" w:hAnsi="Arial"/>
                <w:sz w:val="16"/>
                <w:szCs w:val="16"/>
                <w:color w:val="auto"/>
                <w:vertAlign w:val="superscript"/>
              </w:rPr>
              <w:t>(6)</w:t>
            </w:r>
          </w:p>
        </w:tc>
        <w:tc>
          <w:tcPr>
            <w:tcW w:w="258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400</w:t>
            </w:r>
          </w:p>
        </w:tc>
        <w:tc>
          <w:tcPr>
            <w:tcW w:w="3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3"/>
                <w:szCs w:val="13"/>
                <w:color w:val="auto"/>
              </w:rPr>
              <w:t>MMI Holdings, LLC</w:t>
            </w:r>
          </w:p>
        </w:tc>
        <w:tc>
          <w:tcPr>
            <w:tcW w:w="1120" w:type="dxa"/>
            <w:vAlign w:val="bottom"/>
          </w:tcPr>
          <w:p>
            <w:pPr>
              <w:spacing w:after="0"/>
              <w:rPr>
                <w:sz w:val="20"/>
                <w:szCs w:val="20"/>
                <w:color w:val="auto"/>
              </w:rPr>
            </w:pPr>
            <w:r>
              <w:rPr>
                <w:rFonts w:ascii="Arial" w:cs="Arial" w:eastAsia="Arial" w:hAnsi="Arial"/>
                <w:sz w:val="13"/>
                <w:szCs w:val="13"/>
                <w:color w:val="auto"/>
              </w:rPr>
              <w:t>Medical Device</w:t>
            </w:r>
          </w:p>
        </w:tc>
        <w:tc>
          <w:tcPr>
            <w:tcW w:w="2040" w:type="dxa"/>
            <w:vAlign w:val="bottom"/>
          </w:tcPr>
          <w:p>
            <w:pPr>
              <w:ind w:left="100"/>
              <w:spacing w:after="0"/>
              <w:rPr>
                <w:sz w:val="20"/>
                <w:szCs w:val="20"/>
                <w:color w:val="auto"/>
              </w:rPr>
            </w:pPr>
            <w:r>
              <w:rPr>
                <w:rFonts w:ascii="Arial" w:cs="Arial" w:eastAsia="Arial" w:hAnsi="Arial"/>
                <w:sz w:val="13"/>
                <w:szCs w:val="13"/>
                <w:color w:val="auto"/>
                <w:w w:val="98"/>
              </w:rPr>
              <w:t>Preferred Units (1,000 units, 6.0%</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10/17/2011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Distributor</w:t>
            </w:r>
          </w:p>
        </w:tc>
        <w:tc>
          <w:tcPr>
            <w:tcW w:w="2040" w:type="dxa"/>
            <w:vAlign w:val="bottom"/>
          </w:tcPr>
          <w:p>
            <w:pPr>
              <w:ind w:left="100"/>
              <w:spacing w:after="0"/>
              <w:rPr>
                <w:sz w:val="20"/>
                <w:szCs w:val="20"/>
                <w:color w:val="auto"/>
              </w:rPr>
            </w:pPr>
            <w:r>
              <w:rPr>
                <w:rFonts w:ascii="Arial" w:cs="Arial" w:eastAsia="Arial" w:hAnsi="Arial"/>
                <w:sz w:val="13"/>
                <w:szCs w:val="13"/>
                <w:color w:val="auto"/>
              </w:rPr>
              <w:t xml:space="preserve">PIK Dividend) </w:t>
            </w:r>
            <w:r>
              <w:rPr>
                <w:rFonts w:ascii="Arial" w:cs="Arial" w:eastAsia="Arial" w:hAnsi="Arial"/>
                <w:sz w:val="16"/>
                <w:szCs w:val="16"/>
                <w:color w:val="auto"/>
                <w:vertAlign w:val="superscript"/>
              </w:rPr>
              <w:t>(17)</w:t>
            </w:r>
          </w:p>
        </w:tc>
        <w:tc>
          <w:tcPr>
            <w:tcW w:w="2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1,758</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1,850</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1.6 %</w:t>
            </w:r>
          </w:p>
        </w:tc>
        <w:tc>
          <w:tcPr>
            <w:tcW w:w="0" w:type="dxa"/>
            <w:vAlign w:val="bottom"/>
          </w:tcPr>
          <w:p>
            <w:pPr>
              <w:spacing w:after="0"/>
              <w:rPr>
                <w:sz w:val="1"/>
                <w:szCs w:val="1"/>
                <w:color w:val="auto"/>
              </w:rPr>
            </w:pPr>
          </w:p>
        </w:tc>
      </w:tr>
      <w:tr>
        <w:trPr>
          <w:trHeight w:val="17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Medical Device</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Common Membership Units (45</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10/17/2011</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140" w:type="dxa"/>
            <w:vAlign w:val="bottom"/>
            <w:vMerge w:val="restart"/>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0.1 %</w:t>
            </w: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Distributor</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units)</w:t>
            </w:r>
          </w:p>
        </w:tc>
        <w:tc>
          <w:tcPr>
            <w:tcW w:w="2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4,746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4,930</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4.5 %</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3"/>
                <w:szCs w:val="13"/>
                <w:color w:val="auto"/>
              </w:rPr>
              <w:t>Navis Holdings, Inc.</w:t>
            </w:r>
          </w:p>
        </w:tc>
        <w:tc>
          <w:tcPr>
            <w:tcW w:w="1120" w:type="dxa"/>
            <w:vAlign w:val="bottom"/>
          </w:tcPr>
          <w:p>
            <w:pPr>
              <w:spacing w:after="0"/>
              <w:rPr>
                <w:sz w:val="20"/>
                <w:szCs w:val="20"/>
                <w:color w:val="auto"/>
              </w:rPr>
            </w:pPr>
            <w:r>
              <w:rPr>
                <w:rFonts w:ascii="Arial" w:cs="Arial" w:eastAsia="Arial" w:hAnsi="Arial"/>
                <w:sz w:val="13"/>
                <w:szCs w:val="13"/>
                <w:color w:val="auto"/>
              </w:rPr>
              <w:t>Textile Equipment</w:t>
            </w:r>
          </w:p>
        </w:tc>
        <w:tc>
          <w:tcPr>
            <w:tcW w:w="2040" w:type="dxa"/>
            <w:vAlign w:val="bottom"/>
          </w:tcPr>
          <w:p>
            <w:pPr>
              <w:ind w:left="100"/>
              <w:spacing w:after="0"/>
              <w:rPr>
                <w:sz w:val="20"/>
                <w:szCs w:val="20"/>
                <w:color w:val="auto"/>
              </w:rPr>
            </w:pPr>
            <w:r>
              <w:rPr>
                <w:rFonts w:ascii="Arial" w:cs="Arial" w:eastAsia="Arial" w:hAnsi="Arial"/>
                <w:sz w:val="13"/>
                <w:szCs w:val="13"/>
                <w:color w:val="auto"/>
                <w:w w:val="99"/>
              </w:rPr>
              <w:t>First Lien Debt (9.0% Cash, 2.0%</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2/1/2011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Manufacturer</w:t>
            </w:r>
          </w:p>
        </w:tc>
        <w:tc>
          <w:tcPr>
            <w:tcW w:w="2040" w:type="dxa"/>
            <w:vAlign w:val="bottom"/>
          </w:tcPr>
          <w:p>
            <w:pPr>
              <w:ind w:left="100"/>
              <w:spacing w:after="0"/>
              <w:rPr>
                <w:sz w:val="20"/>
                <w:szCs w:val="20"/>
                <w:color w:val="auto"/>
              </w:rPr>
            </w:pPr>
            <w:r>
              <w:rPr>
                <w:rFonts w:ascii="Arial" w:cs="Arial" w:eastAsia="Arial" w:hAnsi="Arial"/>
                <w:sz w:val="13"/>
                <w:szCs w:val="13"/>
                <w:color w:val="auto"/>
              </w:rPr>
              <w:t xml:space="preserve">PIK, Due 6/30/23) </w:t>
            </w:r>
            <w:r>
              <w:rPr>
                <w:rFonts w:ascii="Arial" w:cs="Arial" w:eastAsia="Arial" w:hAnsi="Arial"/>
                <w:sz w:val="16"/>
                <w:szCs w:val="16"/>
                <w:color w:val="auto"/>
                <w:vertAlign w:val="superscript"/>
              </w:rPr>
              <w:t>(6)</w:t>
            </w:r>
          </w:p>
        </w:tc>
        <w:tc>
          <w:tcPr>
            <w:tcW w:w="2580" w:type="dxa"/>
            <w:vAlign w:val="bottom"/>
          </w:tcPr>
          <w:p>
            <w:pPr>
              <w:jc w:val="right"/>
              <w:ind w:right="197"/>
              <w:spacing w:after="0"/>
              <w:rPr>
                <w:sz w:val="20"/>
                <w:szCs w:val="20"/>
                <w:color w:val="auto"/>
              </w:rPr>
            </w:pPr>
            <w:r>
              <w:rPr>
                <w:rFonts w:ascii="Arial" w:cs="Arial" w:eastAsia="Arial" w:hAnsi="Arial"/>
                <w:sz w:val="13"/>
                <w:szCs w:val="13"/>
                <w:color w:val="auto"/>
              </w:rPr>
              <w:t>10,694</w:t>
            </w:r>
          </w:p>
        </w:tc>
        <w:tc>
          <w:tcPr>
            <w:tcW w:w="3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10,695</w:t>
            </w: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10,562</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9.6 %</w:t>
            </w:r>
          </w:p>
        </w:tc>
        <w:tc>
          <w:tcPr>
            <w:tcW w:w="0" w:type="dxa"/>
            <w:vAlign w:val="bottom"/>
          </w:tcPr>
          <w:p>
            <w:pPr>
              <w:spacing w:after="0"/>
              <w:rPr>
                <w:sz w:val="1"/>
                <w:szCs w:val="1"/>
                <w:color w:val="auto"/>
              </w:rPr>
            </w:pPr>
          </w:p>
        </w:tc>
      </w:tr>
      <w:tr>
        <w:trPr>
          <w:trHeight w:val="17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Navis Holdings, Inc.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Textile Equipment</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Class A Preferred Stock (1,000</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2/1/2011</w:t>
            </w: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Manufacturer</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shares)</w:t>
            </w: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Navis Holdings, Inc.</w:t>
            </w:r>
          </w:p>
        </w:tc>
        <w:tc>
          <w:tcPr>
            <w:tcW w:w="1120" w:type="dxa"/>
            <w:vAlign w:val="bottom"/>
          </w:tcPr>
          <w:p>
            <w:pPr>
              <w:spacing w:after="0"/>
              <w:rPr>
                <w:sz w:val="20"/>
                <w:szCs w:val="20"/>
                <w:color w:val="auto"/>
              </w:rPr>
            </w:pPr>
            <w:r>
              <w:rPr>
                <w:rFonts w:ascii="Arial" w:cs="Arial" w:eastAsia="Arial" w:hAnsi="Arial"/>
                <w:sz w:val="13"/>
                <w:szCs w:val="13"/>
                <w:color w:val="auto"/>
              </w:rPr>
              <w:t>Textile Equipment</w:t>
            </w:r>
          </w:p>
        </w:tc>
        <w:tc>
          <w:tcPr>
            <w:tcW w:w="2040" w:type="dxa"/>
            <w:vAlign w:val="bottom"/>
          </w:tcPr>
          <w:p>
            <w:pPr>
              <w:ind w:left="100"/>
              <w:spacing w:after="0"/>
              <w:rPr>
                <w:sz w:val="20"/>
                <w:szCs w:val="20"/>
                <w:color w:val="auto"/>
              </w:rPr>
            </w:pPr>
            <w:r>
              <w:rPr>
                <w:rFonts w:ascii="Arial" w:cs="Arial" w:eastAsia="Arial" w:hAnsi="Arial"/>
                <w:sz w:val="13"/>
                <w:szCs w:val="13"/>
                <w:color w:val="auto"/>
              </w:rPr>
              <w:t>Common Stock (60,000 shares)</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2/1/2011</w:t>
            </w:r>
          </w:p>
        </w:tc>
        <w:tc>
          <w:tcPr>
            <w:tcW w:w="3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448</w:t>
            </w:r>
          </w:p>
        </w:tc>
        <w:tc>
          <w:tcPr>
            <w:tcW w:w="140" w:type="dxa"/>
            <w:vAlign w:val="bottom"/>
            <w:vMerge w:val="restart"/>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0.4 %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Manufacturer</w:t>
            </w:r>
          </w:p>
        </w:tc>
        <w:tc>
          <w:tcPr>
            <w:tcW w:w="2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11,695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12,010</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10.9 %</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20" w:type="dxa"/>
            <w:vAlign w:val="bottom"/>
            <w:tcBorders>
              <w:top w:val="single" w:sz="8" w:color="CFF0FC"/>
            </w:tcBorders>
          </w:tcPr>
          <w:p>
            <w:pPr>
              <w:spacing w:after="0"/>
              <w:rPr>
                <w:sz w:val="16"/>
                <w:szCs w:val="16"/>
                <w:color w:val="auto"/>
              </w:rPr>
            </w:pPr>
          </w:p>
        </w:tc>
        <w:tc>
          <w:tcPr>
            <w:tcW w:w="2040" w:type="dxa"/>
            <w:vAlign w:val="bottom"/>
            <w:tcBorders>
              <w:top w:val="single" w:sz="8" w:color="CFF0FC"/>
            </w:tcBorders>
          </w:tcPr>
          <w:p>
            <w:pPr>
              <w:spacing w:after="0"/>
              <w:rPr>
                <w:sz w:val="16"/>
                <w:szCs w:val="16"/>
                <w:color w:val="auto"/>
              </w:rPr>
            </w:pPr>
          </w:p>
        </w:tc>
        <w:tc>
          <w:tcPr>
            <w:tcW w:w="258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Nth Degree Investment Group, LLC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Business Services</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2"/>
              </w:rPr>
              <w:t>Membership Units (6,088,000 Units)</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12/3/2019</w:t>
            </w: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6,088</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22"/>
        </w:trPr>
        <w:tc>
          <w:tcPr>
            <w:tcW w:w="19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6,088</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RAM Payment, LLC</w:t>
            </w:r>
          </w:p>
        </w:tc>
        <w:tc>
          <w:tcPr>
            <w:tcW w:w="1120" w:type="dxa"/>
            <w:vAlign w:val="bottom"/>
          </w:tcPr>
          <w:p>
            <w:pPr>
              <w:spacing w:after="0"/>
              <w:rPr>
                <w:sz w:val="20"/>
                <w:szCs w:val="20"/>
                <w:color w:val="auto"/>
              </w:rPr>
            </w:pPr>
            <w:r>
              <w:rPr>
                <w:rFonts w:ascii="Arial" w:cs="Arial" w:eastAsia="Arial" w:hAnsi="Arial"/>
                <w:sz w:val="13"/>
                <w:szCs w:val="13"/>
                <w:color w:val="auto"/>
              </w:rPr>
              <w:t>Financial Services</w:t>
            </w:r>
          </w:p>
        </w:tc>
        <w:tc>
          <w:tcPr>
            <w:tcW w:w="2040" w:type="dxa"/>
            <w:vAlign w:val="bottom"/>
          </w:tcPr>
          <w:p>
            <w:pPr>
              <w:ind w:left="100"/>
              <w:spacing w:after="0"/>
              <w:rPr>
                <w:sz w:val="20"/>
                <w:szCs w:val="20"/>
                <w:color w:val="auto"/>
              </w:rPr>
            </w:pPr>
            <w:r>
              <w:rPr>
                <w:rFonts w:ascii="Arial" w:cs="Arial" w:eastAsia="Arial" w:hAnsi="Arial"/>
                <w:sz w:val="13"/>
                <w:szCs w:val="13"/>
                <w:color w:val="auto"/>
                <w:w w:val="90"/>
              </w:rPr>
              <w:t>First Lien Debt (6.5% Cash (1 month</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6/1/2020</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3"/>
                <w:szCs w:val="13"/>
                <w:color w:val="auto"/>
                <w:w w:val="99"/>
              </w:rPr>
              <w:t>LIBOR + 5.0%), 1.5% Floor), Due</w:t>
            </w: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3"/>
                <w:szCs w:val="13"/>
                <w:color w:val="auto"/>
              </w:rPr>
              <w:t>1/4/24)</w:t>
            </w:r>
          </w:p>
        </w:tc>
        <w:tc>
          <w:tcPr>
            <w:tcW w:w="2580" w:type="dxa"/>
            <w:vAlign w:val="bottom"/>
          </w:tcPr>
          <w:p>
            <w:pPr>
              <w:jc w:val="right"/>
              <w:ind w:right="197"/>
              <w:spacing w:after="0"/>
              <w:rPr>
                <w:sz w:val="20"/>
                <w:szCs w:val="20"/>
                <w:color w:val="auto"/>
              </w:rPr>
            </w:pPr>
            <w:r>
              <w:rPr>
                <w:rFonts w:ascii="Arial" w:cs="Arial" w:eastAsia="Arial" w:hAnsi="Arial"/>
                <w:sz w:val="13"/>
                <w:szCs w:val="13"/>
                <w:color w:val="auto"/>
              </w:rPr>
              <w:t>1,513</w:t>
            </w:r>
          </w:p>
        </w:tc>
        <w:tc>
          <w:tcPr>
            <w:tcW w:w="3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1,513</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1,513</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1.4 %</w:t>
            </w:r>
          </w:p>
        </w:tc>
        <w:tc>
          <w:tcPr>
            <w:tcW w:w="0" w:type="dxa"/>
            <w:vAlign w:val="bottom"/>
          </w:tcPr>
          <w:p>
            <w:pPr>
              <w:spacing w:after="0"/>
              <w:rPr>
                <w:sz w:val="1"/>
                <w:szCs w:val="1"/>
                <w:color w:val="auto"/>
              </w:rPr>
            </w:pPr>
          </w:p>
        </w:tc>
      </w:tr>
      <w:tr>
        <w:trPr>
          <w:trHeight w:val="170"/>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RAM Payment, LLC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Financial Services</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First Lien Debt (9.8% Cash, Due</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1/4/2019</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 xml:space="preserve">1/4/24) </w:t>
            </w:r>
            <w:r>
              <w:rPr>
                <w:rFonts w:ascii="Arial" w:cs="Arial" w:eastAsia="Arial" w:hAnsi="Arial"/>
                <w:sz w:val="16"/>
                <w:szCs w:val="16"/>
                <w:color w:val="auto"/>
                <w:vertAlign w:val="superscript"/>
              </w:rPr>
              <w:t>(10)</w:t>
            </w:r>
          </w:p>
        </w:tc>
        <w:tc>
          <w:tcPr>
            <w:tcW w:w="258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4,101</w:t>
            </w:r>
          </w:p>
        </w:tc>
        <w:tc>
          <w:tcPr>
            <w:tcW w:w="3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4,101</w:t>
            </w:r>
          </w:p>
        </w:tc>
        <w:tc>
          <w:tcPr>
            <w:tcW w:w="26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4,101</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3.7 %</w:t>
            </w: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3"/>
                <w:szCs w:val="13"/>
                <w:color w:val="auto"/>
              </w:rPr>
              <w:t>RAM Payment, LLC</w:t>
            </w:r>
          </w:p>
        </w:tc>
        <w:tc>
          <w:tcPr>
            <w:tcW w:w="1120" w:type="dxa"/>
            <w:vAlign w:val="bottom"/>
          </w:tcPr>
          <w:p>
            <w:pPr>
              <w:spacing w:after="0"/>
              <w:rPr>
                <w:sz w:val="20"/>
                <w:szCs w:val="20"/>
                <w:color w:val="auto"/>
              </w:rPr>
            </w:pPr>
            <w:r>
              <w:rPr>
                <w:rFonts w:ascii="Arial" w:cs="Arial" w:eastAsia="Arial" w:hAnsi="Arial"/>
                <w:sz w:val="13"/>
                <w:szCs w:val="13"/>
                <w:color w:val="auto"/>
              </w:rPr>
              <w:t>Financial Services</w:t>
            </w:r>
          </w:p>
        </w:tc>
        <w:tc>
          <w:tcPr>
            <w:tcW w:w="2040" w:type="dxa"/>
            <w:vAlign w:val="bottom"/>
          </w:tcPr>
          <w:p>
            <w:pPr>
              <w:ind w:left="100"/>
              <w:spacing w:after="0"/>
              <w:rPr>
                <w:sz w:val="20"/>
                <w:szCs w:val="20"/>
                <w:color w:val="auto"/>
              </w:rPr>
            </w:pPr>
            <w:r>
              <w:rPr>
                <w:rFonts w:ascii="Arial" w:cs="Arial" w:eastAsia="Arial" w:hAnsi="Arial"/>
                <w:sz w:val="13"/>
                <w:szCs w:val="13"/>
                <w:color w:val="auto"/>
                <w:w w:val="94"/>
              </w:rPr>
              <w:t>Preferred Units (86,000 units, 8.0%</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1/4/2019</w:t>
            </w: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1,048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3,561</w:t>
            </w:r>
          </w:p>
        </w:tc>
        <w:tc>
          <w:tcPr>
            <w:tcW w:w="140" w:type="dxa"/>
            <w:vAlign w:val="bottom"/>
            <w:vMerge w:val="restart"/>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76"/>
        </w:trPr>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ind w:left="100"/>
              <w:spacing w:after="0" w:line="176" w:lineRule="exact"/>
              <w:rPr>
                <w:sz w:val="20"/>
                <w:szCs w:val="20"/>
                <w:color w:val="auto"/>
              </w:rPr>
            </w:pPr>
            <w:r>
              <w:rPr>
                <w:rFonts w:ascii="Arial" w:cs="Arial" w:eastAsia="Arial" w:hAnsi="Arial"/>
                <w:sz w:val="13"/>
                <w:szCs w:val="13"/>
                <w:color w:val="auto"/>
              </w:rPr>
              <w:t xml:space="preserve">PIK Dividend) </w:t>
            </w:r>
            <w:r>
              <w:rPr>
                <w:rFonts w:ascii="Arial" w:cs="Arial" w:eastAsia="Arial" w:hAnsi="Arial"/>
                <w:sz w:val="16"/>
                <w:szCs w:val="16"/>
                <w:color w:val="auto"/>
                <w:vertAlign w:val="superscript"/>
              </w:rPr>
              <w:t>(17)</w:t>
            </w: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6,662</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9,175</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8.3 %</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20" w:type="dxa"/>
            <w:vAlign w:val="bottom"/>
            <w:tcBorders>
              <w:top w:val="single" w:sz="8" w:color="CFF0FC"/>
            </w:tcBorders>
          </w:tcPr>
          <w:p>
            <w:pPr>
              <w:spacing w:after="0"/>
              <w:rPr>
                <w:sz w:val="16"/>
                <w:szCs w:val="16"/>
                <w:color w:val="auto"/>
              </w:rPr>
            </w:pPr>
          </w:p>
        </w:tc>
        <w:tc>
          <w:tcPr>
            <w:tcW w:w="2040" w:type="dxa"/>
            <w:vAlign w:val="bottom"/>
            <w:tcBorders>
              <w:top w:val="single" w:sz="8" w:color="CFF0FC"/>
            </w:tcBorders>
          </w:tcPr>
          <w:p>
            <w:pPr>
              <w:spacing w:after="0"/>
              <w:rPr>
                <w:sz w:val="16"/>
                <w:szCs w:val="16"/>
                <w:color w:val="auto"/>
              </w:rPr>
            </w:pPr>
          </w:p>
        </w:tc>
        <w:tc>
          <w:tcPr>
            <w:tcW w:w="258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Sierra Hamilton Holdings</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Oil &amp; Gas</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Second Lien Debt (15.0%, Due</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9/12/2019</w:t>
            </w:r>
          </w:p>
        </w:tc>
        <w:tc>
          <w:tcPr>
            <w:tcW w:w="3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Corporation</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Engineering and</w:t>
            </w:r>
          </w:p>
        </w:tc>
        <w:tc>
          <w:tcPr>
            <w:tcW w:w="2040" w:type="dxa"/>
            <w:vAlign w:val="bottom"/>
            <w:shd w:val="clear" w:color="auto" w:fill="CFF0FC"/>
          </w:tcPr>
          <w:p>
            <w:pPr>
              <w:ind w:left="100"/>
              <w:spacing w:after="0" w:line="175" w:lineRule="exact"/>
              <w:rPr>
                <w:sz w:val="20"/>
                <w:szCs w:val="20"/>
                <w:color w:val="auto"/>
              </w:rPr>
            </w:pPr>
            <w:r>
              <w:rPr>
                <w:rFonts w:ascii="Arial" w:cs="Arial" w:eastAsia="Arial" w:hAnsi="Arial"/>
                <w:sz w:val="13"/>
                <w:szCs w:val="13"/>
                <w:color w:val="auto"/>
              </w:rPr>
              <w:t xml:space="preserve">9/12/23) </w:t>
            </w:r>
            <w:r>
              <w:rPr>
                <w:rFonts w:ascii="Arial" w:cs="Arial" w:eastAsia="Arial" w:hAnsi="Arial"/>
                <w:sz w:val="16"/>
                <w:szCs w:val="16"/>
                <w:color w:val="auto"/>
                <w:vertAlign w:val="superscript"/>
              </w:rPr>
              <w:t>(9)</w:t>
            </w: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w w:val="95"/>
              </w:rPr>
              <w:t>Consulting Services</w:t>
            </w: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rPr>
              <w:t>3</w:t>
            </w: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Sierra Hamilton Holdings</w:t>
            </w:r>
          </w:p>
        </w:tc>
        <w:tc>
          <w:tcPr>
            <w:tcW w:w="1120" w:type="dxa"/>
            <w:vAlign w:val="bottom"/>
          </w:tcPr>
          <w:p>
            <w:pPr>
              <w:spacing w:after="0"/>
              <w:rPr>
                <w:sz w:val="20"/>
                <w:szCs w:val="20"/>
                <w:color w:val="auto"/>
              </w:rPr>
            </w:pPr>
            <w:r>
              <w:rPr>
                <w:rFonts w:ascii="Arial" w:cs="Arial" w:eastAsia="Arial" w:hAnsi="Arial"/>
                <w:sz w:val="13"/>
                <w:szCs w:val="13"/>
                <w:color w:val="auto"/>
              </w:rPr>
              <w:t>Oil &amp; Gas</w:t>
            </w:r>
          </w:p>
        </w:tc>
        <w:tc>
          <w:tcPr>
            <w:tcW w:w="2040" w:type="dxa"/>
            <w:vAlign w:val="bottom"/>
          </w:tcPr>
          <w:p>
            <w:pPr>
              <w:ind w:left="100"/>
              <w:spacing w:after="0"/>
              <w:rPr>
                <w:sz w:val="20"/>
                <w:szCs w:val="20"/>
                <w:color w:val="auto"/>
              </w:rPr>
            </w:pPr>
            <w:r>
              <w:rPr>
                <w:rFonts w:ascii="Arial" w:cs="Arial" w:eastAsia="Arial" w:hAnsi="Arial"/>
                <w:sz w:val="13"/>
                <w:szCs w:val="13"/>
                <w:color w:val="auto"/>
                <w:w w:val="91"/>
              </w:rPr>
              <w:t>Common Stock (15,068,000 shares)</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7/31/2017</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ind w:left="20"/>
              <w:spacing w:after="0"/>
              <w:rPr>
                <w:sz w:val="20"/>
                <w:szCs w:val="20"/>
                <w:color w:val="auto"/>
              </w:rPr>
            </w:pPr>
            <w:r>
              <w:rPr>
                <w:rFonts w:ascii="Arial" w:cs="Arial" w:eastAsia="Arial" w:hAnsi="Arial"/>
                <w:sz w:val="13"/>
                <w:szCs w:val="13"/>
                <w:color w:val="auto"/>
              </w:rPr>
              <w:t>Corporation</w:t>
            </w:r>
          </w:p>
        </w:tc>
        <w:tc>
          <w:tcPr>
            <w:tcW w:w="1120" w:type="dxa"/>
            <w:vAlign w:val="bottom"/>
          </w:tcPr>
          <w:p>
            <w:pPr>
              <w:spacing w:after="0"/>
              <w:rPr>
                <w:sz w:val="20"/>
                <w:szCs w:val="20"/>
                <w:color w:val="auto"/>
              </w:rPr>
            </w:pPr>
            <w:r>
              <w:rPr>
                <w:rFonts w:ascii="Arial" w:cs="Arial" w:eastAsia="Arial" w:hAnsi="Arial"/>
                <w:sz w:val="13"/>
                <w:szCs w:val="13"/>
                <w:color w:val="auto"/>
              </w:rPr>
              <w:t>Engineering and</w:t>
            </w:r>
          </w:p>
        </w:tc>
        <w:tc>
          <w:tcPr>
            <w:tcW w:w="2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6,958</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941</w:t>
            </w:r>
          </w:p>
        </w:tc>
        <w:tc>
          <w:tcPr>
            <w:tcW w:w="140" w:type="dxa"/>
            <w:vAlign w:val="bottom"/>
            <w:vMerge w:val="restart"/>
          </w:tcPr>
          <w:p>
            <w:pPr>
              <w:spacing w:after="0"/>
              <w:rPr>
                <w:sz w:val="14"/>
                <w:szCs w:val="14"/>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w w:val="95"/>
              </w:rPr>
              <w:t>Consulting Services</w:t>
            </w:r>
          </w:p>
        </w:tc>
        <w:tc>
          <w:tcPr>
            <w:tcW w:w="2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944</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0.9 %</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20" w:type="dxa"/>
            <w:vAlign w:val="bottom"/>
            <w:tcBorders>
              <w:top w:val="single" w:sz="8" w:color="CFF0FC"/>
            </w:tcBorders>
          </w:tcPr>
          <w:p>
            <w:pPr>
              <w:spacing w:after="0"/>
              <w:rPr>
                <w:sz w:val="16"/>
                <w:szCs w:val="16"/>
                <w:color w:val="auto"/>
              </w:rPr>
            </w:pPr>
          </w:p>
        </w:tc>
        <w:tc>
          <w:tcPr>
            <w:tcW w:w="2040" w:type="dxa"/>
            <w:vAlign w:val="bottom"/>
            <w:tcBorders>
              <w:top w:val="single" w:sz="8" w:color="CFF0FC"/>
            </w:tcBorders>
          </w:tcPr>
          <w:p>
            <w:pPr>
              <w:spacing w:after="0"/>
              <w:rPr>
                <w:sz w:val="16"/>
                <w:szCs w:val="16"/>
                <w:color w:val="auto"/>
              </w:rPr>
            </w:pPr>
          </w:p>
        </w:tc>
        <w:tc>
          <w:tcPr>
            <w:tcW w:w="258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V12 Holdings, Inc.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Data Processing &amp;</w:t>
            </w:r>
          </w:p>
        </w:tc>
        <w:tc>
          <w:tcPr>
            <w:tcW w:w="2040" w:type="dxa"/>
            <w:vAlign w:val="bottom"/>
            <w:shd w:val="clear" w:color="auto" w:fill="CFF0FC"/>
          </w:tcPr>
          <w:p>
            <w:pPr>
              <w:ind w:left="100"/>
              <w:spacing w:after="0" w:line="175" w:lineRule="exact"/>
              <w:rPr>
                <w:sz w:val="20"/>
                <w:szCs w:val="20"/>
                <w:color w:val="auto"/>
              </w:rPr>
            </w:pPr>
            <w:r>
              <w:rPr>
                <w:rFonts w:ascii="Arial" w:cs="Arial" w:eastAsia="Arial" w:hAnsi="Arial"/>
                <w:sz w:val="13"/>
                <w:szCs w:val="13"/>
                <w:color w:val="auto"/>
              </w:rPr>
              <w:t xml:space="preserve">Second Lien Debt </w:t>
            </w:r>
            <w:r>
              <w:rPr>
                <w:rFonts w:ascii="Arial" w:cs="Arial" w:eastAsia="Arial" w:hAnsi="Arial"/>
                <w:sz w:val="16"/>
                <w:szCs w:val="16"/>
                <w:color w:val="auto"/>
                <w:vertAlign w:val="superscript"/>
              </w:rPr>
              <w:t>(13)</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11/21/2016</w:t>
            </w:r>
          </w:p>
        </w:tc>
        <w:tc>
          <w:tcPr>
            <w:tcW w:w="340" w:type="dxa"/>
            <w:vAlign w:val="bottom"/>
            <w:shd w:val="clear" w:color="auto" w:fill="CFF0FC"/>
          </w:tcPr>
          <w:p>
            <w:pPr>
              <w:spacing w:after="0"/>
              <w:rPr>
                <w:sz w:val="15"/>
                <w:szCs w:val="15"/>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509</w:t>
            </w:r>
          </w:p>
        </w:tc>
        <w:tc>
          <w:tcPr>
            <w:tcW w:w="140" w:type="dxa"/>
            <w:vAlign w:val="bottom"/>
            <w:vMerge w:val="restart"/>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61"/>
        </w:trPr>
        <w:tc>
          <w:tcPr>
            <w:tcW w:w="19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Digital Marketing</w:t>
            </w:r>
          </w:p>
        </w:tc>
        <w:tc>
          <w:tcPr>
            <w:tcW w:w="204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040" w:type="dxa"/>
            <w:vAlign w:val="bottom"/>
            <w:shd w:val="clear" w:color="auto" w:fill="CFF0FC"/>
          </w:tcPr>
          <w:p>
            <w:pPr>
              <w:spacing w:after="0" w:line="20" w:lineRule="exact"/>
              <w:rPr>
                <w:sz w:val="1"/>
                <w:szCs w:val="1"/>
                <w:color w:val="auto"/>
              </w:rPr>
            </w:pPr>
          </w:p>
        </w:tc>
        <w:tc>
          <w:tcPr>
            <w:tcW w:w="25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490</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509</w:t>
            </w:r>
          </w:p>
        </w:tc>
        <w:tc>
          <w:tcPr>
            <w:tcW w:w="14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3"/>
                <w:szCs w:val="13"/>
                <w:color w:val="auto"/>
              </w:rPr>
              <w:t>0.5 %</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FF0FC"/>
          </w:tcPr>
          <w:p>
            <w:pPr>
              <w:spacing w:after="0"/>
              <w:rPr>
                <w:sz w:val="16"/>
                <w:szCs w:val="16"/>
                <w:color w:val="auto"/>
              </w:rPr>
            </w:pPr>
          </w:p>
        </w:tc>
        <w:tc>
          <w:tcPr>
            <w:tcW w:w="204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4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060" w:type="dxa"/>
            <w:vAlign w:val="bottom"/>
            <w:gridSpan w:val="2"/>
          </w:tcPr>
          <w:p>
            <w:pPr>
              <w:ind w:left="20"/>
              <w:spacing w:after="0"/>
              <w:rPr>
                <w:sz w:val="20"/>
                <w:szCs w:val="20"/>
                <w:color w:val="auto"/>
              </w:rPr>
            </w:pPr>
            <w:r>
              <w:rPr>
                <w:rFonts w:ascii="Arial" w:cs="Arial" w:eastAsia="Arial" w:hAnsi="Arial"/>
                <w:sz w:val="13"/>
                <w:szCs w:val="13"/>
                <w:b w:val="1"/>
                <w:bCs w:val="1"/>
                <w:color w:val="auto"/>
              </w:rPr>
              <w:t>Sub Total Affiliate investments - United States</w:t>
            </w:r>
          </w:p>
        </w:tc>
        <w:tc>
          <w:tcPr>
            <w:tcW w:w="2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63,325</w:t>
            </w:r>
          </w:p>
        </w:tc>
        <w:tc>
          <w:tcPr>
            <w:tcW w:w="6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76,979</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69.8 %</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Control Investments - 6.2%</w:t>
            </w: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86"/>
              </w:rPr>
              <w:t>Control investments - United States</w:t>
            </w:r>
          </w:p>
        </w:tc>
        <w:tc>
          <w:tcPr>
            <w:tcW w:w="112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Vology, Inc.</w:t>
            </w:r>
          </w:p>
        </w:tc>
        <w:tc>
          <w:tcPr>
            <w:tcW w:w="1120" w:type="dxa"/>
            <w:vAlign w:val="bottom"/>
          </w:tcPr>
          <w:p>
            <w:pPr>
              <w:spacing w:after="0"/>
              <w:rPr>
                <w:sz w:val="20"/>
                <w:szCs w:val="20"/>
                <w:color w:val="auto"/>
              </w:rPr>
            </w:pPr>
            <w:r>
              <w:rPr>
                <w:rFonts w:ascii="Arial" w:cs="Arial" w:eastAsia="Arial" w:hAnsi="Arial"/>
                <w:sz w:val="13"/>
                <w:szCs w:val="13"/>
                <w:color w:val="auto"/>
              </w:rPr>
              <w:t>Information</w:t>
            </w:r>
          </w:p>
        </w:tc>
        <w:tc>
          <w:tcPr>
            <w:tcW w:w="2040" w:type="dxa"/>
            <w:vAlign w:val="bottom"/>
          </w:tcPr>
          <w:p>
            <w:pPr>
              <w:ind w:left="100"/>
              <w:spacing w:after="0"/>
              <w:rPr>
                <w:sz w:val="20"/>
                <w:szCs w:val="20"/>
                <w:color w:val="auto"/>
              </w:rPr>
            </w:pPr>
            <w:r>
              <w:rPr>
                <w:rFonts w:ascii="Arial" w:cs="Arial" w:eastAsia="Arial" w:hAnsi="Arial"/>
                <w:sz w:val="13"/>
                <w:szCs w:val="13"/>
                <w:color w:val="auto"/>
              </w:rPr>
              <w:t>First Lien Debt (10.5% Cash (1</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11/25/2019</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Technology</w:t>
            </w:r>
          </w:p>
        </w:tc>
        <w:tc>
          <w:tcPr>
            <w:tcW w:w="2040" w:type="dxa"/>
            <w:vAlign w:val="bottom"/>
          </w:tcPr>
          <w:p>
            <w:pPr>
              <w:ind w:left="100"/>
              <w:spacing w:after="0"/>
              <w:rPr>
                <w:sz w:val="20"/>
                <w:szCs w:val="20"/>
                <w:color w:val="auto"/>
              </w:rPr>
            </w:pPr>
            <w:r>
              <w:rPr>
                <w:rFonts w:ascii="Arial" w:cs="Arial" w:eastAsia="Arial" w:hAnsi="Arial"/>
                <w:sz w:val="13"/>
                <w:szCs w:val="13"/>
                <w:color w:val="auto"/>
                <w:w w:val="95"/>
              </w:rPr>
              <w:t>month LIBOR + 8.5%, 2.0% Floor),</w:t>
            </w: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40" w:type="dxa"/>
            <w:vAlign w:val="bottom"/>
          </w:tcPr>
          <w:p>
            <w:pPr>
              <w:ind w:left="100"/>
              <w:spacing w:after="0"/>
              <w:rPr>
                <w:sz w:val="20"/>
                <w:szCs w:val="20"/>
                <w:color w:val="auto"/>
              </w:rPr>
            </w:pPr>
            <w:r>
              <w:rPr>
                <w:rFonts w:ascii="Arial" w:cs="Arial" w:eastAsia="Arial" w:hAnsi="Arial"/>
                <w:sz w:val="13"/>
                <w:szCs w:val="13"/>
                <w:color w:val="auto"/>
              </w:rPr>
              <w:t>Due 12/31/21)</w:t>
            </w:r>
          </w:p>
        </w:tc>
        <w:tc>
          <w:tcPr>
            <w:tcW w:w="2580" w:type="dxa"/>
            <w:vAlign w:val="bottom"/>
          </w:tcPr>
          <w:p>
            <w:pPr>
              <w:jc w:val="right"/>
              <w:ind w:right="197"/>
              <w:spacing w:after="0"/>
              <w:rPr>
                <w:sz w:val="20"/>
                <w:szCs w:val="20"/>
                <w:color w:val="auto"/>
              </w:rPr>
            </w:pPr>
            <w:r>
              <w:rPr>
                <w:rFonts w:ascii="Arial" w:cs="Arial" w:eastAsia="Arial" w:hAnsi="Arial"/>
                <w:sz w:val="13"/>
                <w:szCs w:val="13"/>
                <w:color w:val="auto"/>
              </w:rPr>
              <w:t>3,586</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3,586</w:t>
            </w:r>
          </w:p>
        </w:tc>
        <w:tc>
          <w:tcPr>
            <w:tcW w:w="620" w:type="dxa"/>
            <w:vAlign w:val="bottom"/>
            <w:gridSpan w:val="2"/>
          </w:tcPr>
          <w:p>
            <w:pPr>
              <w:jc w:val="right"/>
              <w:ind w:right="21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3,565</w:t>
            </w:r>
          </w:p>
        </w:tc>
        <w:tc>
          <w:tcPr>
            <w:tcW w:w="1220" w:type="dxa"/>
            <w:vAlign w:val="bottom"/>
            <w:gridSpan w:val="3"/>
          </w:tcPr>
          <w:p>
            <w:pPr>
              <w:jc w:val="right"/>
              <w:ind w:right="20"/>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Vology, Inc.</w:t>
            </w: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Information</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w w:val="95"/>
              </w:rPr>
              <w:t>Class A Preferred Units (9,041,810</w:t>
            </w:r>
          </w:p>
        </w:tc>
        <w:tc>
          <w:tcPr>
            <w:tcW w:w="2580" w:type="dxa"/>
            <w:vAlign w:val="bottom"/>
            <w:shd w:val="clear" w:color="auto" w:fill="CFF0FC"/>
          </w:tcPr>
          <w:p>
            <w:pPr>
              <w:jc w:val="right"/>
              <w:ind w:right="1357"/>
              <w:spacing w:after="0"/>
              <w:rPr>
                <w:sz w:val="20"/>
                <w:szCs w:val="20"/>
                <w:color w:val="auto"/>
              </w:rPr>
            </w:pPr>
            <w:r>
              <w:rPr>
                <w:rFonts w:ascii="Arial" w:cs="Arial" w:eastAsia="Arial" w:hAnsi="Arial"/>
                <w:sz w:val="13"/>
                <w:szCs w:val="13"/>
                <w:color w:val="auto"/>
              </w:rPr>
              <w:t>11/25/2019</w:t>
            </w: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20"/>
                <w:szCs w:val="20"/>
                <w:color w:val="auto"/>
              </w:rPr>
            </w:pPr>
            <w:r>
              <w:rPr>
                <w:rFonts w:ascii="Arial" w:cs="Arial" w:eastAsia="Arial" w:hAnsi="Arial"/>
                <w:sz w:val="13"/>
                <w:szCs w:val="13"/>
                <w:color w:val="auto"/>
              </w:rPr>
              <w:t>Technology</w:t>
            </w:r>
          </w:p>
        </w:tc>
        <w:tc>
          <w:tcPr>
            <w:tcW w:w="2040" w:type="dxa"/>
            <w:vAlign w:val="bottom"/>
            <w:shd w:val="clear" w:color="auto" w:fill="CFF0FC"/>
          </w:tcPr>
          <w:p>
            <w:pPr>
              <w:ind w:left="100"/>
              <w:spacing w:after="0"/>
              <w:rPr>
                <w:sz w:val="20"/>
                <w:szCs w:val="20"/>
                <w:color w:val="auto"/>
              </w:rPr>
            </w:pPr>
            <w:r>
              <w:rPr>
                <w:rFonts w:ascii="Arial" w:cs="Arial" w:eastAsia="Arial" w:hAnsi="Arial"/>
                <w:sz w:val="13"/>
                <w:szCs w:val="13"/>
                <w:color w:val="auto"/>
              </w:rPr>
              <w:t>Units)</w:t>
            </w: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5,215</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3,288</w:t>
            </w:r>
          </w:p>
        </w:tc>
        <w:tc>
          <w:tcPr>
            <w:tcW w:w="1220" w:type="dxa"/>
            <w:vAlign w:val="bottom"/>
            <w:gridSpan w:val="3"/>
            <w:shd w:val="clear" w:color="auto" w:fill="CFF0FC"/>
          </w:tcPr>
          <w:p>
            <w:pPr>
              <w:jc w:val="right"/>
              <w:ind w:right="20"/>
              <w:spacing w:after="0"/>
              <w:rPr>
                <w:sz w:val="20"/>
                <w:szCs w:val="20"/>
                <w:color w:val="auto"/>
              </w:rPr>
            </w:pPr>
            <w:r>
              <w:rPr>
                <w:rFonts w:ascii="Arial" w:cs="Arial" w:eastAsia="Arial" w:hAnsi="Arial"/>
                <w:sz w:val="13"/>
                <w:szCs w:val="13"/>
                <w:color w:val="auto"/>
              </w:rPr>
              <w:t>3.0 %</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Vology, Inc.</w:t>
            </w:r>
          </w:p>
        </w:tc>
        <w:tc>
          <w:tcPr>
            <w:tcW w:w="1120" w:type="dxa"/>
            <w:vAlign w:val="bottom"/>
          </w:tcPr>
          <w:p>
            <w:pPr>
              <w:spacing w:after="0"/>
              <w:rPr>
                <w:sz w:val="20"/>
                <w:szCs w:val="20"/>
                <w:color w:val="auto"/>
              </w:rPr>
            </w:pPr>
            <w:r>
              <w:rPr>
                <w:rFonts w:ascii="Arial" w:cs="Arial" w:eastAsia="Arial" w:hAnsi="Arial"/>
                <w:sz w:val="13"/>
                <w:szCs w:val="13"/>
                <w:color w:val="auto"/>
              </w:rPr>
              <w:t>Information</w:t>
            </w:r>
          </w:p>
        </w:tc>
        <w:tc>
          <w:tcPr>
            <w:tcW w:w="2040" w:type="dxa"/>
            <w:vAlign w:val="bottom"/>
          </w:tcPr>
          <w:p>
            <w:pPr>
              <w:ind w:left="100"/>
              <w:spacing w:after="0"/>
              <w:rPr>
                <w:sz w:val="20"/>
                <w:szCs w:val="20"/>
                <w:color w:val="auto"/>
              </w:rPr>
            </w:pPr>
            <w:r>
              <w:rPr>
                <w:rFonts w:ascii="Arial" w:cs="Arial" w:eastAsia="Arial" w:hAnsi="Arial"/>
                <w:sz w:val="13"/>
                <w:szCs w:val="13"/>
                <w:color w:val="auto"/>
                <w:w w:val="92"/>
              </w:rPr>
              <w:t>Membership Units (5,363,982 Units)</w:t>
            </w:r>
          </w:p>
        </w:tc>
        <w:tc>
          <w:tcPr>
            <w:tcW w:w="2580" w:type="dxa"/>
            <w:vAlign w:val="bottom"/>
          </w:tcPr>
          <w:p>
            <w:pPr>
              <w:jc w:val="right"/>
              <w:ind w:right="1357"/>
              <w:spacing w:after="0"/>
              <w:rPr>
                <w:sz w:val="20"/>
                <w:szCs w:val="20"/>
                <w:color w:val="auto"/>
              </w:rPr>
            </w:pPr>
            <w:r>
              <w:rPr>
                <w:rFonts w:ascii="Arial" w:cs="Arial" w:eastAsia="Arial" w:hAnsi="Arial"/>
                <w:sz w:val="13"/>
                <w:szCs w:val="13"/>
                <w:color w:val="auto"/>
              </w:rPr>
              <w:t>11/25/2019</w:t>
            </w:r>
          </w:p>
        </w:tc>
        <w:tc>
          <w:tcPr>
            <w:tcW w:w="34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spacing w:after="0"/>
              <w:rPr>
                <w:sz w:val="15"/>
                <w:szCs w:val="15"/>
                <w:color w:val="auto"/>
              </w:rPr>
            </w:pPr>
          </w:p>
        </w:tc>
        <w:tc>
          <w:tcPr>
            <w:tcW w:w="108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0.0 %</w:t>
            </w:r>
          </w:p>
        </w:tc>
        <w:tc>
          <w:tcPr>
            <w:tcW w:w="0" w:type="dxa"/>
            <w:vAlign w:val="bottom"/>
          </w:tcPr>
          <w:p>
            <w:pPr>
              <w:spacing w:after="0"/>
              <w:rPr>
                <w:sz w:val="1"/>
                <w:szCs w:val="1"/>
                <w:color w:val="auto"/>
              </w:rPr>
            </w:pPr>
          </w:p>
        </w:tc>
      </w:tr>
      <w:tr>
        <w:trPr>
          <w:trHeight w:val="163"/>
        </w:trPr>
        <w:tc>
          <w:tcPr>
            <w:tcW w:w="19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Technology</w:t>
            </w:r>
          </w:p>
        </w:tc>
        <w:tc>
          <w:tcPr>
            <w:tcW w:w="20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9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0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8,801</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6,853</w:t>
            </w:r>
          </w:p>
        </w:tc>
        <w:tc>
          <w:tcPr>
            <w:tcW w:w="14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181"/>
        </w:trPr>
        <w:tc>
          <w:tcPr>
            <w:tcW w:w="1940" w:type="dxa"/>
            <w:vAlign w:val="bottom"/>
            <w:tcBorders>
              <w:top w:val="single" w:sz="8" w:color="CFF0FC"/>
            </w:tcBorders>
          </w:tcPr>
          <w:p>
            <w:pPr>
              <w:spacing w:after="0"/>
              <w:rPr>
                <w:sz w:val="15"/>
                <w:szCs w:val="15"/>
                <w:color w:val="auto"/>
              </w:rPr>
            </w:pPr>
          </w:p>
        </w:tc>
        <w:tc>
          <w:tcPr>
            <w:tcW w:w="1120" w:type="dxa"/>
            <w:vAlign w:val="bottom"/>
            <w:tcBorders>
              <w:top w:val="single" w:sz="8" w:color="CFF0FC"/>
            </w:tcBorders>
          </w:tcPr>
          <w:p>
            <w:pPr>
              <w:spacing w:after="0"/>
              <w:rPr>
                <w:sz w:val="15"/>
                <w:szCs w:val="15"/>
                <w:color w:val="auto"/>
              </w:rPr>
            </w:pPr>
          </w:p>
        </w:tc>
        <w:tc>
          <w:tcPr>
            <w:tcW w:w="2040" w:type="dxa"/>
            <w:vAlign w:val="bottom"/>
            <w:tcBorders>
              <w:top w:val="single" w:sz="8" w:color="CFF0FC"/>
            </w:tcBorders>
          </w:tcPr>
          <w:p>
            <w:pPr>
              <w:spacing w:after="0"/>
              <w:rPr>
                <w:sz w:val="15"/>
                <w:szCs w:val="15"/>
                <w:color w:val="auto"/>
              </w:rPr>
            </w:pPr>
          </w:p>
        </w:tc>
        <w:tc>
          <w:tcPr>
            <w:tcW w:w="2580" w:type="dxa"/>
            <w:vAlign w:val="bottom"/>
            <w:tcBorders>
              <w:top w:val="single" w:sz="8" w:color="CFF0FC"/>
            </w:tcBorders>
          </w:tcPr>
          <w:p>
            <w:pPr>
              <w:jc w:val="right"/>
              <w:ind w:right="241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06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Sub Total Control investments - United States</w:t>
            </w:r>
          </w:p>
        </w:tc>
        <w:tc>
          <w:tcPr>
            <w:tcW w:w="2040" w:type="dxa"/>
            <w:vAlign w:val="bottom"/>
            <w:shd w:val="clear" w:color="auto" w:fill="CFF0FC"/>
          </w:tcPr>
          <w:p>
            <w:pPr>
              <w:spacing w:after="0"/>
              <w:rPr>
                <w:sz w:val="20"/>
                <w:szCs w:val="20"/>
                <w:color w:val="auto"/>
              </w:rPr>
            </w:pPr>
          </w:p>
        </w:tc>
        <w:tc>
          <w:tcPr>
            <w:tcW w:w="258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8,801</w:t>
            </w:r>
          </w:p>
        </w:tc>
        <w:tc>
          <w:tcPr>
            <w:tcW w:w="26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21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6,853</w:t>
            </w:r>
          </w:p>
        </w:tc>
        <w:tc>
          <w:tcPr>
            <w:tcW w:w="14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6.2 %</w:t>
            </w:r>
          </w:p>
        </w:tc>
        <w:tc>
          <w:tcPr>
            <w:tcW w:w="0" w:type="dxa"/>
            <w:vAlign w:val="bottom"/>
          </w:tcPr>
          <w:p>
            <w:pPr>
              <w:spacing w:after="0"/>
              <w:rPr>
                <w:sz w:val="1"/>
                <w:szCs w:val="1"/>
                <w:color w:val="auto"/>
              </w:rPr>
            </w:pPr>
          </w:p>
        </w:tc>
      </w:tr>
      <w:tr>
        <w:trPr>
          <w:trHeight w:val="176"/>
        </w:trPr>
        <w:tc>
          <w:tcPr>
            <w:tcW w:w="1940" w:type="dxa"/>
            <w:vAlign w:val="bottom"/>
            <w:tcBorders>
              <w:top w:val="single" w:sz="8" w:color="CFF0FC"/>
            </w:tcBorders>
          </w:tcPr>
          <w:p>
            <w:pPr>
              <w:spacing w:after="0"/>
              <w:rPr>
                <w:sz w:val="15"/>
                <w:szCs w:val="15"/>
                <w:color w:val="auto"/>
              </w:rPr>
            </w:pPr>
          </w:p>
        </w:tc>
        <w:tc>
          <w:tcPr>
            <w:tcW w:w="1120" w:type="dxa"/>
            <w:vAlign w:val="bottom"/>
            <w:tcBorders>
              <w:top w:val="single" w:sz="8" w:color="CFF0FC"/>
            </w:tcBorders>
          </w:tcPr>
          <w:p>
            <w:pPr>
              <w:spacing w:after="0"/>
              <w:rPr>
                <w:sz w:val="15"/>
                <w:szCs w:val="15"/>
                <w:color w:val="auto"/>
              </w:rPr>
            </w:pPr>
          </w:p>
        </w:tc>
        <w:tc>
          <w:tcPr>
            <w:tcW w:w="2040" w:type="dxa"/>
            <w:vAlign w:val="bottom"/>
            <w:tcBorders>
              <w:top w:val="single" w:sz="8" w:color="CFF0FC"/>
            </w:tcBorders>
          </w:tcPr>
          <w:p>
            <w:pPr>
              <w:spacing w:after="0"/>
              <w:rPr>
                <w:sz w:val="15"/>
                <w:szCs w:val="15"/>
                <w:color w:val="auto"/>
              </w:rPr>
            </w:pPr>
          </w:p>
        </w:tc>
        <w:tc>
          <w:tcPr>
            <w:tcW w:w="2580" w:type="dxa"/>
            <w:vAlign w:val="bottom"/>
            <w:tcBorders>
              <w:top w:val="single" w:sz="8" w:color="CFF0FC"/>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INVESTMENTS - 177%</w:t>
            </w:r>
          </w:p>
        </w:tc>
        <w:tc>
          <w:tcPr>
            <w:tcW w:w="1120" w:type="dxa"/>
            <w:vAlign w:val="bottom"/>
            <w:shd w:val="clear" w:color="auto" w:fill="CFF0FC"/>
          </w:tcPr>
          <w:p>
            <w:pPr>
              <w:spacing w:after="0"/>
              <w:rPr>
                <w:sz w:val="17"/>
                <w:szCs w:val="17"/>
                <w:color w:val="auto"/>
              </w:rPr>
            </w:pPr>
          </w:p>
        </w:tc>
        <w:tc>
          <w:tcPr>
            <w:tcW w:w="2040" w:type="dxa"/>
            <w:vAlign w:val="bottom"/>
            <w:shd w:val="clear" w:color="auto" w:fill="CFF0FC"/>
          </w:tcPr>
          <w:p>
            <w:pPr>
              <w:spacing w:after="0"/>
              <w:rPr>
                <w:sz w:val="17"/>
                <w:szCs w:val="17"/>
                <w:color w:val="auto"/>
              </w:rPr>
            </w:pPr>
          </w:p>
        </w:tc>
        <w:tc>
          <w:tcPr>
            <w:tcW w:w="25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194,306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217"/>
              <w:spacing w:after="0"/>
              <w:rPr>
                <w:sz w:val="20"/>
                <w:szCs w:val="20"/>
                <w:color w:val="auto"/>
              </w:rPr>
            </w:pPr>
            <w:r>
              <w:rPr>
                <w:rFonts w:ascii="Arial" w:cs="Arial" w:eastAsia="Arial" w:hAnsi="Arial"/>
                <w:sz w:val="13"/>
                <w:szCs w:val="13"/>
                <w:b w:val="1"/>
                <w:bCs w:val="1"/>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195,385</w:t>
            </w:r>
          </w:p>
        </w:tc>
        <w:tc>
          <w:tcPr>
            <w:tcW w:w="1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3"/>
                <w:szCs w:val="13"/>
                <w:b w:val="1"/>
                <w:bCs w:val="1"/>
                <w:color w:val="auto"/>
              </w:rPr>
              <w:t>177.0 %</w:t>
            </w:r>
          </w:p>
        </w:tc>
        <w:tc>
          <w:tcPr>
            <w:tcW w:w="0" w:type="dxa"/>
            <w:vAlign w:val="bottom"/>
          </w:tcPr>
          <w:p>
            <w:pPr>
              <w:spacing w:after="0"/>
              <w:rPr>
                <w:sz w:val="1"/>
                <w:szCs w:val="1"/>
                <w:color w:val="auto"/>
              </w:rPr>
            </w:pPr>
          </w:p>
        </w:tc>
      </w:tr>
      <w:tr>
        <w:trPr>
          <w:trHeight w:val="20"/>
        </w:trPr>
        <w:tc>
          <w:tcPr>
            <w:tcW w:w="19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CFF0FC"/>
            </w:tcBorders>
            <w:shd w:val="clear" w:color="auto" w:fill="CFF0FC"/>
          </w:tcPr>
          <w:p>
            <w:pPr>
              <w:spacing w:after="0" w:line="20" w:lineRule="exact"/>
              <w:rPr>
                <w:sz w:val="1"/>
                <w:szCs w:val="1"/>
                <w:color w:val="auto"/>
              </w:rPr>
            </w:pPr>
          </w:p>
        </w:tc>
        <w:tc>
          <w:tcPr>
            <w:tcW w:w="25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-5876925</wp:posOffset>
            </wp:positionV>
            <wp:extent cx="16256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-5876925</wp:posOffset>
            </wp:positionV>
            <wp:extent cx="8572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-5876925</wp:posOffset>
            </wp:positionV>
            <wp:extent cx="939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-4831080</wp:posOffset>
            </wp:positionV>
            <wp:extent cx="16256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-4831080</wp:posOffset>
            </wp:positionV>
            <wp:extent cx="857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-4831080</wp:posOffset>
            </wp:positionV>
            <wp:extent cx="939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-4582795</wp:posOffset>
            </wp:positionV>
            <wp:extent cx="1625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-4582795</wp:posOffset>
            </wp:positionV>
            <wp:extent cx="85725"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-4582795</wp:posOffset>
            </wp:positionV>
            <wp:extent cx="939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-3434080</wp:posOffset>
            </wp:positionV>
            <wp:extent cx="16256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-3434080</wp:posOffset>
            </wp:positionV>
            <wp:extent cx="85725"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-3434080</wp:posOffset>
            </wp:positionV>
            <wp:extent cx="939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-2533650</wp:posOffset>
            </wp:positionV>
            <wp:extent cx="16256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-2533650</wp:posOffset>
            </wp:positionV>
            <wp:extent cx="857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-2533650</wp:posOffset>
            </wp:positionV>
            <wp:extent cx="939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-2190750</wp:posOffset>
            </wp:positionV>
            <wp:extent cx="16256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-2190750</wp:posOffset>
            </wp:positionV>
            <wp:extent cx="8572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-2190750</wp:posOffset>
            </wp:positionV>
            <wp:extent cx="939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-536575</wp:posOffset>
            </wp:positionV>
            <wp:extent cx="16256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-536575</wp:posOffset>
            </wp:positionV>
            <wp:extent cx="8572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-536575</wp:posOffset>
            </wp:positionV>
            <wp:extent cx="9398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-290830</wp:posOffset>
            </wp:positionV>
            <wp:extent cx="1625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-273685</wp:posOffset>
            </wp:positionV>
            <wp:extent cx="1625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-290830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-273685</wp:posOffset>
            </wp:positionV>
            <wp:extent cx="857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-290830</wp:posOffset>
            </wp:positionV>
            <wp:extent cx="939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-273685</wp:posOffset>
            </wp:positionV>
            <wp:extent cx="939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-25400</wp:posOffset>
            </wp:positionV>
            <wp:extent cx="16256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-8255</wp:posOffset>
            </wp:positionV>
            <wp:extent cx="1625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857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8572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-25400</wp:posOffset>
            </wp:positionV>
            <wp:extent cx="939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-8255</wp:posOffset>
            </wp:positionV>
            <wp:extent cx="939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using unobservable inputs (Level 3), unless otherwise noted.</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investments valued by the Logan Ridge Finance Corporation's (the "Company") board of directors.</w:t>
      </w:r>
    </w:p>
    <w:p>
      <w:pPr>
        <w:spacing w:after="0" w:line="22" w:lineRule="exact"/>
        <w:rPr>
          <w:rFonts w:ascii="Arial" w:cs="Arial" w:eastAsia="Arial" w:hAnsi="Arial"/>
          <w:sz w:val="18"/>
          <w:szCs w:val="18"/>
          <w:color w:val="auto"/>
        </w:rPr>
      </w:pPr>
    </w:p>
    <w:p>
      <w:pPr>
        <w:ind w:left="440" w:hanging="432"/>
        <w:spacing w:after="0" w:line="266"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as of September 30, 2021.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1" w:right="339" w:bottom="1440" w:gutter="0" w:footer="0" w:header="0"/>
        </w:sectPr>
      </w:pPr>
    </w:p>
    <w:bookmarkStart w:id="10" w:name="page11"/>
    <w:bookmarkEnd w:id="10"/>
    <w:p>
      <w:pPr>
        <w:jc w:val="both"/>
        <w:ind w:left="432" w:hanging="432"/>
        <w:spacing w:after="0" w:line="266"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spacing w:after="0" w:line="1"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2" w:lineRule="exact"/>
        <w:rPr>
          <w:rFonts w:ascii="Arial" w:cs="Arial" w:eastAsia="Arial" w:hAnsi="Arial"/>
          <w:sz w:val="18"/>
          <w:szCs w:val="18"/>
          <w:color w:val="auto"/>
        </w:rPr>
      </w:pPr>
    </w:p>
    <w:p>
      <w:pPr>
        <w:ind w:left="432" w:hanging="432"/>
        <w:spacing w:after="0" w:line="266"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1.0% of interest rate payable in cash. 9.0% of interest rate payable in cash or paid-in-kind at borrower's election. The borrower is currently paying all interest in cash.</w:t>
      </w: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 of interest rate payable in cash or paid-in-kind at borrower's election.</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$4.0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investment has been exited or sold. The residual value reflects estimated earnout, escrow, or other proceeds expected post-closing.</w:t>
      </w:r>
    </w:p>
    <w:p>
      <w:pPr>
        <w:spacing w:after="0" w:line="34" w:lineRule="exact"/>
        <w:rPr>
          <w:rFonts w:ascii="Arial" w:cs="Arial" w:eastAsia="Arial" w:hAnsi="Arial"/>
          <w:sz w:val="17"/>
          <w:szCs w:val="17"/>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$5.0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$2.5 million unfunded commitment.</w:t>
      </w:r>
    </w:p>
    <w:p>
      <w:pPr>
        <w:spacing w:after="0" w:line="22" w:lineRule="exact"/>
        <w:rPr>
          <w:rFonts w:ascii="Arial" w:cs="Arial" w:eastAsia="Arial" w:hAnsi="Arial"/>
          <w:sz w:val="18"/>
          <w:szCs w:val="18"/>
          <w:color w:val="auto"/>
        </w:rPr>
      </w:pPr>
    </w:p>
    <w:p>
      <w:pPr>
        <w:ind w:left="432" w:hanging="432"/>
        <w:spacing w:after="0" w:line="266" w:lineRule="auto"/>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is valued using observable inputs (Level 1). The stock of the company is traded on the NASDAQ Capital Market under the ticker "USWS."</w:t>
      </w: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$7.0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$0.1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units/shares)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40" w:type="dxa"/>
            <w:vAlign w:val="bottom"/>
          </w:tcPr>
          <w:p>
            <w:pPr>
              <w:ind w:left="60"/>
              <w:spacing w:after="0"/>
              <w:rPr>
                <w:sz w:val="20"/>
                <w:szCs w:val="20"/>
                <w:color w:val="auto"/>
              </w:rPr>
            </w:pPr>
            <w:r>
              <w:rPr>
                <w:rFonts w:ascii="Arial" w:cs="Arial" w:eastAsia="Arial" w:hAnsi="Arial"/>
                <w:sz w:val="13"/>
                <w:szCs w:val="13"/>
                <w:b w:val="1"/>
                <w:bCs w:val="1"/>
                <w:color w:val="auto"/>
                <w:w w:val="87"/>
              </w:rPr>
              <w:t xml:space="preserve">Portfolio Company, Country </w:t>
            </w:r>
            <w:r>
              <w:rPr>
                <w:rFonts w:ascii="Arial" w:cs="Arial" w:eastAsia="Arial" w:hAnsi="Arial"/>
                <w:sz w:val="16"/>
                <w:szCs w:val="16"/>
                <w:b w:val="1"/>
                <w:bCs w:val="1"/>
                <w:color w:val="auto"/>
                <w:w w:val="87"/>
                <w:vertAlign w:val="superscript"/>
              </w:rPr>
              <w:t>(1), (2),</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357"/>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07"/>
        </w:trPr>
        <w:tc>
          <w:tcPr>
            <w:tcW w:w="1940" w:type="dxa"/>
            <w:vAlign w:val="bottom"/>
          </w:tcPr>
          <w:p>
            <w:pPr>
              <w:ind w:left="780"/>
              <w:spacing w:after="0"/>
              <w:rPr>
                <w:sz w:val="20"/>
                <w:szCs w:val="20"/>
                <w:color w:val="auto"/>
              </w:rPr>
            </w:pPr>
            <w:r>
              <w:rPr>
                <w:rFonts w:ascii="Arial" w:cs="Arial" w:eastAsia="Arial" w:hAnsi="Arial"/>
                <w:sz w:val="8"/>
                <w:szCs w:val="8"/>
                <w:b w:val="1"/>
                <w:bCs w:val="1"/>
                <w:color w:val="auto"/>
              </w:rPr>
              <w:t>(3), (4), (5)</w:t>
            </w:r>
          </w:p>
        </w:tc>
        <w:tc>
          <w:tcPr>
            <w:tcW w:w="1160" w:type="dxa"/>
            <w:vAlign w:val="bottom"/>
            <w:vMerge w:val="restart"/>
          </w:tcPr>
          <w:p>
            <w:pPr>
              <w:ind w:left="360"/>
              <w:spacing w:after="0"/>
              <w:rPr>
                <w:sz w:val="20"/>
                <w:szCs w:val="20"/>
                <w:color w:val="auto"/>
              </w:rPr>
            </w:pPr>
            <w:r>
              <w:rPr>
                <w:rFonts w:ascii="Arial" w:cs="Arial" w:eastAsia="Arial" w:hAnsi="Arial"/>
                <w:sz w:val="13"/>
                <w:szCs w:val="13"/>
                <w:b w:val="1"/>
                <w:bCs w:val="1"/>
                <w:color w:val="auto"/>
              </w:rPr>
              <w:t>Industry</w:t>
            </w:r>
          </w:p>
        </w:tc>
        <w:tc>
          <w:tcPr>
            <w:tcW w:w="100" w:type="dxa"/>
            <w:vAlign w:val="bottom"/>
          </w:tcPr>
          <w:p>
            <w:pPr>
              <w:spacing w:after="0"/>
              <w:rPr>
                <w:sz w:val="9"/>
                <w:szCs w:val="9"/>
                <w:color w:val="auto"/>
              </w:rPr>
            </w:pPr>
          </w:p>
        </w:tc>
        <w:tc>
          <w:tcPr>
            <w:tcW w:w="196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Type of Investment</w:t>
            </w:r>
          </w:p>
        </w:tc>
        <w:tc>
          <w:tcPr>
            <w:tcW w:w="80" w:type="dxa"/>
            <w:vAlign w:val="bottom"/>
          </w:tcPr>
          <w:p>
            <w:pPr>
              <w:spacing w:after="0"/>
              <w:rPr>
                <w:sz w:val="9"/>
                <w:szCs w:val="9"/>
                <w:color w:val="auto"/>
              </w:rPr>
            </w:pPr>
          </w:p>
        </w:tc>
        <w:tc>
          <w:tcPr>
            <w:tcW w:w="11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w w:val="97"/>
              </w:rPr>
              <w:t>Acquisition Date</w:t>
            </w:r>
          </w:p>
        </w:tc>
        <w:tc>
          <w:tcPr>
            <w:tcW w:w="100" w:type="dxa"/>
            <w:vAlign w:val="bottom"/>
          </w:tcPr>
          <w:p>
            <w:pPr>
              <w:spacing w:after="0"/>
              <w:rPr>
                <w:sz w:val="9"/>
                <w:szCs w:val="9"/>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w w:val="96"/>
              </w:rPr>
              <w:t>Principal Amount</w:t>
            </w:r>
          </w:p>
        </w:tc>
        <w:tc>
          <w:tcPr>
            <w:tcW w:w="80" w:type="dxa"/>
            <w:vAlign w:val="bottom"/>
          </w:tcPr>
          <w:p>
            <w:pPr>
              <w:spacing w:after="0"/>
              <w:rPr>
                <w:sz w:val="9"/>
                <w:szCs w:val="9"/>
                <w:color w:val="auto"/>
              </w:rPr>
            </w:pPr>
          </w:p>
        </w:tc>
        <w:tc>
          <w:tcPr>
            <w:tcW w:w="1120" w:type="dxa"/>
            <w:vAlign w:val="bottom"/>
            <w:vMerge w:val="restart"/>
          </w:tcPr>
          <w:p>
            <w:pPr>
              <w:jc w:val="right"/>
              <w:ind w:right="377"/>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9"/>
                <w:szCs w:val="9"/>
                <w:color w:val="auto"/>
              </w:rPr>
            </w:pPr>
          </w:p>
        </w:tc>
        <w:tc>
          <w:tcPr>
            <w:tcW w:w="112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9"/>
                <w:szCs w:val="9"/>
                <w:color w:val="auto"/>
              </w:rPr>
            </w:pPr>
          </w:p>
        </w:tc>
        <w:tc>
          <w:tcPr>
            <w:tcW w:w="112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Net Assets</w:t>
            </w:r>
          </w:p>
        </w:tc>
        <w:tc>
          <w:tcPr>
            <w:tcW w:w="0" w:type="dxa"/>
            <w:vAlign w:val="bottom"/>
          </w:tcPr>
          <w:p>
            <w:pPr>
              <w:spacing w:after="0"/>
              <w:rPr>
                <w:sz w:val="1"/>
                <w:szCs w:val="1"/>
                <w:color w:val="auto"/>
              </w:rPr>
            </w:pPr>
          </w:p>
        </w:tc>
      </w:tr>
      <w:tr>
        <w:trPr>
          <w:trHeight w:val="55"/>
        </w:trPr>
        <w:tc>
          <w:tcPr>
            <w:tcW w:w="19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96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80" w:type="dxa"/>
            <w:vAlign w:val="bottom"/>
          </w:tcPr>
          <w:p>
            <w:pPr>
              <w:spacing w:after="0"/>
              <w:rPr>
                <w:sz w:val="4"/>
                <w:szCs w:val="4"/>
                <w:color w:val="auto"/>
              </w:rPr>
            </w:pPr>
          </w:p>
        </w:tc>
        <w:tc>
          <w:tcPr>
            <w:tcW w:w="112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310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Non-control/non-affiliated investments - 158.7%</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100" w:type="dxa"/>
            <w:vAlign w:val="bottom"/>
            <w:gridSpan w:val="2"/>
          </w:tcPr>
          <w:p>
            <w:pPr>
              <w:ind w:left="20"/>
              <w:spacing w:after="0"/>
              <w:rPr>
                <w:sz w:val="20"/>
                <w:szCs w:val="20"/>
                <w:color w:val="auto"/>
              </w:rPr>
            </w:pPr>
            <w:r>
              <w:rPr>
                <w:rFonts w:ascii="Arial" w:cs="Arial" w:eastAsia="Arial" w:hAnsi="Arial"/>
                <w:sz w:val="13"/>
                <w:szCs w:val="13"/>
                <w:b w:val="1"/>
                <w:bCs w:val="1"/>
                <w:color w:val="auto"/>
                <w:w w:val="91"/>
              </w:rPr>
              <w:t>Non-control/non-affiliated investments - United States</w:t>
            </w: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3 Bridge Solutions,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IT Consulting</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9"/>
              </w:rPr>
              <w:t>First Lien Debt (13.0% Cash, Due</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12/4/2017</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12/4/22)</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$12,083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$12,083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$12,083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w:t>
            </w:r>
          </w:p>
        </w:tc>
        <w:tc>
          <w:tcPr>
            <w:tcW w:w="0" w:type="dxa"/>
            <w:vAlign w:val="bottom"/>
          </w:tcPr>
          <w:p>
            <w:pPr>
              <w:spacing w:after="0"/>
              <w:rPr>
                <w:sz w:val="1"/>
                <w:szCs w:val="1"/>
                <w:color w:val="auto"/>
              </w:rPr>
            </w:pPr>
          </w:p>
        </w:tc>
      </w:tr>
      <w:tr>
        <w:trPr>
          <w:trHeight w:val="181"/>
        </w:trPr>
        <w:tc>
          <w:tcPr>
            <w:tcW w:w="1940" w:type="dxa"/>
            <w:vAlign w:val="bottom"/>
          </w:tcPr>
          <w:p>
            <w:pPr>
              <w:ind w:left="20"/>
              <w:spacing w:after="0"/>
              <w:rPr>
                <w:sz w:val="20"/>
                <w:szCs w:val="20"/>
                <w:color w:val="auto"/>
              </w:rPr>
            </w:pPr>
            <w:r>
              <w:rPr>
                <w:rFonts w:ascii="Arial" w:cs="Arial" w:eastAsia="Arial" w:hAnsi="Arial"/>
                <w:sz w:val="13"/>
                <w:szCs w:val="13"/>
                <w:color w:val="auto"/>
              </w:rPr>
              <w:t>3 Bridge Solutions, LLC</w:t>
            </w:r>
          </w:p>
        </w:tc>
        <w:tc>
          <w:tcPr>
            <w:tcW w:w="1160" w:type="dxa"/>
            <w:vAlign w:val="bottom"/>
          </w:tcPr>
          <w:p>
            <w:pPr>
              <w:ind w:left="40"/>
              <w:spacing w:after="0"/>
              <w:rPr>
                <w:sz w:val="20"/>
                <w:szCs w:val="20"/>
                <w:color w:val="auto"/>
              </w:rPr>
            </w:pPr>
            <w:r>
              <w:rPr>
                <w:rFonts w:ascii="Arial" w:cs="Arial" w:eastAsia="Arial" w:hAnsi="Arial"/>
                <w:sz w:val="13"/>
                <w:szCs w:val="13"/>
                <w:color w:val="auto"/>
              </w:rPr>
              <w:t>IT Consulting</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Preferred Units (965 units)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12/4/2017</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1,090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1,116</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3 Bridge Solutions,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IT Consulting</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Membership Units (39,000 units)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12/4/2017</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13,183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13,199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First Lien Debt (8.0% Cash, Due</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6/25/2020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20"/>
              <w:spacing w:after="0"/>
              <w:rPr>
                <w:sz w:val="20"/>
                <w:szCs w:val="20"/>
                <w:color w:val="auto"/>
              </w:rPr>
            </w:pPr>
            <w:r>
              <w:rPr>
                <w:rFonts w:ascii="Arial" w:cs="Arial" w:eastAsia="Arial" w:hAnsi="Arial"/>
                <w:sz w:val="13"/>
                <w:szCs w:val="13"/>
                <w:color w:val="auto"/>
              </w:rPr>
              <w:t>LLC</w:t>
            </w:r>
          </w:p>
        </w:tc>
        <w:tc>
          <w:tcPr>
            <w:tcW w:w="116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12/18/22)</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7,119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7,119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7,119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Series A Preferred Units (13,275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1,275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1,327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Series B Preferred Units (46,160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6/25/2020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20"/>
              <w:spacing w:after="0"/>
              <w:rPr>
                <w:sz w:val="20"/>
                <w:szCs w:val="20"/>
                <w:color w:val="auto"/>
              </w:rPr>
            </w:pPr>
            <w:r>
              <w:rPr>
                <w:rFonts w:ascii="Arial" w:cs="Arial" w:eastAsia="Arial" w:hAnsi="Arial"/>
                <w:sz w:val="13"/>
                <w:szCs w:val="13"/>
                <w:color w:val="auto"/>
              </w:rPr>
              <w:t>LLC</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units)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3,943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2,898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Series C Preferred Units (78,900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units)</w:t>
            </w: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Membership Units (20,092 units)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12/18/2017</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ind w:left="20"/>
              <w:spacing w:after="0"/>
              <w:rPr>
                <w:sz w:val="20"/>
                <w:szCs w:val="20"/>
                <w:color w:val="auto"/>
              </w:rPr>
            </w:pPr>
            <w:r>
              <w:rPr>
                <w:rFonts w:ascii="Arial" w:cs="Arial" w:eastAsia="Arial" w:hAnsi="Arial"/>
                <w:sz w:val="13"/>
                <w:szCs w:val="13"/>
                <w:color w:val="auto"/>
              </w:rPr>
              <w:t>LLC</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800</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1"/>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Alternative Biomedical Solutions,</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5"/>
              </w:rPr>
              <w:t>Membership Unit Warrants (49,295</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6/25/2020</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units)</w:t>
            </w: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13,137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11,344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American Clinical Solutions, LLC</w:t>
            </w:r>
          </w:p>
        </w:tc>
        <w:tc>
          <w:tcPr>
            <w:tcW w:w="116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First Lien Debt (7.0% Cash, Due</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12/31/2019</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12/31/22)</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3,500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3,500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3,474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70"/>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American Clinical Solutions,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shd w:val="clear" w:color="auto" w:fill="CFF0FC"/>
          </w:tcPr>
          <w:p>
            <w:pPr>
              <w:spacing w:after="0"/>
              <w:rPr>
                <w:sz w:val="14"/>
                <w:szCs w:val="14"/>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First Lien Debt (7.0% Cash, Due</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4/13/2020</w:t>
            </w:r>
          </w:p>
        </w:tc>
        <w:tc>
          <w:tcPr>
            <w:tcW w:w="10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 xml:space="preserve">6/30/21) </w:t>
            </w:r>
            <w:r>
              <w:rPr>
                <w:rFonts w:ascii="Arial" w:cs="Arial" w:eastAsia="Arial" w:hAnsi="Arial"/>
                <w:sz w:val="16"/>
                <w:szCs w:val="16"/>
                <w:color w:val="auto"/>
                <w:vertAlign w:val="superscript"/>
              </w:rPr>
              <w:t>(6)</w:t>
            </w:r>
          </w:p>
        </w:tc>
        <w:tc>
          <w:tcPr>
            <w:tcW w:w="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American Clinical Solutions, LLC</w:t>
            </w:r>
          </w:p>
        </w:tc>
        <w:tc>
          <w:tcPr>
            <w:tcW w:w="1160" w:type="dxa"/>
            <w:vAlign w:val="bottom"/>
          </w:tcPr>
          <w:p>
            <w:pPr>
              <w:ind w:left="40"/>
              <w:spacing w:after="0"/>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Class A Membership Units</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4/13/2020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3,198</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3,831</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(6,030,384 units)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6,948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7,555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96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gridSpan w:val="2"/>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AmeriMark Direct,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w w:val="95"/>
              </w:rPr>
              <w:t>Consumer Products</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6"/>
              </w:rPr>
              <w:t>First Lien Debt (14.0% Cash, 1.3%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9/8/2016</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14,649</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14,649</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63"/>
        </w:trPr>
        <w:tc>
          <w:tcPr>
            <w:tcW w:w="19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PIK, Due 9/8/21)</w:t>
            </w: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14,705</w:t>
            </w: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14,649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14,649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BigMouth, Inc.</w:t>
            </w:r>
          </w:p>
        </w:tc>
        <w:tc>
          <w:tcPr>
            <w:tcW w:w="1160" w:type="dxa"/>
            <w:vAlign w:val="bottom"/>
          </w:tcPr>
          <w:p>
            <w:pPr>
              <w:ind w:left="40"/>
              <w:spacing w:after="0"/>
              <w:rPr>
                <w:sz w:val="20"/>
                <w:szCs w:val="20"/>
                <w:color w:val="auto"/>
              </w:rPr>
            </w:pPr>
            <w:r>
              <w:rPr>
                <w:rFonts w:ascii="Arial" w:cs="Arial" w:eastAsia="Arial" w:hAnsi="Arial"/>
                <w:sz w:val="13"/>
                <w:szCs w:val="13"/>
                <w:color w:val="auto"/>
                <w:w w:val="95"/>
              </w:rPr>
              <w:t>Consumer Products</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w w:val="91"/>
              </w:rPr>
              <w:t>First Lien Debt (9.0% Cash (1 month</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11/14/2016</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LIBOR + 8.5%, 0.5% Floor), Due</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60" w:type="dxa"/>
            <w:vAlign w:val="bottom"/>
            <w:gridSpan w:val="2"/>
          </w:tcPr>
          <w:p>
            <w:pPr>
              <w:ind w:left="100"/>
              <w:spacing w:after="0"/>
              <w:rPr>
                <w:sz w:val="20"/>
                <w:szCs w:val="20"/>
                <w:color w:val="auto"/>
              </w:rPr>
            </w:pPr>
            <w:r>
              <w:rPr>
                <w:rFonts w:ascii="Arial" w:cs="Arial" w:eastAsia="Arial" w:hAnsi="Arial"/>
                <w:sz w:val="13"/>
                <w:szCs w:val="13"/>
                <w:color w:val="auto"/>
              </w:rPr>
              <w:t xml:space="preserve">11/14/21) </w:t>
            </w:r>
            <w:r>
              <w:rPr>
                <w:rFonts w:ascii="Arial" w:cs="Arial" w:eastAsia="Arial" w:hAnsi="Arial"/>
                <w:sz w:val="16"/>
                <w:szCs w:val="16"/>
                <w:color w:val="auto"/>
                <w:vertAlign w:val="superscript"/>
              </w:rPr>
              <w:t>(7)</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1,866</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1,268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3"/>
        </w:trPr>
        <w:tc>
          <w:tcPr>
            <w:tcW w:w="19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1,268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96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gridSpan w:val="2"/>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rPr>
              <w:t>BLST Operating Company,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w w:val="95"/>
              </w:rPr>
              <w:t>Online Merchandise</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w w:val="95"/>
              </w:rPr>
              <w:t>Second Lien Debt (10.0% (1 month</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8/28/2020</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shd w:val="clear" w:color="auto" w:fill="CFF0FC"/>
          </w:tcPr>
          <w:p>
            <w:pPr>
              <w:spacing w:after="0"/>
              <w:rPr>
                <w:sz w:val="13"/>
                <w:szCs w:val="13"/>
                <w:color w:val="auto"/>
              </w:rPr>
            </w:pP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rPr>
              <w:t>Retailer</w:t>
            </w:r>
          </w:p>
        </w:tc>
        <w:tc>
          <w:tcPr>
            <w:tcW w:w="100" w:type="dxa"/>
            <w:vAlign w:val="bottom"/>
            <w:shd w:val="clear" w:color="auto" w:fill="CFF0FC"/>
          </w:tcPr>
          <w:p>
            <w:pPr>
              <w:spacing w:after="0"/>
              <w:rPr>
                <w:sz w:val="13"/>
                <w:szCs w:val="13"/>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LIBOR + 8.5%, 1.5% Floor), Due</w:t>
            </w:r>
          </w:p>
        </w:tc>
        <w:tc>
          <w:tcPr>
            <w:tcW w:w="8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060" w:type="dxa"/>
            <w:vAlign w:val="bottom"/>
            <w:gridSpan w:val="2"/>
            <w:shd w:val="clear" w:color="auto" w:fill="CFF0FC"/>
          </w:tcPr>
          <w:p>
            <w:pPr>
              <w:ind w:left="100"/>
              <w:spacing w:after="0"/>
              <w:rPr>
                <w:sz w:val="20"/>
                <w:szCs w:val="20"/>
                <w:color w:val="auto"/>
              </w:rPr>
            </w:pPr>
            <w:r>
              <w:rPr>
                <w:rFonts w:ascii="Arial" w:cs="Arial" w:eastAsia="Arial" w:hAnsi="Arial"/>
                <w:sz w:val="13"/>
                <w:szCs w:val="13"/>
                <w:color w:val="auto"/>
              </w:rPr>
              <w:t xml:space="preserve">8/28/25) </w:t>
            </w:r>
            <w:r>
              <w:rPr>
                <w:rFonts w:ascii="Arial" w:cs="Arial" w:eastAsia="Arial" w:hAnsi="Arial"/>
                <w:sz w:val="16"/>
                <w:szCs w:val="16"/>
                <w:color w:val="auto"/>
                <w:vertAlign w:val="superscript"/>
              </w:rPr>
              <w:t>(8)</w:t>
            </w:r>
          </w:p>
        </w:tc>
        <w:tc>
          <w:tcPr>
            <w:tcW w:w="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1,953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1,953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1,953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BLST Operating Company, LLC</w:t>
            </w:r>
          </w:p>
        </w:tc>
        <w:tc>
          <w:tcPr>
            <w:tcW w:w="1160" w:type="dxa"/>
            <w:vAlign w:val="bottom"/>
          </w:tcPr>
          <w:p>
            <w:pPr>
              <w:ind w:left="40"/>
              <w:spacing w:after="0"/>
              <w:rPr>
                <w:sz w:val="20"/>
                <w:szCs w:val="20"/>
                <w:color w:val="auto"/>
              </w:rPr>
            </w:pPr>
            <w:r>
              <w:rPr>
                <w:rFonts w:ascii="Arial" w:cs="Arial" w:eastAsia="Arial" w:hAnsi="Arial"/>
                <w:sz w:val="13"/>
                <w:szCs w:val="13"/>
                <w:color w:val="auto"/>
                <w:w w:val="95"/>
              </w:rPr>
              <w:t>Online Merchandise</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Class A Common Units (217,013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8/28/2020</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286</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68"/>
        </w:trPr>
        <w:tc>
          <w:tcPr>
            <w:tcW w:w="1940" w:type="dxa"/>
            <w:vAlign w:val="bottom"/>
          </w:tcPr>
          <w:p>
            <w:pPr>
              <w:spacing w:after="0"/>
              <w:rPr>
                <w:sz w:val="14"/>
                <w:szCs w:val="14"/>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Retailer</w:t>
            </w:r>
          </w:p>
        </w:tc>
        <w:tc>
          <w:tcPr>
            <w:tcW w:w="100" w:type="dxa"/>
            <w:vAlign w:val="bottom"/>
          </w:tcPr>
          <w:p>
            <w:pPr>
              <w:spacing w:after="0"/>
              <w:rPr>
                <w:sz w:val="14"/>
                <w:szCs w:val="14"/>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units)</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2,239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2,253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89"/>
        </w:trPr>
        <w:tc>
          <w:tcPr>
            <w:tcW w:w="194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960" w:type="dxa"/>
            <w:vAlign w:val="bottom"/>
            <w:tcBorders>
              <w:top w:val="single" w:sz="8" w:color="CFF0FC"/>
            </w:tcBorders>
          </w:tcPr>
          <w:p>
            <w:pPr>
              <w:spacing w:after="0"/>
              <w:rPr>
                <w:sz w:val="16"/>
                <w:szCs w:val="16"/>
                <w:color w:val="auto"/>
              </w:rPr>
            </w:pPr>
          </w:p>
        </w:tc>
        <w:tc>
          <w:tcPr>
            <w:tcW w:w="1220" w:type="dxa"/>
            <w:vAlign w:val="bottom"/>
            <w:tcBorders>
              <w:top w:val="single" w:sz="8" w:color="CFF0FC"/>
            </w:tcBorders>
            <w:gridSpan w:val="2"/>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Burke America Parts Group, LLC</w:t>
            </w:r>
          </w:p>
        </w:tc>
        <w:tc>
          <w:tcPr>
            <w:tcW w:w="1160" w:type="dxa"/>
            <w:vAlign w:val="bottom"/>
            <w:shd w:val="clear" w:color="auto" w:fill="CFF0FC"/>
          </w:tcPr>
          <w:p>
            <w:pPr>
              <w:ind w:left="40"/>
              <w:spacing w:after="0"/>
              <w:rPr>
                <w:sz w:val="20"/>
                <w:szCs w:val="20"/>
                <w:color w:val="auto"/>
              </w:rPr>
            </w:pPr>
            <w:r>
              <w:rPr>
                <w:rFonts w:ascii="Arial" w:cs="Arial" w:eastAsia="Arial" w:hAnsi="Arial"/>
                <w:sz w:val="13"/>
                <w:szCs w:val="13"/>
                <w:color w:val="auto"/>
                <w:w w:val="99"/>
              </w:rPr>
              <w:t>Home Repair Parts</w:t>
            </w:r>
          </w:p>
        </w:tc>
        <w:tc>
          <w:tcPr>
            <w:tcW w:w="100" w:type="dxa"/>
            <w:vAlign w:val="bottom"/>
            <w:shd w:val="clear" w:color="auto" w:fill="CFF0FC"/>
          </w:tcPr>
          <w:p>
            <w:pPr>
              <w:spacing w:after="0"/>
              <w:rPr>
                <w:sz w:val="15"/>
                <w:szCs w:val="15"/>
                <w:color w:val="auto"/>
              </w:rPr>
            </w:pPr>
          </w:p>
        </w:tc>
        <w:tc>
          <w:tcPr>
            <w:tcW w:w="1960" w:type="dxa"/>
            <w:vAlign w:val="bottom"/>
            <w:shd w:val="clear" w:color="auto" w:fill="CFF0FC"/>
          </w:tcPr>
          <w:p>
            <w:pPr>
              <w:spacing w:after="0"/>
              <w:rPr>
                <w:sz w:val="20"/>
                <w:szCs w:val="20"/>
                <w:color w:val="auto"/>
              </w:rPr>
            </w:pPr>
            <w:r>
              <w:rPr>
                <w:rFonts w:ascii="Arial" w:cs="Arial" w:eastAsia="Arial" w:hAnsi="Arial"/>
                <w:sz w:val="13"/>
                <w:szCs w:val="13"/>
                <w:color w:val="auto"/>
              </w:rPr>
              <w:t>Membership Units (14 units)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4/30/2015</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2,461</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63"/>
        </w:trPr>
        <w:tc>
          <w:tcPr>
            <w:tcW w:w="194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3"/>
                <w:szCs w:val="13"/>
                <w:color w:val="auto"/>
              </w:rPr>
              <w:t>Manufacturer</w:t>
            </w:r>
          </w:p>
        </w:tc>
        <w:tc>
          <w:tcPr>
            <w:tcW w:w="100" w:type="dxa"/>
            <w:vAlign w:val="bottom"/>
            <w:tcBorders>
              <w:bottom w:val="single" w:sz="8" w:color="CFF0FC"/>
            </w:tcBorders>
            <w:shd w:val="clear" w:color="auto" w:fill="CFF0FC"/>
          </w:tcPr>
          <w:p>
            <w:pPr>
              <w:spacing w:after="0"/>
              <w:rPr>
                <w:sz w:val="14"/>
                <w:szCs w:val="14"/>
                <w:color w:val="auto"/>
              </w:rPr>
            </w:pPr>
          </w:p>
        </w:tc>
        <w:tc>
          <w:tcPr>
            <w:tcW w:w="19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2,461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89"/>
        </w:trPr>
        <w:tc>
          <w:tcPr>
            <w:tcW w:w="194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96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40" w:type="dxa"/>
            <w:vAlign w:val="bottom"/>
          </w:tcPr>
          <w:p>
            <w:pPr>
              <w:ind w:left="20"/>
              <w:spacing w:after="0"/>
              <w:rPr>
                <w:sz w:val="20"/>
                <w:szCs w:val="20"/>
                <w:color w:val="auto"/>
              </w:rPr>
            </w:pPr>
            <w:r>
              <w:rPr>
                <w:rFonts w:ascii="Arial" w:cs="Arial" w:eastAsia="Arial" w:hAnsi="Arial"/>
                <w:sz w:val="13"/>
                <w:szCs w:val="13"/>
                <w:color w:val="auto"/>
              </w:rPr>
              <w:t>Chicken Soup for the Soul, LLC</w:t>
            </w:r>
          </w:p>
        </w:tc>
        <w:tc>
          <w:tcPr>
            <w:tcW w:w="1160" w:type="dxa"/>
            <w:vAlign w:val="bottom"/>
          </w:tcPr>
          <w:p>
            <w:pPr>
              <w:ind w:left="40"/>
              <w:spacing w:after="0"/>
              <w:rPr>
                <w:sz w:val="20"/>
                <w:szCs w:val="20"/>
                <w:color w:val="auto"/>
              </w:rPr>
            </w:pPr>
            <w:r>
              <w:rPr>
                <w:rFonts w:ascii="Arial" w:cs="Arial" w:eastAsia="Arial" w:hAnsi="Arial"/>
                <w:sz w:val="13"/>
                <w:szCs w:val="13"/>
                <w:color w:val="auto"/>
                <w:w w:val="93"/>
              </w:rPr>
              <w:t>Multi-platform media</w:t>
            </w:r>
          </w:p>
        </w:tc>
        <w:tc>
          <w:tcPr>
            <w:tcW w:w="100" w:type="dxa"/>
            <w:vAlign w:val="bottom"/>
          </w:tcPr>
          <w:p>
            <w:pPr>
              <w:spacing w:after="0"/>
              <w:rPr>
                <w:sz w:val="15"/>
                <w:szCs w:val="15"/>
                <w:color w:val="auto"/>
              </w:rPr>
            </w:pPr>
          </w:p>
        </w:tc>
        <w:tc>
          <w:tcPr>
            <w:tcW w:w="1960" w:type="dxa"/>
            <w:vAlign w:val="bottom"/>
          </w:tcPr>
          <w:p>
            <w:pPr>
              <w:spacing w:after="0"/>
              <w:rPr>
                <w:sz w:val="20"/>
                <w:szCs w:val="20"/>
                <w:color w:val="auto"/>
              </w:rPr>
            </w:pPr>
            <w:r>
              <w:rPr>
                <w:rFonts w:ascii="Arial" w:cs="Arial" w:eastAsia="Arial" w:hAnsi="Arial"/>
                <w:sz w:val="13"/>
                <w:szCs w:val="13"/>
                <w:color w:val="auto"/>
              </w:rPr>
              <w:t>First Lien Debt (10.0% Cash (1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12/14/2018</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40" w:type="dxa"/>
            <w:vAlign w:val="bottom"/>
          </w:tcPr>
          <w:p>
            <w:pPr>
              <w:spacing w:after="0"/>
              <w:rPr>
                <w:sz w:val="13"/>
                <w:szCs w:val="13"/>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and consumer</w:t>
            </w:r>
          </w:p>
        </w:tc>
        <w:tc>
          <w:tcPr>
            <w:tcW w:w="100" w:type="dxa"/>
            <w:vAlign w:val="bottom"/>
          </w:tcPr>
          <w:p>
            <w:pPr>
              <w:spacing w:after="0"/>
              <w:rPr>
                <w:sz w:val="13"/>
                <w:szCs w:val="13"/>
                <w:color w:val="auto"/>
              </w:rPr>
            </w:pPr>
          </w:p>
        </w:tc>
        <w:tc>
          <w:tcPr>
            <w:tcW w:w="1960" w:type="dxa"/>
            <w:vAlign w:val="bottom"/>
          </w:tcPr>
          <w:p>
            <w:pPr>
              <w:spacing w:after="0"/>
              <w:rPr>
                <w:sz w:val="20"/>
                <w:szCs w:val="20"/>
                <w:color w:val="auto"/>
              </w:rPr>
            </w:pPr>
            <w:r>
              <w:rPr>
                <w:rFonts w:ascii="Arial" w:cs="Arial" w:eastAsia="Arial" w:hAnsi="Arial"/>
                <w:sz w:val="13"/>
                <w:szCs w:val="13"/>
                <w:color w:val="auto"/>
                <w:w w:val="96"/>
              </w:rPr>
              <w:t>month LIBOR + 8.5%, 1.5% Floor),</w:t>
            </w:r>
          </w:p>
        </w:tc>
        <w:tc>
          <w:tcPr>
            <w:tcW w:w="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vMerge w:val="restart"/>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13,000</w:t>
            </w:r>
          </w:p>
        </w:tc>
        <w:tc>
          <w:tcPr>
            <w:tcW w:w="80" w:type="dxa"/>
            <w:vAlign w:val="bottom"/>
            <w:vMerge w:val="restart"/>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13,000</w:t>
            </w:r>
          </w:p>
        </w:tc>
        <w:tc>
          <w:tcPr>
            <w:tcW w:w="80" w:type="dxa"/>
            <w:vAlign w:val="bottom"/>
            <w:vMerge w:val="restart"/>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81"/>
        </w:trPr>
        <w:tc>
          <w:tcPr>
            <w:tcW w:w="194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3"/>
                <w:szCs w:val="13"/>
                <w:color w:val="auto"/>
              </w:rPr>
              <w:t>products</w:t>
            </w:r>
          </w:p>
        </w:tc>
        <w:tc>
          <w:tcPr>
            <w:tcW w:w="100" w:type="dxa"/>
            <w:vAlign w:val="bottom"/>
          </w:tcPr>
          <w:p>
            <w:pPr>
              <w:spacing w:after="0"/>
              <w:rPr>
                <w:sz w:val="15"/>
                <w:szCs w:val="15"/>
                <w:color w:val="auto"/>
              </w:rPr>
            </w:pPr>
          </w:p>
        </w:tc>
        <w:tc>
          <w:tcPr>
            <w:tcW w:w="1960" w:type="dxa"/>
            <w:vAlign w:val="bottom"/>
          </w:tcPr>
          <w:p>
            <w:pPr>
              <w:spacing w:after="0" w:line="176" w:lineRule="exact"/>
              <w:rPr>
                <w:sz w:val="20"/>
                <w:szCs w:val="20"/>
                <w:color w:val="auto"/>
              </w:rPr>
            </w:pPr>
            <w:r>
              <w:rPr>
                <w:rFonts w:ascii="Arial" w:cs="Arial" w:eastAsia="Arial" w:hAnsi="Arial"/>
                <w:sz w:val="13"/>
                <w:szCs w:val="13"/>
                <w:color w:val="auto"/>
              </w:rPr>
              <w:t xml:space="preserve">Due 2/22/22) </w:t>
            </w:r>
            <w:r>
              <w:rPr>
                <w:rFonts w:ascii="Arial" w:cs="Arial" w:eastAsia="Arial" w:hAnsi="Arial"/>
                <w:sz w:val="16"/>
                <w:szCs w:val="16"/>
                <w:color w:val="auto"/>
                <w:vertAlign w:val="superscript"/>
              </w:rPr>
              <w:t>(6)</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13,000</w:t>
            </w: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4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9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13,000</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13,000</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-5534025</wp:posOffset>
            </wp:positionV>
            <wp:extent cx="51435"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-5534025</wp:posOffset>
            </wp:positionV>
            <wp:extent cx="514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-3939540</wp:posOffset>
            </wp:positionV>
            <wp:extent cx="51435"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-3939540</wp:posOffset>
            </wp:positionV>
            <wp:extent cx="51435"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-2893695</wp:posOffset>
            </wp:positionV>
            <wp:extent cx="51435"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-2893695</wp:posOffset>
            </wp:positionV>
            <wp:extent cx="51435"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-2550795</wp:posOffset>
            </wp:positionV>
            <wp:extent cx="51435"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-2550795</wp:posOffset>
            </wp:positionV>
            <wp:extent cx="5143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-1847850</wp:posOffset>
            </wp:positionV>
            <wp:extent cx="514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-1847850</wp:posOffset>
            </wp:positionV>
            <wp:extent cx="51435"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-1050925</wp:posOffset>
            </wp:positionV>
            <wp:extent cx="51435"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-1050925</wp:posOffset>
            </wp:positionV>
            <wp:extent cx="51435"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-708025</wp:posOffset>
            </wp:positionV>
            <wp:extent cx="51435"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-708025</wp:posOffset>
            </wp:positionV>
            <wp:extent cx="5143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-5080</wp:posOffset>
            </wp:positionV>
            <wp:extent cx="5143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-5080</wp:posOffset>
            </wp:positionV>
            <wp:extent cx="5143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5"/>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Chief Fire Intermediate, Inc.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(8.6% Cash (1 month</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11/8/2019</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780" w:type="dxa"/>
            <w:vAlign w:val="bottom"/>
            <w:shd w:val="clear" w:color="auto" w:fill="CFF0FC"/>
          </w:tcPr>
          <w:p>
            <w:pPr>
              <w:spacing w:after="0"/>
              <w:rPr>
                <w:sz w:val="12"/>
                <w:szCs w:val="12"/>
                <w:color w:val="auto"/>
              </w:rPr>
            </w:pP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+ 7.0%, 1.6% Floor), Due</w:t>
            </w:r>
          </w:p>
        </w:tc>
        <w:tc>
          <w:tcPr>
            <w:tcW w:w="22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 xml:space="preserve">11/8/24) </w:t>
            </w:r>
            <w:r>
              <w:rPr>
                <w:rFonts w:ascii="Arial" w:cs="Arial" w:eastAsia="Arial" w:hAnsi="Arial"/>
                <w:sz w:val="16"/>
                <w:szCs w:val="16"/>
                <w:color w:val="auto"/>
                <w:vertAlign w:val="superscript"/>
              </w:rPr>
              <w:t>(7)</w:t>
            </w:r>
          </w:p>
        </w:tc>
        <w:tc>
          <w:tcPr>
            <w:tcW w:w="2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8,100</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8,100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5,344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Chief Fire Intermediate, Inc.</w:t>
            </w:r>
          </w:p>
        </w:tc>
        <w:tc>
          <w:tcPr>
            <w:tcW w:w="1360" w:type="dxa"/>
            <w:vAlign w:val="bottom"/>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tcPr>
          <w:p>
            <w:pPr>
              <w:ind w:left="60"/>
              <w:spacing w:after="0"/>
              <w:rPr>
                <w:sz w:val="20"/>
                <w:szCs w:val="20"/>
                <w:color w:val="auto"/>
              </w:rPr>
            </w:pPr>
            <w:r>
              <w:rPr>
                <w:rFonts w:ascii="Arial" w:cs="Arial" w:eastAsia="Arial" w:hAnsi="Arial"/>
                <w:sz w:val="13"/>
                <w:szCs w:val="13"/>
                <w:color w:val="auto"/>
              </w:rPr>
              <w:t>Class A Preferred Units (34,740</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11/8/2019</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units)</w:t>
            </w:r>
          </w:p>
        </w:tc>
        <w:tc>
          <w:tcPr>
            <w:tcW w:w="22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913</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1"/>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Chief Fire Intermediate, Inc.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Class B Common Units (3,510 units)</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11/8/2019</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78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Borders>
              <w:bottom w:val="single" w:sz="8" w:color="CFF0FC"/>
            </w:tcBorders>
            <w:shd w:val="clear" w:color="auto" w:fill="CFF0FC"/>
          </w:tcPr>
          <w:p>
            <w:pPr>
              <w:spacing w:after="0"/>
              <w:rPr>
                <w:sz w:val="14"/>
                <w:szCs w:val="14"/>
                <w:color w:val="auto"/>
              </w:rPr>
            </w:pPr>
          </w:p>
        </w:tc>
        <w:tc>
          <w:tcPr>
            <w:tcW w:w="22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9,013</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5,344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CIS Secure Computing, Inc.</w:t>
            </w:r>
          </w:p>
        </w:tc>
        <w:tc>
          <w:tcPr>
            <w:tcW w:w="1360" w:type="dxa"/>
            <w:vAlign w:val="bottom"/>
          </w:tcPr>
          <w:p>
            <w:pPr>
              <w:ind w:left="200"/>
              <w:spacing w:after="0"/>
              <w:rPr>
                <w:sz w:val="20"/>
                <w:szCs w:val="20"/>
                <w:color w:val="auto"/>
              </w:rPr>
            </w:pPr>
            <w:r>
              <w:rPr>
                <w:rFonts w:ascii="Arial" w:cs="Arial" w:eastAsia="Arial" w:hAnsi="Arial"/>
                <w:sz w:val="13"/>
                <w:szCs w:val="13"/>
                <w:color w:val="auto"/>
                <w:w w:val="91"/>
              </w:rPr>
              <w:t>Government 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(9.5% Cash (1 month</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9/14/2017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LIBOR + 8.5%, 1.0% Floor), 1.0%</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PIK, Due 9/14/22)</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8,322</w:t>
            </w:r>
          </w:p>
        </w:tc>
        <w:tc>
          <w:tcPr>
            <w:tcW w:w="1140" w:type="dxa"/>
            <w:vAlign w:val="bottom"/>
          </w:tcPr>
          <w:p>
            <w:pPr>
              <w:jc w:val="right"/>
              <w:spacing w:after="0"/>
              <w:rPr>
                <w:sz w:val="20"/>
                <w:szCs w:val="20"/>
                <w:color w:val="auto"/>
              </w:rPr>
            </w:pPr>
            <w:r>
              <w:rPr>
                <w:rFonts w:ascii="Arial" w:cs="Arial" w:eastAsia="Arial" w:hAnsi="Arial"/>
                <w:sz w:val="13"/>
                <w:szCs w:val="13"/>
                <w:color w:val="auto"/>
              </w:rPr>
              <w:t>8,322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8,322</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91"/>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CIS Secure Computing, Inc.</w:t>
            </w:r>
          </w:p>
        </w:tc>
        <w:tc>
          <w:tcPr>
            <w:tcW w:w="1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w w:val="91"/>
              </w:rPr>
              <w:t>Government Services</w:t>
            </w:r>
          </w:p>
        </w:tc>
        <w:tc>
          <w:tcPr>
            <w:tcW w:w="2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Common Stock (46,163 shares)</w:t>
            </w:r>
          </w:p>
        </w:tc>
        <w:tc>
          <w:tcPr>
            <w:tcW w:w="2240" w:type="dxa"/>
            <w:vAlign w:val="bottom"/>
            <w:tcBorders>
              <w:bottom w:val="single" w:sz="8" w:color="CFF0FC"/>
            </w:tcBorders>
            <w:shd w:val="clear" w:color="auto" w:fill="CFF0FC"/>
          </w:tcPr>
          <w:p>
            <w:pPr>
              <w:jc w:val="right"/>
              <w:ind w:right="1257"/>
              <w:spacing w:after="0"/>
              <w:rPr>
                <w:sz w:val="20"/>
                <w:szCs w:val="20"/>
                <w:color w:val="auto"/>
              </w:rPr>
            </w:pPr>
            <w:r>
              <w:rPr>
                <w:rFonts w:ascii="Arial" w:cs="Arial" w:eastAsia="Arial" w:hAnsi="Arial"/>
                <w:sz w:val="13"/>
                <w:szCs w:val="13"/>
                <w:color w:val="auto"/>
              </w:rPr>
              <w:t>9/14/2017</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3,059</w:t>
            </w: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9,322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11,381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3"/>
                <w:szCs w:val="13"/>
                <w:color w:val="auto"/>
              </w:rPr>
              <w:t>Corporate Visions, Inc.</w:t>
            </w:r>
          </w:p>
        </w:tc>
        <w:tc>
          <w:tcPr>
            <w:tcW w:w="1360" w:type="dxa"/>
            <w:vAlign w:val="bottom"/>
          </w:tcPr>
          <w:p>
            <w:pPr>
              <w:ind w:left="200"/>
              <w:spacing w:after="0"/>
              <w:rPr>
                <w:sz w:val="20"/>
                <w:szCs w:val="20"/>
                <w:color w:val="auto"/>
              </w:rPr>
            </w:pPr>
            <w:r>
              <w:rPr>
                <w:rFonts w:ascii="Arial" w:cs="Arial" w:eastAsia="Arial" w:hAnsi="Arial"/>
                <w:sz w:val="13"/>
                <w:szCs w:val="13"/>
                <w:color w:val="auto"/>
              </w:rPr>
              <w:t>Sales &amp; Marketing</w:t>
            </w:r>
          </w:p>
        </w:tc>
        <w:tc>
          <w:tcPr>
            <w:tcW w:w="2300" w:type="dxa"/>
            <w:vAlign w:val="bottom"/>
          </w:tcPr>
          <w:p>
            <w:pPr>
              <w:ind w:left="60"/>
              <w:spacing w:after="0"/>
              <w:rPr>
                <w:sz w:val="20"/>
                <w:szCs w:val="20"/>
                <w:color w:val="auto"/>
              </w:rPr>
            </w:pPr>
            <w:r>
              <w:rPr>
                <w:rFonts w:ascii="Arial" w:cs="Arial" w:eastAsia="Arial" w:hAnsi="Arial"/>
                <w:sz w:val="13"/>
                <w:szCs w:val="13"/>
                <w:color w:val="auto"/>
              </w:rPr>
              <w:t>Second Lien Debt (11.0%, Due</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5/29/2015</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 xml:space="preserve">11/29/21) </w:t>
            </w:r>
            <w:r>
              <w:rPr>
                <w:rFonts w:ascii="Arial" w:cs="Arial" w:eastAsia="Arial" w:hAnsi="Arial"/>
                <w:sz w:val="16"/>
                <w:szCs w:val="16"/>
                <w:color w:val="auto"/>
                <w:vertAlign w:val="superscript"/>
              </w:rPr>
              <w:t>(9)</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19,425</w:t>
            </w:r>
          </w:p>
        </w:tc>
        <w:tc>
          <w:tcPr>
            <w:tcW w:w="1140" w:type="dxa"/>
            <w:vAlign w:val="bottom"/>
          </w:tcPr>
          <w:p>
            <w:pPr>
              <w:jc w:val="right"/>
              <w:spacing w:after="0"/>
              <w:rPr>
                <w:sz w:val="20"/>
                <w:szCs w:val="20"/>
                <w:color w:val="auto"/>
              </w:rPr>
            </w:pPr>
            <w:r>
              <w:rPr>
                <w:rFonts w:ascii="Arial" w:cs="Arial" w:eastAsia="Arial" w:hAnsi="Arial"/>
                <w:sz w:val="13"/>
                <w:szCs w:val="13"/>
                <w:color w:val="auto"/>
              </w:rPr>
              <w:t>19,425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19,425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73"/>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Corporate Visions, Inc.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Sales &amp; Marketing</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Common Stock (15,750 shares)</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5/29/2015</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1,575</w:t>
            </w:r>
          </w:p>
        </w:tc>
        <w:tc>
          <w:tcPr>
            <w:tcW w:w="10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1,522</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3"/>
        </w:trPr>
        <w:tc>
          <w:tcPr>
            <w:tcW w:w="178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Borders>
              <w:bottom w:val="single" w:sz="8" w:color="CFF0FC"/>
            </w:tcBorders>
            <w:shd w:val="clear" w:color="auto" w:fill="CFF0FC"/>
          </w:tcPr>
          <w:p>
            <w:pPr>
              <w:spacing w:after="0"/>
              <w:rPr>
                <w:sz w:val="14"/>
                <w:szCs w:val="14"/>
                <w:color w:val="auto"/>
              </w:rPr>
            </w:pPr>
          </w:p>
        </w:tc>
        <w:tc>
          <w:tcPr>
            <w:tcW w:w="22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21,000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20,947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Currency Capital, LLC</w:t>
            </w:r>
          </w:p>
        </w:tc>
        <w:tc>
          <w:tcPr>
            <w:tcW w:w="1360" w:type="dxa"/>
            <w:vAlign w:val="bottom"/>
          </w:tcPr>
          <w:p>
            <w:pPr>
              <w:ind w:left="200"/>
              <w:spacing w:after="0"/>
              <w:rPr>
                <w:sz w:val="20"/>
                <w:szCs w:val="20"/>
                <w:color w:val="auto"/>
              </w:rPr>
            </w:pPr>
            <w:r>
              <w:rPr>
                <w:rFonts w:ascii="Arial" w:cs="Arial" w:eastAsia="Arial" w:hAnsi="Arial"/>
                <w:sz w:val="13"/>
                <w:szCs w:val="13"/>
                <w:color w:val="auto"/>
              </w:rPr>
              <w:t>Financial 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(12.5% Cash (1</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1/20/2017</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month LIBOR + 12.0%, 0.5% Floor),</w:t>
            </w: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 xml:space="preserve">4.0% PIK, Due 7/20/21) </w:t>
            </w:r>
            <w:r>
              <w:rPr>
                <w:rFonts w:ascii="Arial" w:cs="Arial" w:eastAsia="Arial" w:hAnsi="Arial"/>
                <w:sz w:val="16"/>
                <w:szCs w:val="16"/>
                <w:color w:val="auto"/>
                <w:vertAlign w:val="superscript"/>
              </w:rPr>
              <w:t>(6)(7)(10)</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16,500</w:t>
            </w:r>
          </w:p>
        </w:tc>
        <w:tc>
          <w:tcPr>
            <w:tcW w:w="1140" w:type="dxa"/>
            <w:vAlign w:val="bottom"/>
          </w:tcPr>
          <w:p>
            <w:pPr>
              <w:jc w:val="right"/>
              <w:spacing w:after="0"/>
              <w:rPr>
                <w:sz w:val="20"/>
                <w:szCs w:val="20"/>
                <w:color w:val="auto"/>
              </w:rPr>
            </w:pPr>
            <w:r>
              <w:rPr>
                <w:rFonts w:ascii="Arial" w:cs="Arial" w:eastAsia="Arial" w:hAnsi="Arial"/>
                <w:sz w:val="13"/>
                <w:szCs w:val="13"/>
                <w:color w:val="auto"/>
              </w:rPr>
              <w:t>16,172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3,750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Currency Capital, LLC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Financial Services</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Class A Preferred Units (2,000,000</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1/20/2017</w:t>
            </w: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shd w:val="clear" w:color="auto" w:fill="CFF0FC"/>
          </w:tcPr>
          <w:p>
            <w:pPr>
              <w:spacing w:after="0"/>
              <w:rPr>
                <w:sz w:val="16"/>
                <w:szCs w:val="16"/>
                <w:color w:val="auto"/>
              </w:rPr>
            </w:pPr>
          </w:p>
        </w:tc>
        <w:tc>
          <w:tcPr>
            <w:tcW w:w="2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 xml:space="preserve">units) </w:t>
            </w:r>
            <w:r>
              <w:rPr>
                <w:rFonts w:ascii="Arial" w:cs="Arial" w:eastAsia="Arial" w:hAnsi="Arial"/>
                <w:sz w:val="16"/>
                <w:szCs w:val="16"/>
                <w:color w:val="auto"/>
                <w:vertAlign w:val="superscript"/>
              </w:rPr>
              <w:t>(10)</w:t>
            </w:r>
          </w:p>
        </w:tc>
        <w:tc>
          <w:tcPr>
            <w:tcW w:w="2240" w:type="dxa"/>
            <w:vAlign w:val="bottom"/>
            <w:tcBorders>
              <w:bottom w:val="single" w:sz="8" w:color="CFF0FC"/>
            </w:tcBorders>
            <w:shd w:val="clear" w:color="auto" w:fill="CFF0FC"/>
          </w:tcPr>
          <w:p>
            <w:pPr>
              <w:spacing w:after="0"/>
              <w:rPr>
                <w:sz w:val="16"/>
                <w:szCs w:val="16"/>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2,000</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18,172</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3,750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Freedom Electronics, LLC</w:t>
            </w:r>
          </w:p>
        </w:tc>
        <w:tc>
          <w:tcPr>
            <w:tcW w:w="1360" w:type="dxa"/>
            <w:vAlign w:val="bottom"/>
          </w:tcPr>
          <w:p>
            <w:pPr>
              <w:ind w:left="200"/>
              <w:spacing w:after="0"/>
              <w:rPr>
                <w:sz w:val="20"/>
                <w:szCs w:val="20"/>
                <w:color w:val="auto"/>
              </w:rPr>
            </w:pPr>
            <w:r>
              <w:rPr>
                <w:rFonts w:ascii="Arial" w:cs="Arial" w:eastAsia="Arial" w:hAnsi="Arial"/>
                <w:sz w:val="13"/>
                <w:szCs w:val="13"/>
                <w:color w:val="auto"/>
              </w:rPr>
              <w:t>Electronic Machine</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(7.0% Cash (1 month</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6/1/2020</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Repair</w:t>
            </w:r>
          </w:p>
        </w:tc>
        <w:tc>
          <w:tcPr>
            <w:tcW w:w="2300" w:type="dxa"/>
            <w:vAlign w:val="bottom"/>
          </w:tcPr>
          <w:p>
            <w:pPr>
              <w:ind w:left="60"/>
              <w:spacing w:after="0"/>
              <w:rPr>
                <w:sz w:val="20"/>
                <w:szCs w:val="20"/>
                <w:color w:val="auto"/>
              </w:rPr>
            </w:pPr>
            <w:r>
              <w:rPr>
                <w:rFonts w:ascii="Arial" w:cs="Arial" w:eastAsia="Arial" w:hAnsi="Arial"/>
                <w:sz w:val="13"/>
                <w:szCs w:val="13"/>
                <w:color w:val="auto"/>
              </w:rPr>
              <w:t>LIBOR + 5.0%, 2.0% Floor), Due</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12/20/23)</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2,691</w:t>
            </w:r>
          </w:p>
        </w:tc>
        <w:tc>
          <w:tcPr>
            <w:tcW w:w="1140" w:type="dxa"/>
            <w:vAlign w:val="bottom"/>
          </w:tcPr>
          <w:p>
            <w:pPr>
              <w:jc w:val="right"/>
              <w:spacing w:after="0"/>
              <w:rPr>
                <w:sz w:val="20"/>
                <w:szCs w:val="20"/>
                <w:color w:val="auto"/>
              </w:rPr>
            </w:pPr>
            <w:r>
              <w:rPr>
                <w:rFonts w:ascii="Arial" w:cs="Arial" w:eastAsia="Arial" w:hAnsi="Arial"/>
                <w:sz w:val="13"/>
                <w:szCs w:val="13"/>
                <w:color w:val="auto"/>
              </w:rPr>
              <w:t>2,691</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2,691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0"/>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Freedom Electronics, LLC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Electronic Machine</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(8.7% Cash, Due</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12/20/2018</w:t>
            </w: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Repair</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 xml:space="preserve">12/20/23) </w:t>
            </w:r>
            <w:r>
              <w:rPr>
                <w:rFonts w:ascii="Arial" w:cs="Arial" w:eastAsia="Arial" w:hAnsi="Arial"/>
                <w:sz w:val="16"/>
                <w:szCs w:val="16"/>
                <w:color w:val="auto"/>
                <w:vertAlign w:val="superscript"/>
              </w:rPr>
              <w:t>(11)(12)</w:t>
            </w:r>
          </w:p>
        </w:tc>
        <w:tc>
          <w:tcPr>
            <w:tcW w:w="2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5,870</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5,870</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5,870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5.4%</w:t>
            </w: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Freedom Electronics, LLC</w:t>
            </w:r>
          </w:p>
        </w:tc>
        <w:tc>
          <w:tcPr>
            <w:tcW w:w="1360" w:type="dxa"/>
            <w:vAlign w:val="bottom"/>
          </w:tcPr>
          <w:p>
            <w:pPr>
              <w:ind w:left="200"/>
              <w:spacing w:after="0"/>
              <w:rPr>
                <w:sz w:val="20"/>
                <w:szCs w:val="20"/>
                <w:color w:val="auto"/>
              </w:rPr>
            </w:pPr>
            <w:r>
              <w:rPr>
                <w:rFonts w:ascii="Arial" w:cs="Arial" w:eastAsia="Arial" w:hAnsi="Arial"/>
                <w:sz w:val="13"/>
                <w:szCs w:val="13"/>
                <w:color w:val="auto"/>
              </w:rPr>
              <w:t>Electronic Machine</w:t>
            </w:r>
          </w:p>
        </w:tc>
        <w:tc>
          <w:tcPr>
            <w:tcW w:w="2300" w:type="dxa"/>
            <w:vAlign w:val="bottom"/>
          </w:tcPr>
          <w:p>
            <w:pPr>
              <w:ind w:left="60"/>
              <w:spacing w:after="0"/>
              <w:rPr>
                <w:sz w:val="20"/>
                <w:szCs w:val="20"/>
                <w:color w:val="auto"/>
              </w:rPr>
            </w:pPr>
            <w:r>
              <w:rPr>
                <w:rFonts w:ascii="Arial" w:cs="Arial" w:eastAsia="Arial" w:hAnsi="Arial"/>
                <w:sz w:val="13"/>
                <w:szCs w:val="13"/>
                <w:color w:val="auto"/>
              </w:rPr>
              <w:t>Membership Units (181,818 units)</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12/20/2018</w:t>
            </w:r>
          </w:p>
        </w:tc>
        <w:tc>
          <w:tcPr>
            <w:tcW w:w="1140" w:type="dxa"/>
            <w:vAlign w:val="bottom"/>
            <w:vMerge w:val="restart"/>
          </w:tcPr>
          <w:p>
            <w:pPr>
              <w:jc w:val="right"/>
              <w:spacing w:after="0"/>
              <w:rPr>
                <w:sz w:val="20"/>
                <w:szCs w:val="20"/>
                <w:color w:val="auto"/>
              </w:rPr>
            </w:pPr>
            <w:r>
              <w:rPr>
                <w:rFonts w:ascii="Arial" w:cs="Arial" w:eastAsia="Arial" w:hAnsi="Arial"/>
                <w:sz w:val="13"/>
                <w:szCs w:val="13"/>
                <w:color w:val="auto"/>
              </w:rPr>
              <w:t>182</w:t>
            </w:r>
          </w:p>
        </w:tc>
        <w:tc>
          <w:tcPr>
            <w:tcW w:w="10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198</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68"/>
        </w:trPr>
        <w:tc>
          <w:tcPr>
            <w:tcW w:w="1780" w:type="dxa"/>
            <w:vAlign w:val="bottom"/>
          </w:tcPr>
          <w:p>
            <w:pPr>
              <w:spacing w:after="0"/>
              <w:rPr>
                <w:sz w:val="14"/>
                <w:szCs w:val="14"/>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Repair</w:t>
            </w:r>
          </w:p>
        </w:tc>
        <w:tc>
          <w:tcPr>
            <w:tcW w:w="2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8,743</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8,759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w:t>
            </w:r>
          </w:p>
        </w:tc>
        <w:tc>
          <w:tcPr>
            <w:tcW w:w="0" w:type="dxa"/>
            <w:vAlign w:val="bottom"/>
          </w:tcPr>
          <w:p>
            <w:pPr>
              <w:spacing w:after="0"/>
              <w:rPr>
                <w:sz w:val="1"/>
                <w:szCs w:val="1"/>
                <w:color w:val="auto"/>
              </w:rPr>
            </w:pPr>
          </w:p>
        </w:tc>
      </w:tr>
      <w:tr>
        <w:trPr>
          <w:trHeight w:val="189"/>
        </w:trPr>
        <w:tc>
          <w:tcPr>
            <w:tcW w:w="1780" w:type="dxa"/>
            <w:vAlign w:val="bottom"/>
            <w:tcBorders>
              <w:top w:val="single" w:sz="8" w:color="CFF0FC"/>
            </w:tcBorders>
          </w:tcPr>
          <w:p>
            <w:pPr>
              <w:spacing w:after="0"/>
              <w:rPr>
                <w:sz w:val="16"/>
                <w:szCs w:val="16"/>
                <w:color w:val="auto"/>
              </w:rPr>
            </w:pPr>
          </w:p>
        </w:tc>
        <w:tc>
          <w:tcPr>
            <w:tcW w:w="1360" w:type="dxa"/>
            <w:vAlign w:val="bottom"/>
            <w:tcBorders>
              <w:top w:val="single" w:sz="8" w:color="CFF0FC"/>
            </w:tcBorders>
          </w:tcPr>
          <w:p>
            <w:pPr>
              <w:spacing w:after="0"/>
              <w:rPr>
                <w:sz w:val="16"/>
                <w:szCs w:val="16"/>
                <w:color w:val="auto"/>
              </w:rPr>
            </w:pPr>
          </w:p>
        </w:tc>
        <w:tc>
          <w:tcPr>
            <w:tcW w:w="2300" w:type="dxa"/>
            <w:vAlign w:val="bottom"/>
            <w:tcBorders>
              <w:top w:val="single" w:sz="8" w:color="CFF0FC"/>
            </w:tcBorders>
          </w:tcPr>
          <w:p>
            <w:pPr>
              <w:spacing w:after="0"/>
              <w:rPr>
                <w:sz w:val="16"/>
                <w:szCs w:val="16"/>
                <w:color w:val="auto"/>
              </w:rPr>
            </w:pPr>
          </w:p>
        </w:tc>
        <w:tc>
          <w:tcPr>
            <w:tcW w:w="2240" w:type="dxa"/>
            <w:vAlign w:val="bottom"/>
            <w:tcBorders>
              <w:top w:val="single" w:sz="8" w:color="CFF0F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HUMC Opco, LLC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Healthcare</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(9.0% Cash, Due</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8/8/2019</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10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5,000</w:t>
            </w:r>
          </w:p>
        </w:tc>
        <w:tc>
          <w:tcPr>
            <w:tcW w:w="8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6"/>
        </w:trPr>
        <w:tc>
          <w:tcPr>
            <w:tcW w:w="1780" w:type="dxa"/>
            <w:vAlign w:val="bottom"/>
            <w:tcBorders>
              <w:bottom w:val="single" w:sz="8" w:color="CFF0FC"/>
            </w:tcBorders>
            <w:shd w:val="clear" w:color="auto" w:fill="CFF0FC"/>
          </w:tcPr>
          <w:p>
            <w:pPr>
              <w:spacing w:after="0"/>
              <w:rPr>
                <w:sz w:val="15"/>
                <w:szCs w:val="15"/>
                <w:color w:val="auto"/>
              </w:rPr>
            </w:pPr>
          </w:p>
        </w:tc>
        <w:tc>
          <w:tcPr>
            <w:tcW w:w="1360" w:type="dxa"/>
            <w:vAlign w:val="bottom"/>
            <w:tcBorders>
              <w:bottom w:val="single" w:sz="8" w:color="CFF0FC"/>
            </w:tcBorders>
            <w:shd w:val="clear" w:color="auto" w:fill="CFF0FC"/>
          </w:tcPr>
          <w:p>
            <w:pPr>
              <w:spacing w:after="0"/>
              <w:rPr>
                <w:sz w:val="15"/>
                <w:szCs w:val="15"/>
                <w:color w:val="auto"/>
              </w:rPr>
            </w:pPr>
          </w:p>
        </w:tc>
        <w:tc>
          <w:tcPr>
            <w:tcW w:w="2300" w:type="dxa"/>
            <w:vAlign w:val="bottom"/>
            <w:tcBorders>
              <w:bottom w:val="single" w:sz="8" w:color="CFF0FC"/>
            </w:tcBorders>
            <w:shd w:val="clear" w:color="auto" w:fill="CFF0FC"/>
          </w:tcPr>
          <w:p>
            <w:pPr>
              <w:ind w:left="60"/>
              <w:spacing w:after="0" w:line="176" w:lineRule="exact"/>
              <w:rPr>
                <w:sz w:val="20"/>
                <w:szCs w:val="20"/>
                <w:color w:val="auto"/>
              </w:rPr>
            </w:pPr>
            <w:r>
              <w:rPr>
                <w:rFonts w:ascii="Arial" w:cs="Arial" w:eastAsia="Arial" w:hAnsi="Arial"/>
                <w:sz w:val="13"/>
                <w:szCs w:val="13"/>
                <w:color w:val="auto"/>
              </w:rPr>
              <w:t xml:space="preserve">1/11/21) </w:t>
            </w:r>
            <w:r>
              <w:rPr>
                <w:rFonts w:ascii="Arial" w:cs="Arial" w:eastAsia="Arial" w:hAnsi="Arial"/>
                <w:sz w:val="16"/>
                <w:szCs w:val="16"/>
                <w:color w:val="auto"/>
                <w:vertAlign w:val="superscript"/>
              </w:rPr>
              <w:t>(6)</w:t>
            </w:r>
          </w:p>
        </w:tc>
        <w:tc>
          <w:tcPr>
            <w:tcW w:w="22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5,000</w:t>
            </w:r>
          </w:p>
        </w:tc>
        <w:tc>
          <w:tcPr>
            <w:tcW w:w="1140" w:type="dxa"/>
            <w:vAlign w:val="bottom"/>
            <w:tcBorders>
              <w:bottom w:val="single" w:sz="8" w:color="auto"/>
            </w:tcBorders>
            <w:vMerge w:val="continue"/>
            <w:shd w:val="clear" w:color="auto" w:fill="CFF0FC"/>
          </w:tcPr>
          <w:p>
            <w:pPr>
              <w:spacing w:after="0"/>
              <w:rPr>
                <w:sz w:val="15"/>
                <w:szCs w:val="15"/>
                <w:color w:val="auto"/>
              </w:rPr>
            </w:pPr>
          </w:p>
        </w:tc>
        <w:tc>
          <w:tcPr>
            <w:tcW w:w="10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5,000</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5,000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w w:val="97"/>
              </w:rPr>
              <w:t>J5 Infrastructure Partners, LLC</w:t>
            </w:r>
          </w:p>
        </w:tc>
        <w:tc>
          <w:tcPr>
            <w:tcW w:w="1360" w:type="dxa"/>
            <w:vAlign w:val="bottom"/>
          </w:tcPr>
          <w:p>
            <w:pPr>
              <w:ind w:left="200"/>
              <w:spacing w:after="0"/>
              <w:rPr>
                <w:sz w:val="20"/>
                <w:szCs w:val="20"/>
                <w:color w:val="auto"/>
              </w:rPr>
            </w:pPr>
            <w:r>
              <w:rPr>
                <w:rFonts w:ascii="Arial" w:cs="Arial" w:eastAsia="Arial" w:hAnsi="Arial"/>
                <w:sz w:val="13"/>
                <w:szCs w:val="13"/>
                <w:color w:val="auto"/>
                <w:w w:val="92"/>
              </w:rPr>
              <w:t>Wireless Deployment</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(8.3% Cash (1 month</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12/20/2019</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80" w:type="dxa"/>
            <w:vAlign w:val="bottom"/>
          </w:tcPr>
          <w:p>
            <w:pPr>
              <w:spacing w:after="0"/>
              <w:rPr>
                <w:sz w:val="13"/>
                <w:szCs w:val="13"/>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LIBOR + 6.5%, 1.8% Floor), Due</w:t>
            </w:r>
          </w:p>
        </w:tc>
        <w:tc>
          <w:tcPr>
            <w:tcW w:w="2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 xml:space="preserve">12/20/24) </w:t>
            </w:r>
            <w:r>
              <w:rPr>
                <w:rFonts w:ascii="Arial" w:cs="Arial" w:eastAsia="Arial" w:hAnsi="Arial"/>
                <w:sz w:val="16"/>
                <w:szCs w:val="16"/>
                <w:color w:val="auto"/>
                <w:vertAlign w:val="superscript"/>
              </w:rPr>
              <w:t>(13)</w:t>
            </w:r>
          </w:p>
        </w:tc>
        <w:tc>
          <w:tcPr>
            <w:tcW w:w="224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3"/>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J5 Infrastructure Partners, LLC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2"/>
              </w:rPr>
              <w:t>Wireless Deployment</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(8.3% Cash (1 month</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12/20/2019</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shd w:val="clear" w:color="auto" w:fill="CFF0FC"/>
          </w:tcPr>
          <w:p>
            <w:pPr>
              <w:spacing w:after="0"/>
              <w:rPr>
                <w:sz w:val="14"/>
                <w:szCs w:val="14"/>
                <w:color w:val="auto"/>
              </w:rPr>
            </w:pP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+ 6.5%, 1.8% Floor), Due</w:t>
            </w:r>
          </w:p>
        </w:tc>
        <w:tc>
          <w:tcPr>
            <w:tcW w:w="2240" w:type="dxa"/>
            <w:vAlign w:val="bottom"/>
            <w:shd w:val="clear" w:color="auto" w:fill="CFF0FC"/>
          </w:tcPr>
          <w:p>
            <w:pPr>
              <w:spacing w:after="0"/>
              <w:rPr>
                <w:sz w:val="14"/>
                <w:szCs w:val="14"/>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6,948</w:t>
            </w:r>
          </w:p>
        </w:tc>
        <w:tc>
          <w:tcPr>
            <w:tcW w:w="10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6,948</w:t>
            </w:r>
          </w:p>
        </w:tc>
        <w:tc>
          <w:tcPr>
            <w:tcW w:w="8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63"/>
        </w:trPr>
        <w:tc>
          <w:tcPr>
            <w:tcW w:w="178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shd w:val="clear" w:color="auto" w:fill="CFF0FC"/>
          </w:tcPr>
          <w:p>
            <w:pPr>
              <w:spacing w:after="0"/>
              <w:rPr>
                <w:sz w:val="14"/>
                <w:szCs w:val="14"/>
                <w:color w:val="auto"/>
              </w:rPr>
            </w:pPr>
          </w:p>
        </w:tc>
        <w:tc>
          <w:tcPr>
            <w:tcW w:w="2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12/20/24)</w:t>
            </w:r>
          </w:p>
        </w:tc>
        <w:tc>
          <w:tcPr>
            <w:tcW w:w="224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6,948</w:t>
            </w: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6,948</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6,948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tcPr>
          <w:p>
            <w:pPr>
              <w:ind w:left="20"/>
              <w:spacing w:after="0"/>
              <w:rPr>
                <w:sz w:val="20"/>
                <w:szCs w:val="20"/>
                <w:color w:val="auto"/>
              </w:rPr>
            </w:pPr>
            <w:r>
              <w:rPr>
                <w:rFonts w:ascii="Arial" w:cs="Arial" w:eastAsia="Arial" w:hAnsi="Arial"/>
                <w:sz w:val="13"/>
                <w:szCs w:val="13"/>
                <w:color w:val="auto"/>
              </w:rPr>
              <w:t>Jurassic Quest Holdings, LLC</w:t>
            </w:r>
          </w:p>
        </w:tc>
        <w:tc>
          <w:tcPr>
            <w:tcW w:w="1360" w:type="dxa"/>
            <w:vAlign w:val="bottom"/>
          </w:tcPr>
          <w:p>
            <w:pPr>
              <w:ind w:left="200"/>
              <w:spacing w:after="0"/>
              <w:rPr>
                <w:sz w:val="20"/>
                <w:szCs w:val="20"/>
                <w:color w:val="auto"/>
              </w:rPr>
            </w:pPr>
            <w:r>
              <w:rPr>
                <w:rFonts w:ascii="Arial" w:cs="Arial" w:eastAsia="Arial" w:hAnsi="Arial"/>
                <w:sz w:val="13"/>
                <w:szCs w:val="13"/>
                <w:color w:val="auto"/>
              </w:rPr>
              <w:t>Entertainment</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(9.5% Cash (1 month</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5/1/2019</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LIBOR + 7.5%, 2.0% Floor), Due</w:t>
            </w:r>
          </w:p>
        </w:tc>
        <w:tc>
          <w:tcPr>
            <w:tcW w:w="2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rPr>
              <w:t>5/1/24)</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9,665</w:t>
            </w:r>
          </w:p>
        </w:tc>
        <w:tc>
          <w:tcPr>
            <w:tcW w:w="1140" w:type="dxa"/>
            <w:vAlign w:val="bottom"/>
          </w:tcPr>
          <w:p>
            <w:pPr>
              <w:jc w:val="right"/>
              <w:spacing w:after="0"/>
              <w:rPr>
                <w:sz w:val="20"/>
                <w:szCs w:val="20"/>
                <w:color w:val="auto"/>
              </w:rPr>
            </w:pPr>
            <w:r>
              <w:rPr>
                <w:rFonts w:ascii="Arial" w:cs="Arial" w:eastAsia="Arial" w:hAnsi="Arial"/>
                <w:sz w:val="13"/>
                <w:szCs w:val="13"/>
                <w:color w:val="auto"/>
              </w:rPr>
              <w:t>9,665</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9,665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90"/>
        </w:trPr>
        <w:tc>
          <w:tcPr>
            <w:tcW w:w="1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Jurassic Quest Holdings, LLC</w:t>
            </w:r>
          </w:p>
        </w:tc>
        <w:tc>
          <w:tcPr>
            <w:tcW w:w="1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Entertainment</w:t>
            </w:r>
          </w:p>
        </w:tc>
        <w:tc>
          <w:tcPr>
            <w:tcW w:w="23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Preferred Units (467,784 units)</w:t>
            </w:r>
          </w:p>
        </w:tc>
        <w:tc>
          <w:tcPr>
            <w:tcW w:w="2240" w:type="dxa"/>
            <w:vAlign w:val="bottom"/>
            <w:tcBorders>
              <w:bottom w:val="single" w:sz="8" w:color="CFF0FC"/>
            </w:tcBorders>
            <w:shd w:val="clear" w:color="auto" w:fill="CFF0FC"/>
          </w:tcPr>
          <w:p>
            <w:pPr>
              <w:jc w:val="right"/>
              <w:ind w:right="1257"/>
              <w:spacing w:after="0"/>
              <w:rPr>
                <w:sz w:val="20"/>
                <w:szCs w:val="20"/>
                <w:color w:val="auto"/>
              </w:rPr>
            </w:pPr>
            <w:r>
              <w:rPr>
                <w:rFonts w:ascii="Arial" w:cs="Arial" w:eastAsia="Arial" w:hAnsi="Arial"/>
                <w:sz w:val="13"/>
                <w:szCs w:val="13"/>
                <w:color w:val="auto"/>
              </w:rPr>
              <w:t>5/1/2019</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480</w:t>
            </w:r>
          </w:p>
        </w:tc>
        <w:tc>
          <w:tcPr>
            <w:tcW w:w="10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576</w:t>
            </w: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3"/>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10,145</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10,241</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spacing w:after="0"/>
              <w:rPr>
                <w:sz w:val="16"/>
                <w:szCs w:val="16"/>
                <w:color w:val="auto"/>
              </w:rPr>
            </w:pPr>
          </w:p>
        </w:tc>
        <w:tc>
          <w:tcPr>
            <w:tcW w:w="224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ind w:left="20"/>
              <w:spacing w:after="0"/>
              <w:rPr>
                <w:sz w:val="20"/>
                <w:szCs w:val="20"/>
                <w:color w:val="auto"/>
              </w:rPr>
            </w:pPr>
            <w:r>
              <w:rPr>
                <w:rFonts w:ascii="Arial" w:cs="Arial" w:eastAsia="Arial" w:hAnsi="Arial"/>
                <w:sz w:val="13"/>
                <w:szCs w:val="13"/>
                <w:color w:val="auto"/>
              </w:rPr>
              <w:t>MicroHoldco, LLC</w:t>
            </w:r>
          </w:p>
        </w:tc>
        <w:tc>
          <w:tcPr>
            <w:tcW w:w="1360" w:type="dxa"/>
            <w:vAlign w:val="bottom"/>
          </w:tcPr>
          <w:p>
            <w:pPr>
              <w:ind w:left="200"/>
              <w:spacing w:after="0"/>
              <w:rPr>
                <w:sz w:val="20"/>
                <w:szCs w:val="20"/>
                <w:color w:val="auto"/>
              </w:rPr>
            </w:pPr>
            <w:r>
              <w:rPr>
                <w:rFonts w:ascii="Arial" w:cs="Arial" w:eastAsia="Arial" w:hAnsi="Arial"/>
                <w:sz w:val="13"/>
                <w:szCs w:val="13"/>
                <w:color w:val="auto"/>
              </w:rPr>
              <w:t>General Industrial</w:t>
            </w:r>
          </w:p>
        </w:tc>
        <w:tc>
          <w:tcPr>
            <w:tcW w:w="2300" w:type="dxa"/>
            <w:vAlign w:val="bottom"/>
          </w:tcPr>
          <w:p>
            <w:pPr>
              <w:ind w:left="60"/>
              <w:spacing w:after="0"/>
              <w:rPr>
                <w:sz w:val="20"/>
                <w:szCs w:val="20"/>
                <w:color w:val="auto"/>
              </w:rPr>
            </w:pPr>
            <w:r>
              <w:rPr>
                <w:rFonts w:ascii="Arial" w:cs="Arial" w:eastAsia="Arial" w:hAnsi="Arial"/>
                <w:sz w:val="13"/>
                <w:szCs w:val="13"/>
                <w:color w:val="auto"/>
              </w:rPr>
              <w:t xml:space="preserve">Preferred Units (838,042 units) </w:t>
            </w:r>
            <w:r>
              <w:rPr>
                <w:rFonts w:ascii="Arial" w:cs="Arial" w:eastAsia="Arial" w:hAnsi="Arial"/>
                <w:sz w:val="16"/>
                <w:szCs w:val="16"/>
                <w:color w:val="auto"/>
                <w:vertAlign w:val="superscript"/>
              </w:rPr>
              <w:t>(14)</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7/25/2019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838</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670</w:t>
            </w:r>
          </w:p>
        </w:tc>
        <w:tc>
          <w:tcPr>
            <w:tcW w:w="8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6"/>
        </w:trPr>
        <w:tc>
          <w:tcPr>
            <w:tcW w:w="178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300" w:type="dxa"/>
            <w:vAlign w:val="bottom"/>
            <w:shd w:val="clear" w:color="auto" w:fill="CFF0FC"/>
          </w:tcPr>
          <w:p>
            <w:pPr>
              <w:spacing w:after="0"/>
              <w:rPr>
                <w:sz w:val="15"/>
                <w:szCs w:val="15"/>
                <w:color w:val="auto"/>
              </w:rPr>
            </w:pPr>
          </w:p>
        </w:tc>
        <w:tc>
          <w:tcPr>
            <w:tcW w:w="2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838</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89"/>
        </w:trPr>
        <w:tc>
          <w:tcPr>
            <w:tcW w:w="1780" w:type="dxa"/>
            <w:vAlign w:val="bottom"/>
            <w:tcBorders>
              <w:top w:val="single" w:sz="8" w:color="CFF0FC"/>
            </w:tcBorders>
          </w:tcPr>
          <w:p>
            <w:pPr>
              <w:spacing w:after="0"/>
              <w:rPr>
                <w:sz w:val="16"/>
                <w:szCs w:val="16"/>
                <w:color w:val="auto"/>
              </w:rPr>
            </w:pPr>
          </w:p>
        </w:tc>
        <w:tc>
          <w:tcPr>
            <w:tcW w:w="1360" w:type="dxa"/>
            <w:vAlign w:val="bottom"/>
            <w:tcBorders>
              <w:top w:val="single" w:sz="8" w:color="CFF0FC"/>
            </w:tcBorders>
          </w:tcPr>
          <w:p>
            <w:pPr>
              <w:spacing w:after="0"/>
              <w:rPr>
                <w:sz w:val="16"/>
                <w:szCs w:val="16"/>
                <w:color w:val="auto"/>
              </w:rPr>
            </w:pPr>
          </w:p>
        </w:tc>
        <w:tc>
          <w:tcPr>
            <w:tcW w:w="2300" w:type="dxa"/>
            <w:vAlign w:val="bottom"/>
            <w:tcBorders>
              <w:top w:val="single" w:sz="8" w:color="CFF0FC"/>
            </w:tcBorders>
          </w:tcPr>
          <w:p>
            <w:pPr>
              <w:spacing w:after="0"/>
              <w:rPr>
                <w:sz w:val="16"/>
                <w:szCs w:val="16"/>
                <w:color w:val="auto"/>
              </w:rPr>
            </w:pPr>
          </w:p>
        </w:tc>
        <w:tc>
          <w:tcPr>
            <w:tcW w:w="2240" w:type="dxa"/>
            <w:vAlign w:val="bottom"/>
            <w:tcBorders>
              <w:top w:val="single" w:sz="8" w:color="CFF0FC"/>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Rapid Fire Protection, Inc.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(5.5% Cash (1 month</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6/1/2020</w:t>
            </w: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780" w:type="dxa"/>
            <w:vAlign w:val="bottom"/>
            <w:shd w:val="clear" w:color="auto" w:fill="CFF0FC"/>
          </w:tcPr>
          <w:p>
            <w:pPr>
              <w:spacing w:after="0"/>
              <w:rPr>
                <w:sz w:val="13"/>
                <w:szCs w:val="13"/>
                <w:color w:val="auto"/>
              </w:rPr>
            </w:pP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LIBOR + 3.8%, 1.7% Floor), Due</w:t>
            </w:r>
          </w:p>
        </w:tc>
        <w:tc>
          <w:tcPr>
            <w:tcW w:w="224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FF0FC"/>
          </w:tcPr>
          <w:p>
            <w:pPr>
              <w:spacing w:after="0"/>
              <w:rPr>
                <w:sz w:val="16"/>
                <w:szCs w:val="16"/>
                <w:color w:val="auto"/>
              </w:rPr>
            </w:pPr>
          </w:p>
        </w:tc>
        <w:tc>
          <w:tcPr>
            <w:tcW w:w="1360" w:type="dxa"/>
            <w:vAlign w:val="bottom"/>
            <w:shd w:val="clear" w:color="auto" w:fill="CFF0FC"/>
          </w:tcPr>
          <w:p>
            <w:pPr>
              <w:spacing w:after="0"/>
              <w:rPr>
                <w:sz w:val="16"/>
                <w:szCs w:val="16"/>
                <w:color w:val="auto"/>
              </w:rPr>
            </w:pP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 xml:space="preserve">11/22/24) </w:t>
            </w:r>
            <w:r>
              <w:rPr>
                <w:rFonts w:ascii="Arial" w:cs="Arial" w:eastAsia="Arial" w:hAnsi="Arial"/>
                <w:sz w:val="16"/>
                <w:szCs w:val="16"/>
                <w:color w:val="auto"/>
                <w:vertAlign w:val="superscript"/>
              </w:rPr>
              <w:t>(15)</w:t>
            </w:r>
          </w:p>
        </w:tc>
        <w:tc>
          <w:tcPr>
            <w:tcW w:w="224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621</w:t>
            </w:r>
          </w:p>
        </w:tc>
        <w:tc>
          <w:tcPr>
            <w:tcW w:w="1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62"/>
        </w:trPr>
        <w:tc>
          <w:tcPr>
            <w:tcW w:w="1780" w:type="dxa"/>
            <w:vAlign w:val="bottom"/>
          </w:tcPr>
          <w:p>
            <w:pPr>
              <w:ind w:left="20"/>
              <w:spacing w:after="0"/>
              <w:rPr>
                <w:sz w:val="20"/>
                <w:szCs w:val="20"/>
                <w:color w:val="auto"/>
              </w:rPr>
            </w:pPr>
            <w:r>
              <w:rPr>
                <w:rFonts w:ascii="Arial" w:cs="Arial" w:eastAsia="Arial" w:hAnsi="Arial"/>
                <w:sz w:val="13"/>
                <w:szCs w:val="13"/>
                <w:color w:val="auto"/>
              </w:rPr>
              <w:t>Rapid Fire Protection, Inc.</w:t>
            </w:r>
          </w:p>
        </w:tc>
        <w:tc>
          <w:tcPr>
            <w:tcW w:w="1360" w:type="dxa"/>
            <w:vAlign w:val="bottom"/>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tcPr>
          <w:p>
            <w:pPr>
              <w:ind w:left="60"/>
              <w:spacing w:after="0"/>
              <w:rPr>
                <w:sz w:val="20"/>
                <w:szCs w:val="20"/>
                <w:color w:val="auto"/>
              </w:rPr>
            </w:pPr>
            <w:r>
              <w:rPr>
                <w:rFonts w:ascii="Arial" w:cs="Arial" w:eastAsia="Arial" w:hAnsi="Arial"/>
                <w:sz w:val="13"/>
                <w:szCs w:val="13"/>
                <w:color w:val="auto"/>
              </w:rPr>
              <w:t>First Lien Debt (8.9% Cash, Due</w:t>
            </w:r>
          </w:p>
        </w:tc>
        <w:tc>
          <w:tcPr>
            <w:tcW w:w="2240" w:type="dxa"/>
            <w:vAlign w:val="bottom"/>
          </w:tcPr>
          <w:p>
            <w:pPr>
              <w:jc w:val="right"/>
              <w:ind w:right="1257"/>
              <w:spacing w:after="0"/>
              <w:rPr>
                <w:sz w:val="20"/>
                <w:szCs w:val="20"/>
                <w:color w:val="auto"/>
              </w:rPr>
            </w:pPr>
            <w:r>
              <w:rPr>
                <w:rFonts w:ascii="Arial" w:cs="Arial" w:eastAsia="Arial" w:hAnsi="Arial"/>
                <w:sz w:val="13"/>
                <w:szCs w:val="13"/>
                <w:color w:val="auto"/>
              </w:rPr>
              <w:t>11/22/2019</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1360" w:type="dxa"/>
            <w:vAlign w:val="bottom"/>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Pr>
          <w:p>
            <w:pPr>
              <w:ind w:left="60"/>
              <w:spacing w:after="0"/>
              <w:rPr>
                <w:sz w:val="20"/>
                <w:szCs w:val="20"/>
                <w:color w:val="auto"/>
              </w:rPr>
            </w:pPr>
            <w:r>
              <w:rPr>
                <w:rFonts w:ascii="Arial" w:cs="Arial" w:eastAsia="Arial" w:hAnsi="Arial"/>
                <w:sz w:val="13"/>
                <w:szCs w:val="13"/>
                <w:color w:val="auto"/>
              </w:rPr>
              <w:t xml:space="preserve">11/22/24) </w:t>
            </w:r>
            <w:r>
              <w:rPr>
                <w:rFonts w:ascii="Arial" w:cs="Arial" w:eastAsia="Arial" w:hAnsi="Arial"/>
                <w:sz w:val="16"/>
                <w:szCs w:val="16"/>
                <w:color w:val="auto"/>
                <w:vertAlign w:val="superscript"/>
              </w:rPr>
              <w:t>(11)(16)</w:t>
            </w:r>
          </w:p>
        </w:tc>
        <w:tc>
          <w:tcPr>
            <w:tcW w:w="2240" w:type="dxa"/>
            <w:vAlign w:val="bottom"/>
          </w:tcPr>
          <w:p>
            <w:pPr>
              <w:jc w:val="right"/>
              <w:ind w:right="37"/>
              <w:spacing w:after="0"/>
              <w:rPr>
                <w:sz w:val="20"/>
                <w:szCs w:val="20"/>
                <w:color w:val="auto"/>
              </w:rPr>
            </w:pPr>
            <w:r>
              <w:rPr>
                <w:rFonts w:ascii="Arial" w:cs="Arial" w:eastAsia="Arial" w:hAnsi="Arial"/>
                <w:sz w:val="13"/>
                <w:szCs w:val="13"/>
                <w:color w:val="auto"/>
              </w:rPr>
              <w:t>7,234</w:t>
            </w:r>
          </w:p>
        </w:tc>
        <w:tc>
          <w:tcPr>
            <w:tcW w:w="1140" w:type="dxa"/>
            <w:vAlign w:val="bottom"/>
          </w:tcPr>
          <w:p>
            <w:pPr>
              <w:jc w:val="right"/>
              <w:spacing w:after="0"/>
              <w:rPr>
                <w:sz w:val="20"/>
                <w:szCs w:val="20"/>
                <w:color w:val="auto"/>
              </w:rPr>
            </w:pPr>
            <w:r>
              <w:rPr>
                <w:rFonts w:ascii="Arial" w:cs="Arial" w:eastAsia="Arial" w:hAnsi="Arial"/>
                <w:sz w:val="13"/>
                <w:szCs w:val="13"/>
                <w:color w:val="auto"/>
              </w:rPr>
              <w:t>7,234</w:t>
            </w:r>
          </w:p>
        </w:tc>
        <w:tc>
          <w:tcPr>
            <w:tcW w:w="1220" w:type="dxa"/>
            <w:vAlign w:val="bottom"/>
            <w:gridSpan w:val="2"/>
          </w:tcPr>
          <w:p>
            <w:pPr>
              <w:jc w:val="right"/>
              <w:spacing w:after="0"/>
              <w:rPr>
                <w:sz w:val="20"/>
                <w:szCs w:val="20"/>
                <w:color w:val="auto"/>
              </w:rPr>
            </w:pPr>
            <w:r>
              <w:rPr>
                <w:rFonts w:ascii="Arial" w:cs="Arial" w:eastAsia="Arial" w:hAnsi="Arial"/>
                <w:sz w:val="13"/>
                <w:szCs w:val="13"/>
                <w:color w:val="auto"/>
              </w:rPr>
              <w:t>7,234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6.6%</w:t>
            </w:r>
          </w:p>
        </w:tc>
        <w:tc>
          <w:tcPr>
            <w:tcW w:w="0" w:type="dxa"/>
            <w:vAlign w:val="bottom"/>
          </w:tcPr>
          <w:p>
            <w:pPr>
              <w:spacing w:after="0"/>
              <w:rPr>
                <w:sz w:val="1"/>
                <w:szCs w:val="1"/>
                <w:color w:val="auto"/>
              </w:rPr>
            </w:pPr>
          </w:p>
        </w:tc>
      </w:tr>
      <w:tr>
        <w:trPr>
          <w:trHeight w:val="173"/>
        </w:trPr>
        <w:tc>
          <w:tcPr>
            <w:tcW w:w="17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Rapid Fire Protection, Inc.</w:t>
            </w:r>
          </w:p>
        </w:tc>
        <w:tc>
          <w:tcPr>
            <w:tcW w:w="136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Security System</w:t>
            </w:r>
          </w:p>
        </w:tc>
        <w:tc>
          <w:tcPr>
            <w:tcW w:w="23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Common Stock (363 shares)</w:t>
            </w:r>
          </w:p>
        </w:tc>
        <w:tc>
          <w:tcPr>
            <w:tcW w:w="2240" w:type="dxa"/>
            <w:vAlign w:val="bottom"/>
            <w:shd w:val="clear" w:color="auto" w:fill="CFF0FC"/>
          </w:tcPr>
          <w:p>
            <w:pPr>
              <w:jc w:val="right"/>
              <w:ind w:right="1257"/>
              <w:spacing w:after="0"/>
              <w:rPr>
                <w:sz w:val="20"/>
                <w:szCs w:val="20"/>
                <w:color w:val="auto"/>
              </w:rPr>
            </w:pPr>
            <w:r>
              <w:rPr>
                <w:rFonts w:ascii="Arial" w:cs="Arial" w:eastAsia="Arial" w:hAnsi="Arial"/>
                <w:sz w:val="13"/>
                <w:szCs w:val="13"/>
                <w:color w:val="auto"/>
              </w:rPr>
              <w:t>11/22/2019</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10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1,528</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63"/>
        </w:trPr>
        <w:tc>
          <w:tcPr>
            <w:tcW w:w="1780" w:type="dxa"/>
            <w:vAlign w:val="bottom"/>
            <w:tcBorders>
              <w:bottom w:val="single" w:sz="8" w:color="CFF0FC"/>
            </w:tcBorders>
            <w:shd w:val="clear" w:color="auto" w:fill="CFF0FC"/>
          </w:tcPr>
          <w:p>
            <w:pPr>
              <w:spacing w:after="0"/>
              <w:rPr>
                <w:sz w:val="14"/>
                <w:szCs w:val="14"/>
                <w:color w:val="auto"/>
              </w:rPr>
            </w:pPr>
          </w:p>
        </w:tc>
        <w:tc>
          <w:tcPr>
            <w:tcW w:w="13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Services</w:t>
            </w:r>
          </w:p>
        </w:tc>
        <w:tc>
          <w:tcPr>
            <w:tcW w:w="2300" w:type="dxa"/>
            <w:vAlign w:val="bottom"/>
            <w:tcBorders>
              <w:bottom w:val="single" w:sz="8" w:color="CFF0FC"/>
            </w:tcBorders>
            <w:shd w:val="clear" w:color="auto" w:fill="CFF0FC"/>
          </w:tcPr>
          <w:p>
            <w:pPr>
              <w:spacing w:after="0"/>
              <w:rPr>
                <w:sz w:val="14"/>
                <w:szCs w:val="14"/>
                <w:color w:val="auto"/>
              </w:rPr>
            </w:pPr>
          </w:p>
        </w:tc>
        <w:tc>
          <w:tcPr>
            <w:tcW w:w="224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8,355</w:t>
            </w:r>
          </w:p>
        </w:tc>
        <w:tc>
          <w:tcPr>
            <w:tcW w:w="1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9,383</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-6828790</wp:posOffset>
            </wp:positionV>
            <wp:extent cx="6032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-6828790</wp:posOffset>
            </wp:positionV>
            <wp:extent cx="5143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-6125845</wp:posOffset>
            </wp:positionV>
            <wp:extent cx="60325"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-6125845</wp:posOffset>
            </wp:positionV>
            <wp:extent cx="51435"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-5431155</wp:posOffset>
            </wp:positionV>
            <wp:extent cx="60325"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-5431155</wp:posOffset>
            </wp:positionV>
            <wp:extent cx="51435"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-4625340</wp:posOffset>
            </wp:positionV>
            <wp:extent cx="6032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-4625340</wp:posOffset>
            </wp:positionV>
            <wp:extent cx="51435"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-3476625</wp:posOffset>
            </wp:positionV>
            <wp:extent cx="60325"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-3476625</wp:posOffset>
            </wp:positionV>
            <wp:extent cx="5143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-3133725</wp:posOffset>
            </wp:positionV>
            <wp:extent cx="60325"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-3133725</wp:posOffset>
            </wp:positionV>
            <wp:extent cx="51435"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-2233930</wp:posOffset>
            </wp:positionV>
            <wp:extent cx="60325"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-2233930</wp:posOffset>
            </wp:positionV>
            <wp:extent cx="51435" cy="57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-1530985</wp:posOffset>
            </wp:positionV>
            <wp:extent cx="60325"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-1530985</wp:posOffset>
            </wp:positionV>
            <wp:extent cx="51435"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-1024890</wp:posOffset>
            </wp:positionV>
            <wp:extent cx="60325"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-1024890</wp:posOffset>
            </wp:positionV>
            <wp:extent cx="51435" cy="57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-133350</wp:posOffset>
            </wp:positionV>
            <wp:extent cx="60325"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-133350</wp:posOffset>
            </wp:positionV>
            <wp:extent cx="51435"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0"/>
        </w:trPr>
        <w:tc>
          <w:tcPr>
            <w:tcW w:w="1960" w:type="dxa"/>
            <w:vAlign w:val="bottom"/>
          </w:tcPr>
          <w:p>
            <w:pPr>
              <w:ind w:left="20"/>
              <w:spacing w:after="0"/>
              <w:rPr>
                <w:sz w:val="20"/>
                <w:szCs w:val="20"/>
                <w:color w:val="auto"/>
              </w:rPr>
            </w:pPr>
            <w:r>
              <w:rPr>
                <w:rFonts w:ascii="Arial" w:cs="Arial" w:eastAsia="Arial" w:hAnsi="Arial"/>
                <w:sz w:val="13"/>
                <w:szCs w:val="13"/>
                <w:color w:val="auto"/>
              </w:rPr>
              <w:t>Seitel, Inc.</w:t>
            </w:r>
          </w:p>
        </w:tc>
        <w:tc>
          <w:tcPr>
            <w:tcW w:w="1140" w:type="dxa"/>
            <w:vAlign w:val="bottom"/>
          </w:tcPr>
          <w:p>
            <w:pPr>
              <w:ind w:left="20"/>
              <w:spacing w:after="0"/>
              <w:rPr>
                <w:sz w:val="20"/>
                <w:szCs w:val="20"/>
                <w:color w:val="auto"/>
              </w:rPr>
            </w:pPr>
            <w:r>
              <w:rPr>
                <w:rFonts w:ascii="Arial" w:cs="Arial" w:eastAsia="Arial" w:hAnsi="Arial"/>
                <w:sz w:val="13"/>
                <w:szCs w:val="13"/>
                <w:color w:val="auto"/>
              </w:rPr>
              <w:t>Data Services</w:t>
            </w:r>
          </w:p>
        </w:tc>
        <w:tc>
          <w:tcPr>
            <w:tcW w:w="2400" w:type="dxa"/>
            <w:vAlign w:val="bottom"/>
          </w:tcPr>
          <w:p>
            <w:pPr>
              <w:ind w:left="140"/>
              <w:spacing w:after="0"/>
              <w:rPr>
                <w:sz w:val="20"/>
                <w:szCs w:val="20"/>
                <w:color w:val="auto"/>
              </w:rPr>
            </w:pPr>
            <w:r>
              <w:rPr>
                <w:rFonts w:ascii="Arial" w:cs="Arial" w:eastAsia="Arial" w:hAnsi="Arial"/>
                <w:sz w:val="13"/>
                <w:szCs w:val="13"/>
                <w:color w:val="auto"/>
              </w:rPr>
              <w:t>First Lien Debt (9.3% Cash (3 month</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3/15/2019</w:t>
            </w: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LIBOR + 8.3%, 1.0% Floor) 2.0%</w:t>
            </w:r>
          </w:p>
        </w:tc>
        <w:tc>
          <w:tcPr>
            <w:tcW w:w="2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4,662</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3,856</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PIK, Due 3/15/23)</w:t>
            </w:r>
          </w:p>
        </w:tc>
        <w:tc>
          <w:tcPr>
            <w:tcW w:w="2220" w:type="dxa"/>
            <w:vAlign w:val="bottom"/>
          </w:tcPr>
          <w:p>
            <w:pPr>
              <w:jc w:val="right"/>
              <w:ind w:right="37"/>
              <w:spacing w:after="0"/>
              <w:rPr>
                <w:sz w:val="20"/>
                <w:szCs w:val="20"/>
                <w:color w:val="auto"/>
              </w:rPr>
            </w:pPr>
            <w:r>
              <w:rPr>
                <w:rFonts w:ascii="Arial" w:cs="Arial" w:eastAsia="Arial" w:hAnsi="Arial"/>
                <w:sz w:val="13"/>
                <w:szCs w:val="13"/>
                <w:color w:val="auto"/>
              </w:rPr>
              <w:t>4,662</w:t>
            </w: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3,856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2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Sequoia Healthcare Management,</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Healthcare</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First Lien Debt (12.8% Cash, Due</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8/21/2018</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11,935</w:t>
            </w:r>
          </w:p>
        </w:tc>
        <w:tc>
          <w:tcPr>
            <w:tcW w:w="8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10,673</w:t>
            </w:r>
          </w:p>
        </w:tc>
        <w:tc>
          <w:tcPr>
            <w:tcW w:w="80" w:type="dxa"/>
            <w:vAlign w:val="bottom"/>
            <w:vMerge w:val="restart"/>
            <w:shd w:val="clear" w:color="auto" w:fill="CFF0FC"/>
          </w:tcPr>
          <w:p>
            <w:pPr>
              <w:spacing w:after="0"/>
              <w:rPr>
                <w:sz w:val="14"/>
                <w:szCs w:val="14"/>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76"/>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LLC</w:t>
            </w:r>
          </w:p>
        </w:tc>
        <w:tc>
          <w:tcPr>
            <w:tcW w:w="1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Management</w:t>
            </w:r>
          </w:p>
        </w:tc>
        <w:tc>
          <w:tcPr>
            <w:tcW w:w="2400" w:type="dxa"/>
            <w:vAlign w:val="bottom"/>
            <w:tcBorders>
              <w:bottom w:val="single" w:sz="8" w:color="CFF0FC"/>
            </w:tcBorders>
            <w:shd w:val="clear" w:color="auto" w:fill="CFF0FC"/>
          </w:tcPr>
          <w:p>
            <w:pPr>
              <w:ind w:left="140"/>
              <w:spacing w:after="0" w:line="176" w:lineRule="exact"/>
              <w:rPr>
                <w:sz w:val="20"/>
                <w:szCs w:val="20"/>
                <w:color w:val="auto"/>
              </w:rPr>
            </w:pPr>
            <w:r>
              <w:rPr>
                <w:rFonts w:ascii="Arial" w:cs="Arial" w:eastAsia="Arial" w:hAnsi="Arial"/>
                <w:sz w:val="13"/>
                <w:szCs w:val="13"/>
                <w:color w:val="auto"/>
              </w:rPr>
              <w:t xml:space="preserve">1/11/21) </w:t>
            </w:r>
            <w:r>
              <w:rPr>
                <w:rFonts w:ascii="Arial" w:cs="Arial" w:eastAsia="Arial" w:hAnsi="Arial"/>
                <w:sz w:val="16"/>
                <w:szCs w:val="16"/>
                <w:color w:val="auto"/>
                <w:vertAlign w:val="superscript"/>
              </w:rPr>
              <w:t>(6)(7)</w:t>
            </w:r>
          </w:p>
        </w:tc>
        <w:tc>
          <w:tcPr>
            <w:tcW w:w="2220" w:type="dxa"/>
            <w:vAlign w:val="bottom"/>
            <w:tcBorders>
              <w:bottom w:val="single" w:sz="8" w:color="CFF0FC"/>
            </w:tcBorders>
            <w:shd w:val="clear" w:color="auto" w:fill="CFF0FC"/>
          </w:tcPr>
          <w:p>
            <w:pPr>
              <w:jc w:val="right"/>
              <w:ind w:right="37"/>
              <w:spacing w:after="0"/>
              <w:rPr>
                <w:sz w:val="20"/>
                <w:szCs w:val="20"/>
                <w:color w:val="auto"/>
              </w:rPr>
            </w:pPr>
            <w:r>
              <w:rPr>
                <w:rFonts w:ascii="Arial" w:cs="Arial" w:eastAsia="Arial" w:hAnsi="Arial"/>
                <w:sz w:val="13"/>
                <w:szCs w:val="13"/>
                <w:color w:val="auto"/>
              </w:rPr>
              <w:t>11,935</w:t>
            </w: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80" w:type="dxa"/>
            <w:vAlign w:val="bottom"/>
            <w:tcBorders>
              <w:bottom w:val="single" w:sz="8" w:color="CFF0FC"/>
            </w:tcBorders>
            <w:vMerge w:val="continue"/>
            <w:shd w:val="clear" w:color="auto" w:fill="CFF0FC"/>
          </w:tcPr>
          <w:p>
            <w:pPr>
              <w:spacing w:after="0"/>
              <w:rPr>
                <w:sz w:val="15"/>
                <w:szCs w:val="15"/>
                <w:color w:val="auto"/>
              </w:rPr>
            </w:pPr>
          </w:p>
        </w:tc>
        <w:tc>
          <w:tcPr>
            <w:tcW w:w="1120" w:type="dxa"/>
            <w:vAlign w:val="bottom"/>
            <w:tcBorders>
              <w:bottom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11,935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10,673</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Taylor Precision Products, Inc.</w:t>
            </w:r>
          </w:p>
        </w:tc>
        <w:tc>
          <w:tcPr>
            <w:tcW w:w="1140" w:type="dxa"/>
            <w:vAlign w:val="bottom"/>
          </w:tcPr>
          <w:p>
            <w:pPr>
              <w:ind w:left="20"/>
              <w:spacing w:after="0"/>
              <w:rPr>
                <w:sz w:val="20"/>
                <w:szCs w:val="20"/>
                <w:color w:val="auto"/>
              </w:rPr>
            </w:pPr>
            <w:r>
              <w:rPr>
                <w:rFonts w:ascii="Arial" w:cs="Arial" w:eastAsia="Arial" w:hAnsi="Arial"/>
                <w:sz w:val="13"/>
                <w:szCs w:val="13"/>
                <w:color w:val="auto"/>
                <w:w w:val="99"/>
              </w:rPr>
              <w:t>Household Product</w:t>
            </w:r>
          </w:p>
        </w:tc>
        <w:tc>
          <w:tcPr>
            <w:tcW w:w="2400" w:type="dxa"/>
            <w:vAlign w:val="bottom"/>
          </w:tcPr>
          <w:p>
            <w:pPr>
              <w:ind w:left="140"/>
              <w:spacing w:after="0"/>
              <w:rPr>
                <w:sz w:val="20"/>
                <w:szCs w:val="20"/>
                <w:color w:val="auto"/>
              </w:rPr>
            </w:pPr>
            <w:r>
              <w:rPr>
                <w:rFonts w:ascii="Arial" w:cs="Arial" w:eastAsia="Arial" w:hAnsi="Arial"/>
                <w:sz w:val="13"/>
                <w:szCs w:val="13"/>
                <w:color w:val="auto"/>
              </w:rPr>
              <w:t>Series C Preferred Stock (379 shares)</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12/23/2014</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758</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758</w:t>
            </w:r>
          </w:p>
        </w:tc>
        <w:tc>
          <w:tcPr>
            <w:tcW w:w="80" w:type="dxa"/>
            <w:vAlign w:val="bottom"/>
            <w:vMerge w:val="restart"/>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2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BioTek Laboratories, LLC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Testing laboratories</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First Lien Debt (7.0% Cash (3 month</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6/1/2020</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LIBOR + 5.0%, 2.0% Floor), Due</w:t>
            </w:r>
          </w:p>
        </w:tc>
        <w:tc>
          <w:tcPr>
            <w:tcW w:w="2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12/14/23)</w:t>
            </w:r>
          </w:p>
        </w:tc>
        <w:tc>
          <w:tcPr>
            <w:tcW w:w="222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1,450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1,450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U.S. BioTek Laboratories, LLC</w:t>
            </w:r>
          </w:p>
        </w:tc>
        <w:tc>
          <w:tcPr>
            <w:tcW w:w="1140" w:type="dxa"/>
            <w:vAlign w:val="bottom"/>
          </w:tcPr>
          <w:p>
            <w:pPr>
              <w:ind w:left="20"/>
              <w:spacing w:after="0"/>
              <w:rPr>
                <w:sz w:val="20"/>
                <w:szCs w:val="20"/>
                <w:color w:val="auto"/>
              </w:rPr>
            </w:pPr>
            <w:r>
              <w:rPr>
                <w:rFonts w:ascii="Arial" w:cs="Arial" w:eastAsia="Arial" w:hAnsi="Arial"/>
                <w:sz w:val="13"/>
                <w:szCs w:val="13"/>
                <w:color w:val="auto"/>
                <w:w w:val="96"/>
              </w:rPr>
              <w:t>Testing laboratories</w:t>
            </w:r>
          </w:p>
        </w:tc>
        <w:tc>
          <w:tcPr>
            <w:tcW w:w="2400" w:type="dxa"/>
            <w:vAlign w:val="bottom"/>
          </w:tcPr>
          <w:p>
            <w:pPr>
              <w:ind w:left="140"/>
              <w:spacing w:after="0"/>
              <w:rPr>
                <w:sz w:val="20"/>
                <w:szCs w:val="20"/>
                <w:color w:val="auto"/>
              </w:rPr>
            </w:pPr>
            <w:r>
              <w:rPr>
                <w:rFonts w:ascii="Arial" w:cs="Arial" w:eastAsia="Arial" w:hAnsi="Arial"/>
                <w:sz w:val="13"/>
                <w:szCs w:val="13"/>
                <w:color w:val="auto"/>
              </w:rPr>
              <w:t>First Lien Debt (9.3% Cash, Due</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12/14/2018</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 xml:space="preserve">12/14/23) </w:t>
            </w:r>
            <w:r>
              <w:rPr>
                <w:rFonts w:ascii="Arial" w:cs="Arial" w:eastAsia="Arial" w:hAnsi="Arial"/>
                <w:sz w:val="16"/>
                <w:szCs w:val="16"/>
                <w:color w:val="auto"/>
                <w:vertAlign w:val="superscript"/>
              </w:rPr>
              <w:t>(11) (12)</w:t>
            </w:r>
          </w:p>
        </w:tc>
        <w:tc>
          <w:tcPr>
            <w:tcW w:w="2220" w:type="dxa"/>
            <w:vAlign w:val="bottom"/>
          </w:tcPr>
          <w:p>
            <w:pPr>
              <w:jc w:val="right"/>
              <w:ind w:right="37"/>
              <w:spacing w:after="0"/>
              <w:rPr>
                <w:sz w:val="20"/>
                <w:szCs w:val="20"/>
                <w:color w:val="auto"/>
              </w:rPr>
            </w:pPr>
            <w:r>
              <w:rPr>
                <w:rFonts w:ascii="Arial" w:cs="Arial" w:eastAsia="Arial" w:hAnsi="Arial"/>
                <w:sz w:val="13"/>
                <w:szCs w:val="13"/>
                <w:color w:val="auto"/>
              </w:rPr>
              <w:t>4,511</w:t>
            </w:r>
          </w:p>
        </w:tc>
        <w:tc>
          <w:tcPr>
            <w:tcW w:w="1120" w:type="dxa"/>
            <w:vAlign w:val="bottom"/>
          </w:tcPr>
          <w:p>
            <w:pPr>
              <w:jc w:val="right"/>
              <w:spacing w:after="0"/>
              <w:rPr>
                <w:sz w:val="20"/>
                <w:szCs w:val="20"/>
                <w:color w:val="auto"/>
              </w:rPr>
            </w:pPr>
            <w:r>
              <w:rPr>
                <w:rFonts w:ascii="Arial" w:cs="Arial" w:eastAsia="Arial" w:hAnsi="Arial"/>
                <w:sz w:val="13"/>
                <w:szCs w:val="13"/>
                <w:color w:val="auto"/>
              </w:rPr>
              <w:t>4,511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4,511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U.S. BioTek Laboratories, LLC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Testing laboratories</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Class A Preferred Units (500 Units)</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12/14/2018</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U.S. BioTek Laboratories, LLC</w:t>
            </w:r>
          </w:p>
        </w:tc>
        <w:tc>
          <w:tcPr>
            <w:tcW w:w="1140" w:type="dxa"/>
            <w:vAlign w:val="bottom"/>
          </w:tcPr>
          <w:p>
            <w:pPr>
              <w:ind w:left="20"/>
              <w:spacing w:after="0"/>
              <w:rPr>
                <w:sz w:val="20"/>
                <w:szCs w:val="20"/>
                <w:color w:val="auto"/>
              </w:rPr>
            </w:pPr>
            <w:r>
              <w:rPr>
                <w:rFonts w:ascii="Arial" w:cs="Arial" w:eastAsia="Arial" w:hAnsi="Arial"/>
                <w:sz w:val="13"/>
                <w:szCs w:val="13"/>
                <w:color w:val="auto"/>
                <w:w w:val="96"/>
              </w:rPr>
              <w:t>Testing laboratories</w:t>
            </w:r>
          </w:p>
        </w:tc>
        <w:tc>
          <w:tcPr>
            <w:tcW w:w="2400" w:type="dxa"/>
            <w:vAlign w:val="bottom"/>
          </w:tcPr>
          <w:p>
            <w:pPr>
              <w:ind w:left="140"/>
              <w:spacing w:after="0"/>
              <w:rPr>
                <w:sz w:val="20"/>
                <w:szCs w:val="20"/>
                <w:color w:val="auto"/>
              </w:rPr>
            </w:pPr>
            <w:r>
              <w:rPr>
                <w:rFonts w:ascii="Arial" w:cs="Arial" w:eastAsia="Arial" w:hAnsi="Arial"/>
                <w:sz w:val="13"/>
                <w:szCs w:val="13"/>
                <w:color w:val="auto"/>
              </w:rPr>
              <w:t>Class C Units (578 Units)</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12/14/2018</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90"/>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U.S. BioTek Laboratories, LLC</w:t>
            </w:r>
          </w:p>
        </w:tc>
        <w:tc>
          <w:tcPr>
            <w:tcW w:w="1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6"/>
              </w:rPr>
              <w:t>Testing laboratories</w:t>
            </w:r>
          </w:p>
        </w:tc>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Class D Preferred Units (78 Units)</w:t>
            </w:r>
          </w:p>
        </w:tc>
        <w:tc>
          <w:tcPr>
            <w:tcW w:w="2220" w:type="dxa"/>
            <w:vAlign w:val="bottom"/>
            <w:tcBorders>
              <w:bottom w:val="single" w:sz="8" w:color="CFF0FC"/>
            </w:tcBorders>
            <w:shd w:val="clear" w:color="auto" w:fill="CFF0FC"/>
          </w:tcPr>
          <w:p>
            <w:pPr>
              <w:jc w:val="right"/>
              <w:ind w:right="1237"/>
              <w:spacing w:after="0"/>
              <w:rPr>
                <w:sz w:val="20"/>
                <w:szCs w:val="20"/>
                <w:color w:val="auto"/>
              </w:rPr>
            </w:pPr>
            <w:r>
              <w:rPr>
                <w:rFonts w:ascii="Arial" w:cs="Arial" w:eastAsia="Arial" w:hAnsi="Arial"/>
                <w:sz w:val="13"/>
                <w:szCs w:val="13"/>
                <w:color w:val="auto"/>
              </w:rPr>
              <w:t>4/3/2020</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w:t>
            </w: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w:t>
            </w:r>
          </w:p>
        </w:tc>
        <w:tc>
          <w:tcPr>
            <w:tcW w:w="80" w:type="dxa"/>
            <w:vAlign w:val="bottom"/>
            <w:tcBorders>
              <w:bottom w:val="single" w:sz="8" w:color="CFF0FC"/>
            </w:tcBorders>
            <w:shd w:val="clear" w:color="auto" w:fill="CFF0FC"/>
          </w:tcPr>
          <w:p>
            <w:pPr>
              <w:spacing w:after="0"/>
              <w:rPr>
                <w:sz w:val="16"/>
                <w:szCs w:val="16"/>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6,580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6,449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U.S. Well Services, Inc.</w:t>
            </w:r>
          </w:p>
        </w:tc>
        <w:tc>
          <w:tcPr>
            <w:tcW w:w="1140" w:type="dxa"/>
            <w:vAlign w:val="bottom"/>
          </w:tcPr>
          <w:p>
            <w:pPr>
              <w:ind w:left="20"/>
              <w:spacing w:after="0"/>
              <w:rPr>
                <w:sz w:val="20"/>
                <w:szCs w:val="20"/>
                <w:color w:val="auto"/>
              </w:rPr>
            </w:pPr>
            <w:r>
              <w:rPr>
                <w:rFonts w:ascii="Arial" w:cs="Arial" w:eastAsia="Arial" w:hAnsi="Arial"/>
                <w:sz w:val="13"/>
                <w:szCs w:val="13"/>
                <w:color w:val="auto"/>
              </w:rPr>
              <w:t>Oil &amp; Gas Services</w:t>
            </w:r>
          </w:p>
        </w:tc>
        <w:tc>
          <w:tcPr>
            <w:tcW w:w="2400" w:type="dxa"/>
            <w:vAlign w:val="bottom"/>
          </w:tcPr>
          <w:p>
            <w:pPr>
              <w:ind w:left="140"/>
              <w:spacing w:after="0"/>
              <w:rPr>
                <w:sz w:val="20"/>
                <w:szCs w:val="20"/>
                <w:color w:val="auto"/>
              </w:rPr>
            </w:pPr>
            <w:r>
              <w:rPr>
                <w:rFonts w:ascii="Arial" w:cs="Arial" w:eastAsia="Arial" w:hAnsi="Arial"/>
                <w:sz w:val="13"/>
                <w:szCs w:val="13"/>
                <w:color w:val="auto"/>
              </w:rPr>
              <w:t>Class A Common Stock (1,202,499</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11/9/2018</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1,244</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493</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ind w:left="140"/>
              <w:spacing w:after="0" w:line="176" w:lineRule="exact"/>
              <w:rPr>
                <w:sz w:val="20"/>
                <w:szCs w:val="20"/>
                <w:color w:val="auto"/>
              </w:rPr>
            </w:pPr>
            <w:r>
              <w:rPr>
                <w:rFonts w:ascii="Arial" w:cs="Arial" w:eastAsia="Arial" w:hAnsi="Arial"/>
                <w:sz w:val="13"/>
                <w:szCs w:val="13"/>
                <w:color w:val="auto"/>
              </w:rPr>
              <w:t xml:space="preserve">shares) </w:t>
            </w:r>
            <w:r>
              <w:rPr>
                <w:rFonts w:ascii="Arial" w:cs="Arial" w:eastAsia="Arial" w:hAnsi="Arial"/>
                <w:sz w:val="16"/>
                <w:szCs w:val="16"/>
                <w:color w:val="auto"/>
                <w:vertAlign w:val="superscript"/>
              </w:rPr>
              <w:t>(17)</w:t>
            </w:r>
          </w:p>
        </w:tc>
        <w:tc>
          <w:tcPr>
            <w:tcW w:w="222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493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2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Xirgo Technologies, LLC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Information</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Membership Units (600,000 units)</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12/1/2016</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600</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2,735</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63"/>
        </w:trPr>
        <w:tc>
          <w:tcPr>
            <w:tcW w:w="19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Technology</w:t>
            </w:r>
          </w:p>
        </w:tc>
        <w:tc>
          <w:tcPr>
            <w:tcW w:w="2400" w:type="dxa"/>
            <w:vAlign w:val="bottom"/>
            <w:tcBorders>
              <w:bottom w:val="single" w:sz="8" w:color="CFF0FC"/>
            </w:tcBorders>
            <w:shd w:val="clear" w:color="auto" w:fill="CFF0FC"/>
          </w:tcPr>
          <w:p>
            <w:pPr>
              <w:spacing w:after="0"/>
              <w:rPr>
                <w:sz w:val="14"/>
                <w:szCs w:val="14"/>
                <w:color w:val="auto"/>
              </w:rPr>
            </w:pPr>
          </w:p>
        </w:tc>
        <w:tc>
          <w:tcPr>
            <w:tcW w:w="22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2,735</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89"/>
        </w:trPr>
        <w:tc>
          <w:tcPr>
            <w:tcW w:w="5500" w:type="dxa"/>
            <w:vAlign w:val="bottom"/>
            <w:gridSpan w:val="3"/>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00" w:type="dxa"/>
            <w:vAlign w:val="bottom"/>
            <w:gridSpan w:val="3"/>
          </w:tcPr>
          <w:p>
            <w:pPr>
              <w:ind w:left="20"/>
              <w:spacing w:after="0"/>
              <w:rPr>
                <w:sz w:val="20"/>
                <w:szCs w:val="20"/>
                <w:color w:val="auto"/>
              </w:rPr>
            </w:pPr>
            <w:r>
              <w:rPr>
                <w:rFonts w:ascii="Arial" w:cs="Arial" w:eastAsia="Arial" w:hAnsi="Arial"/>
                <w:sz w:val="13"/>
                <w:szCs w:val="13"/>
                <w:b w:val="1"/>
                <w:bCs w:val="1"/>
                <w:color w:val="auto"/>
              </w:rPr>
              <w:t>Sub Total Non-control/non-affiliated investments - United States</w:t>
            </w:r>
          </w:p>
        </w:tc>
        <w:tc>
          <w:tcPr>
            <w:tcW w:w="2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$187,744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$172,848</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158.7%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2400" w:type="dxa"/>
            <w:vAlign w:val="bottom"/>
            <w:shd w:val="clear" w:color="auto" w:fill="CFF0FC"/>
          </w:tcPr>
          <w:p>
            <w:pPr>
              <w:spacing w:after="0"/>
              <w:rPr>
                <w:sz w:val="14"/>
                <w:szCs w:val="14"/>
                <w:color w:val="auto"/>
              </w:rPr>
            </w:pPr>
          </w:p>
        </w:tc>
        <w:tc>
          <w:tcPr>
            <w:tcW w:w="222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Affiliate Investments - 85.7%</w:t>
            </w: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86"/>
              </w:rPr>
              <w:t>Affiliate investments - United States</w:t>
            </w:r>
          </w:p>
        </w:tc>
        <w:tc>
          <w:tcPr>
            <w:tcW w:w="114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22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Burgaflex Holdings, LLC</w:t>
            </w:r>
          </w:p>
        </w:tc>
        <w:tc>
          <w:tcPr>
            <w:tcW w:w="1140" w:type="dxa"/>
            <w:vAlign w:val="bottom"/>
          </w:tcPr>
          <w:p>
            <w:pPr>
              <w:ind w:left="20"/>
              <w:spacing w:after="0"/>
              <w:rPr>
                <w:sz w:val="20"/>
                <w:szCs w:val="20"/>
                <w:color w:val="auto"/>
              </w:rPr>
            </w:pPr>
            <w:r>
              <w:rPr>
                <w:rFonts w:ascii="Arial" w:cs="Arial" w:eastAsia="Arial" w:hAnsi="Arial"/>
                <w:sz w:val="13"/>
                <w:szCs w:val="13"/>
                <w:color w:val="auto"/>
              </w:rPr>
              <w:t>Automobile Part</w:t>
            </w:r>
          </w:p>
        </w:tc>
        <w:tc>
          <w:tcPr>
            <w:tcW w:w="2400" w:type="dxa"/>
            <w:vAlign w:val="bottom"/>
          </w:tcPr>
          <w:p>
            <w:pPr>
              <w:ind w:left="140"/>
              <w:spacing w:after="0"/>
              <w:rPr>
                <w:sz w:val="20"/>
                <w:szCs w:val="20"/>
                <w:color w:val="auto"/>
              </w:rPr>
            </w:pPr>
            <w:r>
              <w:rPr>
                <w:rFonts w:ascii="Arial" w:cs="Arial" w:eastAsia="Arial" w:hAnsi="Arial"/>
                <w:sz w:val="13"/>
                <w:szCs w:val="13"/>
                <w:color w:val="auto"/>
              </w:rPr>
              <w:t>First Lien Debt (12.0% Cash, 3.0%</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3/23/2018</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tcPr>
          <w:p>
            <w:pPr>
              <w:ind w:left="140"/>
              <w:spacing w:after="0"/>
              <w:rPr>
                <w:sz w:val="20"/>
                <w:szCs w:val="20"/>
                <w:color w:val="auto"/>
              </w:rPr>
            </w:pPr>
            <w:r>
              <w:rPr>
                <w:rFonts w:ascii="Arial" w:cs="Arial" w:eastAsia="Arial" w:hAnsi="Arial"/>
                <w:sz w:val="13"/>
                <w:szCs w:val="13"/>
                <w:color w:val="auto"/>
              </w:rPr>
              <w:t>PIK, Due 3/23/21)</w:t>
            </w:r>
          </w:p>
        </w:tc>
        <w:tc>
          <w:tcPr>
            <w:tcW w:w="2220" w:type="dxa"/>
            <w:vAlign w:val="bottom"/>
          </w:tcPr>
          <w:p>
            <w:pPr>
              <w:jc w:val="right"/>
              <w:ind w:right="37"/>
              <w:spacing w:after="0"/>
              <w:rPr>
                <w:sz w:val="20"/>
                <w:szCs w:val="20"/>
                <w:color w:val="auto"/>
              </w:rPr>
            </w:pPr>
            <w:r>
              <w:rPr>
                <w:rFonts w:ascii="Arial" w:cs="Arial" w:eastAsia="Arial" w:hAnsi="Arial"/>
                <w:sz w:val="13"/>
                <w:szCs w:val="13"/>
                <w:color w:val="auto"/>
              </w:rPr>
              <w:t>$13,597</w:t>
            </w:r>
          </w:p>
        </w:tc>
        <w:tc>
          <w:tcPr>
            <w:tcW w:w="1120" w:type="dxa"/>
            <w:vAlign w:val="bottom"/>
          </w:tcPr>
          <w:p>
            <w:pPr>
              <w:jc w:val="right"/>
              <w:spacing w:after="0"/>
              <w:rPr>
                <w:sz w:val="20"/>
                <w:szCs w:val="20"/>
                <w:color w:val="auto"/>
              </w:rPr>
            </w:pPr>
            <w:r>
              <w:rPr>
                <w:rFonts w:ascii="Arial" w:cs="Arial" w:eastAsia="Arial" w:hAnsi="Arial"/>
                <w:sz w:val="13"/>
                <w:szCs w:val="13"/>
                <w:color w:val="auto"/>
              </w:rPr>
              <w:t>$13,597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$13,597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12.5%</w:t>
            </w:r>
          </w:p>
        </w:tc>
        <w:tc>
          <w:tcPr>
            <w:tcW w:w="0" w:type="dxa"/>
            <w:vAlign w:val="bottom"/>
          </w:tcPr>
          <w:p>
            <w:pPr>
              <w:spacing w:after="0"/>
              <w:rPr>
                <w:sz w:val="1"/>
                <w:szCs w:val="1"/>
                <w:color w:val="auto"/>
              </w:rPr>
            </w:pPr>
          </w:p>
        </w:tc>
      </w:tr>
      <w:tr>
        <w:trPr>
          <w:trHeight w:val="181"/>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Burgaflex Holdings, LLC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Automobile Part</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Common Stock Class B (1,085,073</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5/7/2019</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shares)</w:t>
            </w:r>
          </w:p>
        </w:tc>
        <w:tc>
          <w:tcPr>
            <w:tcW w:w="2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1,338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Burgaflex Holdings, LLC</w:t>
            </w:r>
          </w:p>
        </w:tc>
        <w:tc>
          <w:tcPr>
            <w:tcW w:w="1140" w:type="dxa"/>
            <w:vAlign w:val="bottom"/>
          </w:tcPr>
          <w:p>
            <w:pPr>
              <w:ind w:left="20"/>
              <w:spacing w:after="0"/>
              <w:rPr>
                <w:sz w:val="20"/>
                <w:szCs w:val="20"/>
                <w:color w:val="auto"/>
              </w:rPr>
            </w:pPr>
            <w:r>
              <w:rPr>
                <w:rFonts w:ascii="Arial" w:cs="Arial" w:eastAsia="Arial" w:hAnsi="Arial"/>
                <w:sz w:val="13"/>
                <w:szCs w:val="13"/>
                <w:color w:val="auto"/>
              </w:rPr>
              <w:t>Automobile Part</w:t>
            </w:r>
          </w:p>
        </w:tc>
        <w:tc>
          <w:tcPr>
            <w:tcW w:w="2400" w:type="dxa"/>
            <w:vAlign w:val="bottom"/>
          </w:tcPr>
          <w:p>
            <w:pPr>
              <w:ind w:left="140"/>
              <w:spacing w:after="0"/>
              <w:rPr>
                <w:sz w:val="20"/>
                <w:szCs w:val="20"/>
                <w:color w:val="auto"/>
              </w:rPr>
            </w:pPr>
            <w:r>
              <w:rPr>
                <w:rFonts w:ascii="Arial" w:cs="Arial" w:eastAsia="Arial" w:hAnsi="Arial"/>
                <w:sz w:val="13"/>
                <w:szCs w:val="13"/>
                <w:color w:val="auto"/>
              </w:rPr>
              <w:t>Common Stock Class A (1,253,198</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7/15/2014</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tcPr>
          <w:p>
            <w:pPr>
              <w:ind w:left="140"/>
              <w:spacing w:after="0"/>
              <w:rPr>
                <w:sz w:val="20"/>
                <w:szCs w:val="20"/>
                <w:color w:val="auto"/>
              </w:rPr>
            </w:pPr>
            <w:r>
              <w:rPr>
                <w:rFonts w:ascii="Arial" w:cs="Arial" w:eastAsia="Arial" w:hAnsi="Arial"/>
                <w:sz w:val="13"/>
                <w:szCs w:val="13"/>
                <w:color w:val="auto"/>
              </w:rPr>
              <w:t>shares)</w:t>
            </w:r>
          </w:p>
        </w:tc>
        <w:tc>
          <w:tcPr>
            <w:tcW w:w="222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1,504</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9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15,463</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14,935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4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2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City Gear, LLC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Footwear Retail</w:t>
            </w:r>
          </w:p>
        </w:tc>
        <w:tc>
          <w:tcPr>
            <w:tcW w:w="2400" w:type="dxa"/>
            <w:vAlign w:val="bottom"/>
            <w:shd w:val="clear" w:color="auto" w:fill="CFF0FC"/>
          </w:tcPr>
          <w:p>
            <w:pPr>
              <w:ind w:left="140"/>
              <w:spacing w:after="0" w:line="175" w:lineRule="exact"/>
              <w:rPr>
                <w:sz w:val="20"/>
                <w:szCs w:val="20"/>
                <w:color w:val="auto"/>
              </w:rPr>
            </w:pPr>
            <w:r>
              <w:rPr>
                <w:rFonts w:ascii="Arial" w:cs="Arial" w:eastAsia="Arial" w:hAnsi="Arial"/>
                <w:sz w:val="13"/>
                <w:szCs w:val="13"/>
                <w:color w:val="auto"/>
              </w:rPr>
              <w:t xml:space="preserve">Membership Unit Warrants </w:t>
            </w:r>
            <w:r>
              <w:rPr>
                <w:rFonts w:ascii="Arial" w:cs="Arial" w:eastAsia="Arial" w:hAnsi="Arial"/>
                <w:sz w:val="16"/>
                <w:szCs w:val="16"/>
                <w:color w:val="auto"/>
                <w:vertAlign w:val="superscript"/>
              </w:rPr>
              <w:t>(14)</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6/28/2012</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22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2,011</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344"/>
        </w:trPr>
        <w:tc>
          <w:tcPr>
            <w:tcW w:w="1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2,011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Eastport Holdings, LLC</w:t>
            </w:r>
          </w:p>
        </w:tc>
        <w:tc>
          <w:tcPr>
            <w:tcW w:w="1140" w:type="dxa"/>
            <w:vAlign w:val="bottom"/>
          </w:tcPr>
          <w:p>
            <w:pPr>
              <w:ind w:left="20"/>
              <w:spacing w:after="0"/>
              <w:rPr>
                <w:sz w:val="20"/>
                <w:szCs w:val="20"/>
                <w:color w:val="auto"/>
              </w:rPr>
            </w:pPr>
            <w:r>
              <w:rPr>
                <w:rFonts w:ascii="Arial" w:cs="Arial" w:eastAsia="Arial" w:hAnsi="Arial"/>
                <w:sz w:val="13"/>
                <w:szCs w:val="13"/>
                <w:color w:val="auto"/>
              </w:rPr>
              <w:t>Business Services</w:t>
            </w:r>
          </w:p>
        </w:tc>
        <w:tc>
          <w:tcPr>
            <w:tcW w:w="2400" w:type="dxa"/>
            <w:vAlign w:val="bottom"/>
          </w:tcPr>
          <w:p>
            <w:pPr>
              <w:ind w:left="140"/>
              <w:spacing w:after="0"/>
              <w:rPr>
                <w:sz w:val="20"/>
                <w:szCs w:val="20"/>
                <w:color w:val="auto"/>
              </w:rPr>
            </w:pPr>
            <w:r>
              <w:rPr>
                <w:rFonts w:ascii="Arial" w:cs="Arial" w:eastAsia="Arial" w:hAnsi="Arial"/>
                <w:sz w:val="13"/>
                <w:szCs w:val="13"/>
                <w:color w:val="auto"/>
              </w:rPr>
              <w:t>Second Lien Debt (13.5% Cash (3</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1/12/2016</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month LIBOR + 13.0%, 0.5% Floor),</w:t>
            </w:r>
          </w:p>
        </w:tc>
        <w:tc>
          <w:tcPr>
            <w:tcW w:w="2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0" w:type="dxa"/>
            <w:vAlign w:val="bottom"/>
          </w:tcPr>
          <w:p>
            <w:pPr>
              <w:ind w:left="140"/>
              <w:spacing w:after="0"/>
              <w:rPr>
                <w:sz w:val="20"/>
                <w:szCs w:val="20"/>
                <w:color w:val="auto"/>
              </w:rPr>
            </w:pPr>
            <w:r>
              <w:rPr>
                <w:rFonts w:ascii="Arial" w:cs="Arial" w:eastAsia="Arial" w:hAnsi="Arial"/>
                <w:sz w:val="13"/>
                <w:szCs w:val="13"/>
                <w:color w:val="auto"/>
              </w:rPr>
              <w:t xml:space="preserve">Due 12/29/21) </w:t>
            </w:r>
            <w:r>
              <w:rPr>
                <w:rFonts w:ascii="Arial" w:cs="Arial" w:eastAsia="Arial" w:hAnsi="Arial"/>
                <w:sz w:val="16"/>
                <w:szCs w:val="16"/>
                <w:color w:val="auto"/>
                <w:vertAlign w:val="superscript"/>
              </w:rPr>
              <w:t>(6)</w:t>
            </w:r>
          </w:p>
        </w:tc>
        <w:tc>
          <w:tcPr>
            <w:tcW w:w="2220" w:type="dxa"/>
            <w:vAlign w:val="bottom"/>
          </w:tcPr>
          <w:p>
            <w:pPr>
              <w:jc w:val="right"/>
              <w:ind w:right="37"/>
              <w:spacing w:after="0"/>
              <w:rPr>
                <w:sz w:val="20"/>
                <w:szCs w:val="20"/>
                <w:color w:val="auto"/>
              </w:rPr>
            </w:pPr>
            <w:r>
              <w:rPr>
                <w:rFonts w:ascii="Arial" w:cs="Arial" w:eastAsia="Arial" w:hAnsi="Arial"/>
                <w:sz w:val="13"/>
                <w:szCs w:val="13"/>
                <w:color w:val="auto"/>
              </w:rPr>
              <w:t>16,500</w:t>
            </w:r>
          </w:p>
        </w:tc>
        <w:tc>
          <w:tcPr>
            <w:tcW w:w="1120" w:type="dxa"/>
            <w:vAlign w:val="bottom"/>
          </w:tcPr>
          <w:p>
            <w:pPr>
              <w:jc w:val="right"/>
              <w:spacing w:after="0"/>
              <w:rPr>
                <w:sz w:val="20"/>
                <w:szCs w:val="20"/>
                <w:color w:val="auto"/>
              </w:rPr>
            </w:pPr>
            <w:r>
              <w:rPr>
                <w:rFonts w:ascii="Arial" w:cs="Arial" w:eastAsia="Arial" w:hAnsi="Arial"/>
                <w:sz w:val="13"/>
                <w:szCs w:val="13"/>
                <w:color w:val="auto"/>
              </w:rPr>
              <w:t>16,329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16,500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Eastport Holdings, LLC</w:t>
            </w:r>
          </w:p>
        </w:tc>
        <w:tc>
          <w:tcPr>
            <w:tcW w:w="1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Business Services</w:t>
            </w:r>
          </w:p>
        </w:tc>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Membership Units (22.9% ownership)</w:t>
            </w:r>
          </w:p>
        </w:tc>
        <w:tc>
          <w:tcPr>
            <w:tcW w:w="2220" w:type="dxa"/>
            <w:vAlign w:val="bottom"/>
            <w:tcBorders>
              <w:bottom w:val="single" w:sz="8" w:color="CFF0FC"/>
            </w:tcBorders>
            <w:shd w:val="clear" w:color="auto" w:fill="CFF0FC"/>
          </w:tcPr>
          <w:p>
            <w:pPr>
              <w:jc w:val="right"/>
              <w:ind w:right="1237"/>
              <w:spacing w:after="0"/>
              <w:rPr>
                <w:sz w:val="20"/>
                <w:szCs w:val="20"/>
                <w:color w:val="auto"/>
              </w:rPr>
            </w:pPr>
            <w:r>
              <w:rPr>
                <w:rFonts w:ascii="Arial" w:cs="Arial" w:eastAsia="Arial" w:hAnsi="Arial"/>
                <w:sz w:val="13"/>
                <w:szCs w:val="13"/>
                <w:color w:val="auto"/>
              </w:rPr>
              <w:t>1/12/2016</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3,263</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20,294</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19,592</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36,794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33.7%</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GA Communications, Inc.</w:t>
            </w:r>
          </w:p>
        </w:tc>
        <w:tc>
          <w:tcPr>
            <w:tcW w:w="1140" w:type="dxa"/>
            <w:vAlign w:val="bottom"/>
          </w:tcPr>
          <w:p>
            <w:pPr>
              <w:ind w:left="20"/>
              <w:spacing w:after="0"/>
              <w:rPr>
                <w:sz w:val="20"/>
                <w:szCs w:val="20"/>
                <w:color w:val="auto"/>
              </w:rPr>
            </w:pPr>
            <w:r>
              <w:rPr>
                <w:rFonts w:ascii="Arial" w:cs="Arial" w:eastAsia="Arial" w:hAnsi="Arial"/>
                <w:sz w:val="13"/>
                <w:szCs w:val="13"/>
                <w:color w:val="auto"/>
              </w:rPr>
              <w:t>Advertising &amp;</w:t>
            </w:r>
          </w:p>
        </w:tc>
        <w:tc>
          <w:tcPr>
            <w:tcW w:w="2400" w:type="dxa"/>
            <w:vAlign w:val="bottom"/>
          </w:tcPr>
          <w:p>
            <w:pPr>
              <w:ind w:left="140"/>
              <w:spacing w:after="0"/>
              <w:rPr>
                <w:sz w:val="20"/>
                <w:szCs w:val="20"/>
                <w:color w:val="auto"/>
              </w:rPr>
            </w:pPr>
            <w:r>
              <w:rPr>
                <w:rFonts w:ascii="Arial" w:cs="Arial" w:eastAsia="Arial" w:hAnsi="Arial"/>
                <w:sz w:val="13"/>
                <w:szCs w:val="13"/>
                <w:color w:val="auto"/>
              </w:rPr>
              <w:t>Series A-1 Preferred Stock (1,998</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10/14/2011</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w w:val="99"/>
              </w:rPr>
              <w:t>Marketing Services</w:t>
            </w:r>
          </w:p>
        </w:tc>
        <w:tc>
          <w:tcPr>
            <w:tcW w:w="2400" w:type="dxa"/>
            <w:vAlign w:val="bottom"/>
          </w:tcPr>
          <w:p>
            <w:pPr>
              <w:ind w:left="140"/>
              <w:spacing w:after="0"/>
              <w:rPr>
                <w:sz w:val="20"/>
                <w:szCs w:val="20"/>
                <w:color w:val="auto"/>
              </w:rPr>
            </w:pPr>
            <w:r>
              <w:rPr>
                <w:rFonts w:ascii="Arial" w:cs="Arial" w:eastAsia="Arial" w:hAnsi="Arial"/>
                <w:sz w:val="13"/>
                <w:szCs w:val="13"/>
                <w:color w:val="auto"/>
              </w:rPr>
              <w:t>shares)</w:t>
            </w:r>
          </w:p>
        </w:tc>
        <w:tc>
          <w:tcPr>
            <w:tcW w:w="22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3,477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4,066</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81"/>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GA Communications, Inc.</w:t>
            </w:r>
          </w:p>
        </w:tc>
        <w:tc>
          <w:tcPr>
            <w:tcW w:w="1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Advertising &amp;</w:t>
            </w:r>
          </w:p>
        </w:tc>
        <w:tc>
          <w:tcPr>
            <w:tcW w:w="2400" w:type="dxa"/>
            <w:vAlign w:val="bottom"/>
            <w:shd w:val="clear" w:color="auto" w:fill="CFF0FC"/>
          </w:tcPr>
          <w:p>
            <w:pPr>
              <w:ind w:left="140"/>
              <w:spacing w:after="0"/>
              <w:rPr>
                <w:sz w:val="20"/>
                <w:szCs w:val="20"/>
                <w:color w:val="auto"/>
              </w:rPr>
            </w:pPr>
            <w:r>
              <w:rPr>
                <w:rFonts w:ascii="Arial" w:cs="Arial" w:eastAsia="Arial" w:hAnsi="Arial"/>
                <w:sz w:val="13"/>
                <w:szCs w:val="13"/>
                <w:color w:val="auto"/>
              </w:rPr>
              <w:t>Series B-1 Common Stock (200,000</w:t>
            </w:r>
          </w:p>
        </w:tc>
        <w:tc>
          <w:tcPr>
            <w:tcW w:w="222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10/14/2011</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63"/>
        </w:trPr>
        <w:tc>
          <w:tcPr>
            <w:tcW w:w="196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9"/>
              </w:rPr>
              <w:t>Marketing Services</w:t>
            </w:r>
          </w:p>
        </w:tc>
        <w:tc>
          <w:tcPr>
            <w:tcW w:w="2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3"/>
                <w:szCs w:val="13"/>
                <w:color w:val="auto"/>
              </w:rPr>
              <w:t>shares)</w:t>
            </w:r>
          </w:p>
        </w:tc>
        <w:tc>
          <w:tcPr>
            <w:tcW w:w="22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3,479</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4,212</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LJS Partners, LLC</w:t>
            </w:r>
          </w:p>
        </w:tc>
        <w:tc>
          <w:tcPr>
            <w:tcW w:w="1140" w:type="dxa"/>
            <w:vAlign w:val="bottom"/>
          </w:tcPr>
          <w:p>
            <w:pPr>
              <w:ind w:left="20"/>
              <w:spacing w:after="0"/>
              <w:rPr>
                <w:sz w:val="20"/>
                <w:szCs w:val="20"/>
                <w:color w:val="auto"/>
              </w:rPr>
            </w:pPr>
            <w:r>
              <w:rPr>
                <w:rFonts w:ascii="Arial" w:cs="Arial" w:eastAsia="Arial" w:hAnsi="Arial"/>
                <w:sz w:val="13"/>
                <w:szCs w:val="13"/>
                <w:color w:val="auto"/>
              </w:rPr>
              <w:t>QSR Franchisor</w:t>
            </w:r>
          </w:p>
        </w:tc>
        <w:tc>
          <w:tcPr>
            <w:tcW w:w="2400" w:type="dxa"/>
            <w:vAlign w:val="bottom"/>
          </w:tcPr>
          <w:p>
            <w:pPr>
              <w:ind w:left="140"/>
              <w:spacing w:after="0"/>
              <w:rPr>
                <w:sz w:val="20"/>
                <w:szCs w:val="20"/>
                <w:color w:val="auto"/>
              </w:rPr>
            </w:pPr>
            <w:r>
              <w:rPr>
                <w:rFonts w:ascii="Arial" w:cs="Arial" w:eastAsia="Arial" w:hAnsi="Arial"/>
                <w:sz w:val="13"/>
                <w:szCs w:val="13"/>
                <w:color w:val="auto"/>
              </w:rPr>
              <w:t>Preferred Units (189,044 units)</w:t>
            </w:r>
          </w:p>
        </w:tc>
        <w:tc>
          <w:tcPr>
            <w:tcW w:w="2220" w:type="dxa"/>
            <w:vAlign w:val="bottom"/>
          </w:tcPr>
          <w:p>
            <w:pPr>
              <w:jc w:val="right"/>
              <w:ind w:right="1237"/>
              <w:spacing w:after="0"/>
              <w:rPr>
                <w:sz w:val="20"/>
                <w:szCs w:val="20"/>
                <w:color w:val="auto"/>
              </w:rPr>
            </w:pPr>
            <w:r>
              <w:rPr>
                <w:rFonts w:ascii="Arial" w:cs="Arial" w:eastAsia="Arial" w:hAnsi="Arial"/>
                <w:sz w:val="13"/>
                <w:szCs w:val="13"/>
                <w:color w:val="auto"/>
              </w:rPr>
              <w:t>8/12/2019</w:t>
            </w:r>
          </w:p>
        </w:tc>
        <w:tc>
          <w:tcPr>
            <w:tcW w:w="1120" w:type="dxa"/>
            <w:vAlign w:val="bottom"/>
          </w:tcPr>
          <w:p>
            <w:pPr>
              <w:jc w:val="right"/>
              <w:spacing w:after="0"/>
              <w:rPr>
                <w:sz w:val="20"/>
                <w:szCs w:val="20"/>
                <w:color w:val="auto"/>
              </w:rPr>
            </w:pPr>
            <w:r>
              <w:rPr>
                <w:rFonts w:ascii="Arial" w:cs="Arial" w:eastAsia="Arial" w:hAnsi="Arial"/>
                <w:sz w:val="13"/>
                <w:szCs w:val="13"/>
                <w:color w:val="auto"/>
              </w:rPr>
              <w:t>437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756</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7132320"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-6801485</wp:posOffset>
            </wp:positionV>
            <wp:extent cx="514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-6801485</wp:posOffset>
            </wp:positionV>
            <wp:extent cx="51435"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-6458585</wp:posOffset>
            </wp:positionV>
            <wp:extent cx="51435"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-6458585</wp:posOffset>
            </wp:positionV>
            <wp:extent cx="51435"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-5858510</wp:posOffset>
            </wp:positionV>
            <wp:extent cx="5143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-5858510</wp:posOffset>
            </wp:positionV>
            <wp:extent cx="5143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-4718050</wp:posOffset>
            </wp:positionV>
            <wp:extent cx="5143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-4718050</wp:posOffset>
            </wp:positionV>
            <wp:extent cx="514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-4117975</wp:posOffset>
            </wp:positionV>
            <wp:extent cx="5143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-4117975</wp:posOffset>
            </wp:positionV>
            <wp:extent cx="51435"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-3775075</wp:posOffset>
            </wp:positionV>
            <wp:extent cx="5143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-3775075</wp:posOffset>
            </wp:positionV>
            <wp:extent cx="5143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-2214880</wp:posOffset>
            </wp:positionV>
            <wp:extent cx="5143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-2214880</wp:posOffset>
            </wp:positionV>
            <wp:extent cx="5143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-1863725</wp:posOffset>
            </wp:positionV>
            <wp:extent cx="5143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-1863725</wp:posOffset>
            </wp:positionV>
            <wp:extent cx="5143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-1057910</wp:posOffset>
            </wp:positionV>
            <wp:extent cx="5143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-1057910</wp:posOffset>
            </wp:positionV>
            <wp:extent cx="5143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-363220</wp:posOffset>
            </wp:positionV>
            <wp:extent cx="5143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-363220</wp:posOffset>
            </wp:positionV>
            <wp:extent cx="5143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5"/>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LJS Partners, LLC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QSR Franchisor</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Membership Units</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1/1/2012</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1,224</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3,951</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61"/>
        </w:trPr>
        <w:tc>
          <w:tcPr>
            <w:tcW w:w="19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(2,593,234 units)</w:t>
            </w:r>
          </w:p>
        </w:tc>
        <w:tc>
          <w:tcPr>
            <w:tcW w:w="22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1,661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4,707</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MMI Holdings, LLC</w:t>
            </w:r>
          </w:p>
        </w:tc>
        <w:tc>
          <w:tcPr>
            <w:tcW w:w="1160" w:type="dxa"/>
            <w:vAlign w:val="bottom"/>
          </w:tcPr>
          <w:p>
            <w:pPr>
              <w:ind w:left="20"/>
              <w:spacing w:after="0"/>
              <w:rPr>
                <w:sz w:val="20"/>
                <w:szCs w:val="20"/>
                <w:color w:val="auto"/>
              </w:rPr>
            </w:pPr>
            <w:r>
              <w:rPr>
                <w:rFonts w:ascii="Arial" w:cs="Arial" w:eastAsia="Arial" w:hAnsi="Arial"/>
                <w:sz w:val="13"/>
                <w:szCs w:val="13"/>
                <w:color w:val="auto"/>
              </w:rPr>
              <w:t>Medical Device</w:t>
            </w:r>
          </w:p>
        </w:tc>
        <w:tc>
          <w:tcPr>
            <w:tcW w:w="2400" w:type="dxa"/>
            <w:vAlign w:val="bottom"/>
          </w:tcPr>
          <w:p>
            <w:pPr>
              <w:ind w:left="120"/>
              <w:spacing w:after="0"/>
              <w:rPr>
                <w:sz w:val="20"/>
                <w:szCs w:val="20"/>
                <w:color w:val="auto"/>
              </w:rPr>
            </w:pPr>
            <w:r>
              <w:rPr>
                <w:rFonts w:ascii="Arial" w:cs="Arial" w:eastAsia="Arial" w:hAnsi="Arial"/>
                <w:sz w:val="13"/>
                <w:szCs w:val="13"/>
                <w:color w:val="auto"/>
              </w:rPr>
              <w:t>First Lien Debt (12.0% Cash, Due</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10/17/2011</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Distributor</w:t>
            </w:r>
          </w:p>
        </w:tc>
        <w:tc>
          <w:tcPr>
            <w:tcW w:w="2400" w:type="dxa"/>
            <w:vAlign w:val="bottom"/>
          </w:tcPr>
          <w:p>
            <w:pPr>
              <w:ind w:left="120"/>
              <w:spacing w:after="0"/>
              <w:rPr>
                <w:sz w:val="20"/>
                <w:szCs w:val="20"/>
                <w:color w:val="auto"/>
              </w:rPr>
            </w:pPr>
            <w:r>
              <w:rPr>
                <w:rFonts w:ascii="Arial" w:cs="Arial" w:eastAsia="Arial" w:hAnsi="Arial"/>
                <w:sz w:val="13"/>
                <w:szCs w:val="13"/>
                <w:color w:val="auto"/>
              </w:rPr>
              <w:t xml:space="preserve">9/30/21) </w:t>
            </w:r>
            <w:r>
              <w:rPr>
                <w:rFonts w:ascii="Arial" w:cs="Arial" w:eastAsia="Arial" w:hAnsi="Arial"/>
                <w:sz w:val="16"/>
                <w:szCs w:val="16"/>
                <w:color w:val="auto"/>
                <w:vertAlign w:val="superscript"/>
              </w:rPr>
              <w:t>(6)</w:t>
            </w:r>
          </w:p>
        </w:tc>
        <w:tc>
          <w:tcPr>
            <w:tcW w:w="2200" w:type="dxa"/>
            <w:vAlign w:val="bottom"/>
          </w:tcPr>
          <w:p>
            <w:pPr>
              <w:jc w:val="right"/>
              <w:ind w:right="37"/>
              <w:spacing w:after="0"/>
              <w:rPr>
                <w:sz w:val="20"/>
                <w:szCs w:val="20"/>
                <w:color w:val="auto"/>
              </w:rPr>
            </w:pPr>
            <w:r>
              <w:rPr>
                <w:rFonts w:ascii="Arial" w:cs="Arial" w:eastAsia="Arial" w:hAnsi="Arial"/>
                <w:sz w:val="13"/>
                <w:szCs w:val="13"/>
                <w:color w:val="auto"/>
              </w:rPr>
              <w:t>2,600</w:t>
            </w:r>
          </w:p>
        </w:tc>
        <w:tc>
          <w:tcPr>
            <w:tcW w:w="1120" w:type="dxa"/>
            <w:vAlign w:val="bottom"/>
          </w:tcPr>
          <w:p>
            <w:pPr>
              <w:jc w:val="right"/>
              <w:spacing w:after="0"/>
              <w:rPr>
                <w:sz w:val="20"/>
                <w:szCs w:val="20"/>
                <w:color w:val="auto"/>
              </w:rPr>
            </w:pPr>
            <w:r>
              <w:rPr>
                <w:rFonts w:ascii="Arial" w:cs="Arial" w:eastAsia="Arial" w:hAnsi="Arial"/>
                <w:sz w:val="13"/>
                <w:szCs w:val="13"/>
                <w:color w:val="auto"/>
              </w:rPr>
              <w:t>2,600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2,600</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Medical Device</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Second Lien Debt (6.0% Cash, Due</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10/17/2011</w:t>
            </w: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Distributor</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 xml:space="preserve">9/30/21) </w:t>
            </w:r>
            <w:r>
              <w:rPr>
                <w:rFonts w:ascii="Arial" w:cs="Arial" w:eastAsia="Arial" w:hAnsi="Arial"/>
                <w:sz w:val="16"/>
                <w:szCs w:val="16"/>
                <w:color w:val="auto"/>
                <w:vertAlign w:val="superscript"/>
              </w:rPr>
              <w:t>(6)</w:t>
            </w:r>
          </w:p>
        </w:tc>
        <w:tc>
          <w:tcPr>
            <w:tcW w:w="2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400</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MMI Holdings, LLC</w:t>
            </w:r>
          </w:p>
        </w:tc>
        <w:tc>
          <w:tcPr>
            <w:tcW w:w="1160" w:type="dxa"/>
            <w:vAlign w:val="bottom"/>
          </w:tcPr>
          <w:p>
            <w:pPr>
              <w:ind w:left="20"/>
              <w:spacing w:after="0"/>
              <w:rPr>
                <w:sz w:val="20"/>
                <w:szCs w:val="20"/>
                <w:color w:val="auto"/>
              </w:rPr>
            </w:pPr>
            <w:r>
              <w:rPr>
                <w:rFonts w:ascii="Arial" w:cs="Arial" w:eastAsia="Arial" w:hAnsi="Arial"/>
                <w:sz w:val="13"/>
                <w:szCs w:val="13"/>
                <w:color w:val="auto"/>
              </w:rPr>
              <w:t>Medical Device</w:t>
            </w:r>
          </w:p>
        </w:tc>
        <w:tc>
          <w:tcPr>
            <w:tcW w:w="2400" w:type="dxa"/>
            <w:vAlign w:val="bottom"/>
          </w:tcPr>
          <w:p>
            <w:pPr>
              <w:ind w:left="120"/>
              <w:spacing w:after="0"/>
              <w:rPr>
                <w:sz w:val="20"/>
                <w:szCs w:val="20"/>
                <w:color w:val="auto"/>
              </w:rPr>
            </w:pPr>
            <w:r>
              <w:rPr>
                <w:rFonts w:ascii="Arial" w:cs="Arial" w:eastAsia="Arial" w:hAnsi="Arial"/>
                <w:sz w:val="13"/>
                <w:szCs w:val="13"/>
                <w:color w:val="auto"/>
              </w:rPr>
              <w:t>Preferred Units (1,000 units, 6.0%</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10/17/2011</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Distributor</w:t>
            </w:r>
          </w:p>
        </w:tc>
        <w:tc>
          <w:tcPr>
            <w:tcW w:w="2400" w:type="dxa"/>
            <w:vAlign w:val="bottom"/>
          </w:tcPr>
          <w:p>
            <w:pPr>
              <w:ind w:left="120"/>
              <w:spacing w:after="0"/>
              <w:rPr>
                <w:sz w:val="20"/>
                <w:szCs w:val="20"/>
                <w:color w:val="auto"/>
              </w:rPr>
            </w:pPr>
            <w:r>
              <w:rPr>
                <w:rFonts w:ascii="Arial" w:cs="Arial" w:eastAsia="Arial" w:hAnsi="Arial"/>
                <w:sz w:val="13"/>
                <w:szCs w:val="13"/>
                <w:color w:val="auto"/>
              </w:rPr>
              <w:t xml:space="preserve">PIK Dividend) </w:t>
            </w:r>
            <w:r>
              <w:rPr>
                <w:rFonts w:ascii="Arial" w:cs="Arial" w:eastAsia="Arial" w:hAnsi="Arial"/>
                <w:sz w:val="16"/>
                <w:szCs w:val="16"/>
                <w:color w:val="auto"/>
                <w:vertAlign w:val="superscript"/>
              </w:rPr>
              <w:t>(18)</w:t>
            </w:r>
          </w:p>
        </w:tc>
        <w:tc>
          <w:tcPr>
            <w:tcW w:w="2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1,676</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1,815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Medical Device</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Common Membership Units (45</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10/17/2011</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9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Distributor</w:t>
            </w:r>
          </w:p>
        </w:tc>
        <w:tc>
          <w:tcPr>
            <w:tcW w:w="2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22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83"/>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4,664</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5,019</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Navis Holdings, Inc.</w:t>
            </w:r>
          </w:p>
        </w:tc>
        <w:tc>
          <w:tcPr>
            <w:tcW w:w="1160" w:type="dxa"/>
            <w:vAlign w:val="bottom"/>
          </w:tcPr>
          <w:p>
            <w:pPr>
              <w:ind w:left="20"/>
              <w:spacing w:after="0"/>
              <w:rPr>
                <w:sz w:val="20"/>
                <w:szCs w:val="20"/>
                <w:color w:val="auto"/>
              </w:rPr>
            </w:pPr>
            <w:r>
              <w:rPr>
                <w:rFonts w:ascii="Arial" w:cs="Arial" w:eastAsia="Arial" w:hAnsi="Arial"/>
                <w:sz w:val="13"/>
                <w:szCs w:val="13"/>
                <w:color w:val="auto"/>
              </w:rPr>
              <w:t>Textile Equipment</w:t>
            </w:r>
          </w:p>
        </w:tc>
        <w:tc>
          <w:tcPr>
            <w:tcW w:w="2400" w:type="dxa"/>
            <w:vAlign w:val="bottom"/>
          </w:tcPr>
          <w:p>
            <w:pPr>
              <w:ind w:left="120"/>
              <w:spacing w:after="0"/>
              <w:rPr>
                <w:sz w:val="20"/>
                <w:szCs w:val="20"/>
                <w:color w:val="auto"/>
              </w:rPr>
            </w:pPr>
            <w:r>
              <w:rPr>
                <w:rFonts w:ascii="Arial" w:cs="Arial" w:eastAsia="Arial" w:hAnsi="Arial"/>
                <w:sz w:val="13"/>
                <w:szCs w:val="13"/>
                <w:color w:val="auto"/>
              </w:rPr>
              <w:t>First Lien Debt (9.0% Cash, 2.0%</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2/1/2011</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tcPr>
          <w:p>
            <w:pPr>
              <w:spacing w:after="0"/>
              <w:rPr>
                <w:sz w:val="16"/>
                <w:szCs w:val="16"/>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tcPr>
          <w:p>
            <w:pPr>
              <w:ind w:left="120"/>
              <w:spacing w:after="0"/>
              <w:rPr>
                <w:sz w:val="20"/>
                <w:szCs w:val="20"/>
                <w:color w:val="auto"/>
              </w:rPr>
            </w:pPr>
            <w:r>
              <w:rPr>
                <w:rFonts w:ascii="Arial" w:cs="Arial" w:eastAsia="Arial" w:hAnsi="Arial"/>
                <w:sz w:val="13"/>
                <w:szCs w:val="13"/>
                <w:color w:val="auto"/>
              </w:rPr>
              <w:t xml:space="preserve">PIK, Due 6/30/23) </w:t>
            </w:r>
            <w:r>
              <w:rPr>
                <w:rFonts w:ascii="Arial" w:cs="Arial" w:eastAsia="Arial" w:hAnsi="Arial"/>
                <w:sz w:val="16"/>
                <w:szCs w:val="16"/>
                <w:color w:val="auto"/>
                <w:vertAlign w:val="superscript"/>
              </w:rPr>
              <w:t>(6)</w:t>
            </w:r>
          </w:p>
        </w:tc>
        <w:tc>
          <w:tcPr>
            <w:tcW w:w="2200" w:type="dxa"/>
            <w:vAlign w:val="bottom"/>
          </w:tcPr>
          <w:p>
            <w:pPr>
              <w:jc w:val="right"/>
              <w:ind w:right="37"/>
              <w:spacing w:after="0"/>
              <w:rPr>
                <w:sz w:val="20"/>
                <w:szCs w:val="20"/>
                <w:color w:val="auto"/>
              </w:rPr>
            </w:pPr>
            <w:r>
              <w:rPr>
                <w:rFonts w:ascii="Arial" w:cs="Arial" w:eastAsia="Arial" w:hAnsi="Arial"/>
                <w:sz w:val="13"/>
                <w:szCs w:val="13"/>
                <w:color w:val="auto"/>
              </w:rPr>
              <w:t>11,031</w:t>
            </w:r>
          </w:p>
        </w:tc>
        <w:tc>
          <w:tcPr>
            <w:tcW w:w="1120" w:type="dxa"/>
            <w:vAlign w:val="bottom"/>
          </w:tcPr>
          <w:p>
            <w:pPr>
              <w:jc w:val="right"/>
              <w:spacing w:after="0"/>
              <w:rPr>
                <w:sz w:val="20"/>
                <w:szCs w:val="20"/>
                <w:color w:val="auto"/>
              </w:rPr>
            </w:pPr>
            <w:r>
              <w:rPr>
                <w:rFonts w:ascii="Arial" w:cs="Arial" w:eastAsia="Arial" w:hAnsi="Arial"/>
                <w:sz w:val="13"/>
                <w:szCs w:val="13"/>
                <w:color w:val="auto"/>
              </w:rPr>
              <w:t>11,031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10,882</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Navis Holdings, Inc.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Textile Equipment</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Class A Preferred Stock (1,000</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2/1/2011</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shares)</w:t>
            </w: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986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Navis Holdings, Inc.</w:t>
            </w:r>
          </w:p>
        </w:tc>
        <w:tc>
          <w:tcPr>
            <w:tcW w:w="1160" w:type="dxa"/>
            <w:vAlign w:val="bottom"/>
          </w:tcPr>
          <w:p>
            <w:pPr>
              <w:ind w:left="20"/>
              <w:spacing w:after="0"/>
              <w:rPr>
                <w:sz w:val="20"/>
                <w:szCs w:val="20"/>
                <w:color w:val="auto"/>
              </w:rPr>
            </w:pPr>
            <w:r>
              <w:rPr>
                <w:rFonts w:ascii="Arial" w:cs="Arial" w:eastAsia="Arial" w:hAnsi="Arial"/>
                <w:sz w:val="13"/>
                <w:szCs w:val="13"/>
                <w:color w:val="auto"/>
              </w:rPr>
              <w:t>Textile Equipment</w:t>
            </w:r>
          </w:p>
        </w:tc>
        <w:tc>
          <w:tcPr>
            <w:tcW w:w="2400" w:type="dxa"/>
            <w:vAlign w:val="bottom"/>
          </w:tcPr>
          <w:p>
            <w:pPr>
              <w:ind w:left="120"/>
              <w:spacing w:after="0"/>
              <w:rPr>
                <w:sz w:val="20"/>
                <w:szCs w:val="20"/>
                <w:color w:val="auto"/>
              </w:rPr>
            </w:pPr>
            <w:r>
              <w:rPr>
                <w:rFonts w:ascii="Arial" w:cs="Arial" w:eastAsia="Arial" w:hAnsi="Arial"/>
                <w:sz w:val="13"/>
                <w:szCs w:val="13"/>
                <w:color w:val="auto"/>
              </w:rPr>
              <w:t>Common Stock (60,000 shares)</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2/1/2011</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Manufacturer</w:t>
            </w:r>
          </w:p>
        </w:tc>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12,031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11,868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Nth Degree Investment Group, LLC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Business Services</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Membership Units (6,088,000 Units)</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12/3/2019</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240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6,088</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345"/>
        </w:trPr>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6,088</w:t>
            </w:r>
          </w:p>
        </w:tc>
        <w:tc>
          <w:tcPr>
            <w:tcW w:w="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RAM Payment, LLC</w:t>
            </w:r>
          </w:p>
        </w:tc>
        <w:tc>
          <w:tcPr>
            <w:tcW w:w="1160" w:type="dxa"/>
            <w:vAlign w:val="bottom"/>
          </w:tcPr>
          <w:p>
            <w:pPr>
              <w:ind w:left="20"/>
              <w:spacing w:after="0"/>
              <w:rPr>
                <w:sz w:val="20"/>
                <w:szCs w:val="20"/>
                <w:color w:val="auto"/>
              </w:rPr>
            </w:pPr>
            <w:r>
              <w:rPr>
                <w:rFonts w:ascii="Arial" w:cs="Arial" w:eastAsia="Arial" w:hAnsi="Arial"/>
                <w:sz w:val="13"/>
                <w:szCs w:val="13"/>
                <w:color w:val="auto"/>
              </w:rPr>
              <w:t>Financial Services</w:t>
            </w:r>
          </w:p>
        </w:tc>
        <w:tc>
          <w:tcPr>
            <w:tcW w:w="2400" w:type="dxa"/>
            <w:vAlign w:val="bottom"/>
          </w:tcPr>
          <w:p>
            <w:pPr>
              <w:ind w:left="120"/>
              <w:spacing w:after="0"/>
              <w:rPr>
                <w:sz w:val="20"/>
                <w:szCs w:val="20"/>
                <w:color w:val="auto"/>
              </w:rPr>
            </w:pPr>
            <w:r>
              <w:rPr>
                <w:rFonts w:ascii="Arial" w:cs="Arial" w:eastAsia="Arial" w:hAnsi="Arial"/>
                <w:sz w:val="13"/>
                <w:szCs w:val="13"/>
                <w:color w:val="auto"/>
              </w:rPr>
              <w:t>First Lien Debt (6.5% Cash (1 month</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6/1/2020</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LIBOR + 5.0%, 1.5% Floor), Due</w:t>
            </w:r>
          </w:p>
        </w:tc>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1/4/24)</w:t>
            </w:r>
          </w:p>
        </w:tc>
        <w:tc>
          <w:tcPr>
            <w:tcW w:w="2200" w:type="dxa"/>
            <w:vAlign w:val="bottom"/>
          </w:tcPr>
          <w:p>
            <w:pPr>
              <w:jc w:val="right"/>
              <w:ind w:right="37"/>
              <w:spacing w:after="0"/>
              <w:rPr>
                <w:sz w:val="20"/>
                <w:szCs w:val="20"/>
                <w:color w:val="auto"/>
              </w:rPr>
            </w:pPr>
            <w:r>
              <w:rPr>
                <w:rFonts w:ascii="Arial" w:cs="Arial" w:eastAsia="Arial" w:hAnsi="Arial"/>
                <w:sz w:val="13"/>
                <w:szCs w:val="13"/>
                <w:color w:val="auto"/>
              </w:rPr>
              <w:t>2,451</w:t>
            </w:r>
          </w:p>
        </w:tc>
        <w:tc>
          <w:tcPr>
            <w:tcW w:w="1120" w:type="dxa"/>
            <w:vAlign w:val="bottom"/>
          </w:tcPr>
          <w:p>
            <w:pPr>
              <w:jc w:val="right"/>
              <w:spacing w:after="0"/>
              <w:rPr>
                <w:sz w:val="20"/>
                <w:szCs w:val="20"/>
                <w:color w:val="auto"/>
              </w:rPr>
            </w:pPr>
            <w:r>
              <w:rPr>
                <w:rFonts w:ascii="Arial" w:cs="Arial" w:eastAsia="Arial" w:hAnsi="Arial"/>
                <w:sz w:val="13"/>
                <w:szCs w:val="13"/>
                <w:color w:val="auto"/>
              </w:rPr>
              <w:t>2,451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2,451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0"/>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RAM Payment, LLC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Financial Services</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First Lien Debt (9.8% Cash, Due</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1/4/2019</w:t>
            </w: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96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 xml:space="preserve">1/4/24) </w:t>
            </w:r>
            <w:r>
              <w:rPr>
                <w:rFonts w:ascii="Arial" w:cs="Arial" w:eastAsia="Arial" w:hAnsi="Arial"/>
                <w:sz w:val="16"/>
                <w:szCs w:val="16"/>
                <w:color w:val="auto"/>
                <w:vertAlign w:val="superscript"/>
              </w:rPr>
              <w:t>(11)</w:t>
            </w:r>
          </w:p>
        </w:tc>
        <w:tc>
          <w:tcPr>
            <w:tcW w:w="2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6,646</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6,646</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RAM Payment, LLC</w:t>
            </w:r>
          </w:p>
        </w:tc>
        <w:tc>
          <w:tcPr>
            <w:tcW w:w="1160" w:type="dxa"/>
            <w:vAlign w:val="bottom"/>
          </w:tcPr>
          <w:p>
            <w:pPr>
              <w:ind w:left="20"/>
              <w:spacing w:after="0"/>
              <w:rPr>
                <w:sz w:val="20"/>
                <w:szCs w:val="20"/>
                <w:color w:val="auto"/>
              </w:rPr>
            </w:pPr>
            <w:r>
              <w:rPr>
                <w:rFonts w:ascii="Arial" w:cs="Arial" w:eastAsia="Arial" w:hAnsi="Arial"/>
                <w:sz w:val="13"/>
                <w:szCs w:val="13"/>
                <w:color w:val="auto"/>
              </w:rPr>
              <w:t>Financial Services</w:t>
            </w:r>
          </w:p>
        </w:tc>
        <w:tc>
          <w:tcPr>
            <w:tcW w:w="2400" w:type="dxa"/>
            <w:vAlign w:val="bottom"/>
          </w:tcPr>
          <w:p>
            <w:pPr>
              <w:ind w:left="120"/>
              <w:spacing w:after="0"/>
              <w:rPr>
                <w:sz w:val="20"/>
                <w:szCs w:val="20"/>
                <w:color w:val="auto"/>
              </w:rPr>
            </w:pPr>
            <w:r>
              <w:rPr>
                <w:rFonts w:ascii="Arial" w:cs="Arial" w:eastAsia="Arial" w:hAnsi="Arial"/>
                <w:sz w:val="13"/>
                <w:szCs w:val="13"/>
                <w:color w:val="auto"/>
              </w:rPr>
              <w:t>Preferred Units (86,000 units, 8.0%</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1/4/2019</w:t>
            </w: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997</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2,874</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81"/>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ind w:left="120"/>
              <w:spacing w:after="0" w:line="176" w:lineRule="exact"/>
              <w:rPr>
                <w:sz w:val="20"/>
                <w:szCs w:val="20"/>
                <w:color w:val="auto"/>
              </w:rPr>
            </w:pPr>
            <w:r>
              <w:rPr>
                <w:rFonts w:ascii="Arial" w:cs="Arial" w:eastAsia="Arial" w:hAnsi="Arial"/>
                <w:sz w:val="13"/>
                <w:szCs w:val="13"/>
                <w:color w:val="auto"/>
              </w:rPr>
              <w:t xml:space="preserve">PIK Dividend) </w:t>
            </w:r>
            <w:r>
              <w:rPr>
                <w:rFonts w:ascii="Arial" w:cs="Arial" w:eastAsia="Arial" w:hAnsi="Arial"/>
                <w:sz w:val="16"/>
                <w:szCs w:val="16"/>
                <w:color w:val="auto"/>
                <w:vertAlign w:val="superscript"/>
              </w:rPr>
              <w:t>(18)</w:t>
            </w:r>
          </w:p>
        </w:tc>
        <w:tc>
          <w:tcPr>
            <w:tcW w:w="220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10,094</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11,971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Sierra Hamilton Holdings</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Oil &amp; Gas</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Second Lien Debt (15.0% PIK, Due</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9/12/2019</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Corporation</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Engineering and</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9/12/23)</w:t>
            </w:r>
          </w:p>
        </w:tc>
        <w:tc>
          <w:tcPr>
            <w:tcW w:w="22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7"/>
              </w:rPr>
              <w:t>Consulting Services</w:t>
            </w:r>
          </w:p>
        </w:tc>
        <w:tc>
          <w:tcPr>
            <w:tcW w:w="2400" w:type="dxa"/>
            <w:vAlign w:val="bottom"/>
            <w:shd w:val="clear" w:color="auto" w:fill="CFF0FC"/>
          </w:tcPr>
          <w:p>
            <w:pPr>
              <w:spacing w:after="0"/>
              <w:rPr>
                <w:sz w:val="15"/>
                <w:szCs w:val="15"/>
                <w:color w:val="auto"/>
              </w:rPr>
            </w:pPr>
          </w:p>
        </w:tc>
        <w:tc>
          <w:tcPr>
            <w:tcW w:w="220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rPr>
              <w:t>453</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441</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Sierra Hamilton Holdings</w:t>
            </w:r>
          </w:p>
        </w:tc>
        <w:tc>
          <w:tcPr>
            <w:tcW w:w="1160" w:type="dxa"/>
            <w:vAlign w:val="bottom"/>
          </w:tcPr>
          <w:p>
            <w:pPr>
              <w:ind w:left="20"/>
              <w:spacing w:after="0"/>
              <w:rPr>
                <w:sz w:val="20"/>
                <w:szCs w:val="20"/>
                <w:color w:val="auto"/>
              </w:rPr>
            </w:pPr>
            <w:r>
              <w:rPr>
                <w:rFonts w:ascii="Arial" w:cs="Arial" w:eastAsia="Arial" w:hAnsi="Arial"/>
                <w:sz w:val="13"/>
                <w:szCs w:val="13"/>
                <w:color w:val="auto"/>
              </w:rPr>
              <w:t>Oil &amp; Gas</w:t>
            </w:r>
          </w:p>
        </w:tc>
        <w:tc>
          <w:tcPr>
            <w:tcW w:w="2400" w:type="dxa"/>
            <w:vAlign w:val="bottom"/>
          </w:tcPr>
          <w:p>
            <w:pPr>
              <w:ind w:left="120"/>
              <w:spacing w:after="0"/>
              <w:rPr>
                <w:sz w:val="20"/>
                <w:szCs w:val="20"/>
                <w:color w:val="auto"/>
              </w:rPr>
            </w:pPr>
            <w:r>
              <w:rPr>
                <w:rFonts w:ascii="Arial" w:cs="Arial" w:eastAsia="Arial" w:hAnsi="Arial"/>
                <w:sz w:val="13"/>
                <w:szCs w:val="13"/>
                <w:color w:val="auto"/>
              </w:rPr>
              <w:t>Common Stock (15,068,000 shares)</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7/31/2017</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ind w:left="20"/>
              <w:spacing w:after="0"/>
              <w:rPr>
                <w:sz w:val="20"/>
                <w:szCs w:val="20"/>
                <w:color w:val="auto"/>
              </w:rPr>
            </w:pPr>
            <w:r>
              <w:rPr>
                <w:rFonts w:ascii="Arial" w:cs="Arial" w:eastAsia="Arial" w:hAnsi="Arial"/>
                <w:sz w:val="13"/>
                <w:szCs w:val="13"/>
                <w:color w:val="auto"/>
              </w:rPr>
              <w:t>Corporation</w:t>
            </w:r>
          </w:p>
        </w:tc>
        <w:tc>
          <w:tcPr>
            <w:tcW w:w="1160" w:type="dxa"/>
            <w:vAlign w:val="bottom"/>
          </w:tcPr>
          <w:p>
            <w:pPr>
              <w:ind w:left="20"/>
              <w:spacing w:after="0"/>
              <w:rPr>
                <w:sz w:val="20"/>
                <w:szCs w:val="20"/>
                <w:color w:val="auto"/>
              </w:rPr>
            </w:pPr>
            <w:r>
              <w:rPr>
                <w:rFonts w:ascii="Arial" w:cs="Arial" w:eastAsia="Arial" w:hAnsi="Arial"/>
                <w:sz w:val="13"/>
                <w:szCs w:val="13"/>
                <w:color w:val="auto"/>
              </w:rPr>
              <w:t>Engineering and</w:t>
            </w:r>
          </w:p>
        </w:tc>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6,958</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977</w:t>
            </w:r>
          </w:p>
        </w:tc>
        <w:tc>
          <w:tcPr>
            <w:tcW w:w="80" w:type="dxa"/>
            <w:vAlign w:val="bottom"/>
            <w:vMerge w:val="restart"/>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168"/>
        </w:trPr>
        <w:tc>
          <w:tcPr>
            <w:tcW w:w="196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w w:val="97"/>
              </w:rPr>
              <w:t>Consulting Services</w:t>
            </w:r>
          </w:p>
        </w:tc>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7,399</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1,418</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9"/>
        </w:trPr>
        <w:tc>
          <w:tcPr>
            <w:tcW w:w="1960" w:type="dxa"/>
            <w:vAlign w:val="bottom"/>
            <w:tcBorders>
              <w:top w:val="single" w:sz="8" w:color="CFF0FC"/>
            </w:tcBorders>
          </w:tcPr>
          <w:p>
            <w:pPr>
              <w:spacing w:after="0"/>
              <w:rPr>
                <w:sz w:val="16"/>
                <w:szCs w:val="16"/>
                <w:color w:val="auto"/>
              </w:rPr>
            </w:pPr>
          </w:p>
        </w:tc>
        <w:tc>
          <w:tcPr>
            <w:tcW w:w="1160" w:type="dxa"/>
            <w:vAlign w:val="bottom"/>
            <w:tcBorders>
              <w:top w:val="single" w:sz="8" w:color="CFF0FC"/>
            </w:tcBorders>
          </w:tcPr>
          <w:p>
            <w:pPr>
              <w:spacing w:after="0"/>
              <w:rPr>
                <w:sz w:val="16"/>
                <w:szCs w:val="16"/>
                <w:color w:val="auto"/>
              </w:rPr>
            </w:pPr>
          </w:p>
        </w:tc>
        <w:tc>
          <w:tcPr>
            <w:tcW w:w="2400" w:type="dxa"/>
            <w:vAlign w:val="bottom"/>
            <w:tcBorders>
              <w:top w:val="single" w:sz="8" w:color="CFF0FC"/>
            </w:tcBorders>
          </w:tcPr>
          <w:p>
            <w:pPr>
              <w:spacing w:after="0"/>
              <w:rPr>
                <w:sz w:val="16"/>
                <w:szCs w:val="16"/>
                <w:color w:val="auto"/>
              </w:rPr>
            </w:pPr>
          </w:p>
        </w:tc>
        <w:tc>
          <w:tcPr>
            <w:tcW w:w="220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V12 Holdings, Inc.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Data Processing &amp;</w:t>
            </w:r>
          </w:p>
        </w:tc>
        <w:tc>
          <w:tcPr>
            <w:tcW w:w="2400" w:type="dxa"/>
            <w:vAlign w:val="bottom"/>
            <w:shd w:val="clear" w:color="auto" w:fill="CFF0FC"/>
          </w:tcPr>
          <w:p>
            <w:pPr>
              <w:ind w:left="120"/>
              <w:spacing w:after="0" w:line="175" w:lineRule="exact"/>
              <w:rPr>
                <w:sz w:val="20"/>
                <w:szCs w:val="20"/>
                <w:color w:val="auto"/>
              </w:rPr>
            </w:pPr>
            <w:r>
              <w:rPr>
                <w:rFonts w:ascii="Arial" w:cs="Arial" w:eastAsia="Arial" w:hAnsi="Arial"/>
                <w:sz w:val="13"/>
                <w:szCs w:val="13"/>
                <w:color w:val="auto"/>
              </w:rPr>
              <w:t xml:space="preserve">Second Lien Debt </w:t>
            </w:r>
            <w:r>
              <w:rPr>
                <w:rFonts w:ascii="Arial" w:cs="Arial" w:eastAsia="Arial" w:hAnsi="Arial"/>
                <w:sz w:val="16"/>
                <w:szCs w:val="16"/>
                <w:color w:val="auto"/>
                <w:vertAlign w:val="superscript"/>
              </w:rPr>
              <w:t>(14)</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11/21/2016</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80" w:type="dxa"/>
            <w:vAlign w:val="bottom"/>
            <w:vMerge w:val="restart"/>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1"/>
        </w:trPr>
        <w:tc>
          <w:tcPr>
            <w:tcW w:w="19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Digital Marketing</w:t>
            </w:r>
          </w:p>
        </w:tc>
        <w:tc>
          <w:tcPr>
            <w:tcW w:w="240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89"/>
        </w:trPr>
        <w:tc>
          <w:tcPr>
            <w:tcW w:w="3120" w:type="dxa"/>
            <w:vAlign w:val="bottom"/>
            <w:gridSpan w:val="2"/>
            <w:shd w:val="clear" w:color="auto" w:fill="CFF0FC"/>
          </w:tcPr>
          <w:p>
            <w:pPr>
              <w:spacing w:after="0"/>
              <w:rPr>
                <w:sz w:val="16"/>
                <w:szCs w:val="16"/>
                <w:color w:val="auto"/>
              </w:rPr>
            </w:pPr>
          </w:p>
        </w:tc>
        <w:tc>
          <w:tcPr>
            <w:tcW w:w="2400" w:type="dxa"/>
            <w:vAlign w:val="bottom"/>
            <w:shd w:val="clear" w:color="auto" w:fill="CFF0FC"/>
          </w:tcPr>
          <w:p>
            <w:pPr>
              <w:spacing w:after="0"/>
              <w:rPr>
                <w:sz w:val="16"/>
                <w:szCs w:val="16"/>
                <w:color w:val="auto"/>
              </w:rPr>
            </w:pPr>
          </w:p>
        </w:tc>
        <w:tc>
          <w:tcPr>
            <w:tcW w:w="22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1200" w:type="dxa"/>
            <w:vAlign w:val="bottom"/>
            <w:gridSpan w:val="2"/>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120" w:type="dxa"/>
            <w:vAlign w:val="bottom"/>
            <w:gridSpan w:val="2"/>
          </w:tcPr>
          <w:p>
            <w:pPr>
              <w:ind w:left="20"/>
              <w:spacing w:after="0"/>
              <w:rPr>
                <w:sz w:val="20"/>
                <w:szCs w:val="20"/>
                <w:color w:val="auto"/>
              </w:rPr>
            </w:pPr>
            <w:r>
              <w:rPr>
                <w:rFonts w:ascii="Arial" w:cs="Arial" w:eastAsia="Arial" w:hAnsi="Arial"/>
                <w:sz w:val="13"/>
                <w:szCs w:val="13"/>
                <w:b w:val="1"/>
                <w:bCs w:val="1"/>
                <w:color w:val="auto"/>
              </w:rPr>
              <w:t>Sub Total Affiliate investments - United States</w:t>
            </w: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$80,961</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$93,425</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85.7%</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400" w:type="dxa"/>
            <w:vAlign w:val="bottom"/>
            <w:shd w:val="clear" w:color="auto" w:fill="CFF0FC"/>
          </w:tcPr>
          <w:p>
            <w:pPr>
              <w:spacing w:after="0"/>
              <w:rPr>
                <w:sz w:val="15"/>
                <w:szCs w:val="15"/>
                <w:color w:val="auto"/>
              </w:rPr>
            </w:pP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960" w:type="dxa"/>
            <w:vAlign w:val="bottom"/>
          </w:tcPr>
          <w:p>
            <w:pPr>
              <w:ind w:left="20"/>
              <w:spacing w:after="0"/>
              <w:rPr>
                <w:sz w:val="20"/>
                <w:szCs w:val="20"/>
                <w:color w:val="auto"/>
              </w:rPr>
            </w:pPr>
            <w:r>
              <w:rPr>
                <w:rFonts w:ascii="Arial" w:cs="Arial" w:eastAsia="Arial" w:hAnsi="Arial"/>
                <w:sz w:val="13"/>
                <w:szCs w:val="13"/>
                <w:b w:val="1"/>
                <w:bCs w:val="1"/>
                <w:color w:val="auto"/>
              </w:rPr>
              <w:t>Control Investments - 7.7%</w:t>
            </w: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w w:val="87"/>
              </w:rPr>
              <w:t>Control investments - United States</w:t>
            </w:r>
          </w:p>
        </w:tc>
        <w:tc>
          <w:tcPr>
            <w:tcW w:w="1160" w:type="dxa"/>
            <w:vAlign w:val="bottom"/>
            <w:shd w:val="clear" w:color="auto" w:fill="CFF0FC"/>
          </w:tcPr>
          <w:p>
            <w:pPr>
              <w:spacing w:after="0"/>
              <w:rPr>
                <w:sz w:val="17"/>
                <w:szCs w:val="17"/>
                <w:color w:val="auto"/>
              </w:rPr>
            </w:pPr>
          </w:p>
        </w:tc>
        <w:tc>
          <w:tcPr>
            <w:tcW w:w="2400" w:type="dxa"/>
            <w:vAlign w:val="bottom"/>
            <w:shd w:val="clear" w:color="auto" w:fill="CFF0FC"/>
          </w:tcPr>
          <w:p>
            <w:pPr>
              <w:spacing w:after="0"/>
              <w:rPr>
                <w:sz w:val="17"/>
                <w:szCs w:val="17"/>
                <w:color w:val="auto"/>
              </w:rPr>
            </w:pPr>
          </w:p>
        </w:tc>
        <w:tc>
          <w:tcPr>
            <w:tcW w:w="22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Vology, Inc.</w:t>
            </w:r>
          </w:p>
        </w:tc>
        <w:tc>
          <w:tcPr>
            <w:tcW w:w="1160" w:type="dxa"/>
            <w:vAlign w:val="bottom"/>
          </w:tcPr>
          <w:p>
            <w:pPr>
              <w:ind w:left="20"/>
              <w:spacing w:after="0"/>
              <w:rPr>
                <w:sz w:val="20"/>
                <w:szCs w:val="20"/>
                <w:color w:val="auto"/>
              </w:rPr>
            </w:pPr>
            <w:r>
              <w:rPr>
                <w:rFonts w:ascii="Arial" w:cs="Arial" w:eastAsia="Arial" w:hAnsi="Arial"/>
                <w:sz w:val="13"/>
                <w:szCs w:val="13"/>
                <w:color w:val="auto"/>
              </w:rPr>
              <w:t>Information</w:t>
            </w:r>
          </w:p>
        </w:tc>
        <w:tc>
          <w:tcPr>
            <w:tcW w:w="2400" w:type="dxa"/>
            <w:vAlign w:val="bottom"/>
          </w:tcPr>
          <w:p>
            <w:pPr>
              <w:ind w:left="120"/>
              <w:spacing w:after="0"/>
              <w:rPr>
                <w:sz w:val="20"/>
                <w:szCs w:val="20"/>
                <w:color w:val="auto"/>
              </w:rPr>
            </w:pPr>
            <w:r>
              <w:rPr>
                <w:rFonts w:ascii="Arial" w:cs="Arial" w:eastAsia="Arial" w:hAnsi="Arial"/>
                <w:sz w:val="13"/>
                <w:szCs w:val="13"/>
                <w:color w:val="auto"/>
              </w:rPr>
              <w:t>First Lien Debt (10.5% Cash (1 month</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11/25/2019</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Technology</w:t>
            </w:r>
          </w:p>
        </w:tc>
        <w:tc>
          <w:tcPr>
            <w:tcW w:w="2400" w:type="dxa"/>
            <w:vAlign w:val="bottom"/>
          </w:tcPr>
          <w:p>
            <w:pPr>
              <w:ind w:left="120"/>
              <w:spacing w:after="0"/>
              <w:rPr>
                <w:sz w:val="20"/>
                <w:szCs w:val="20"/>
                <w:color w:val="auto"/>
              </w:rPr>
            </w:pPr>
            <w:r>
              <w:rPr>
                <w:rFonts w:ascii="Arial" w:cs="Arial" w:eastAsia="Arial" w:hAnsi="Arial"/>
                <w:sz w:val="13"/>
                <w:szCs w:val="13"/>
                <w:color w:val="auto"/>
              </w:rPr>
              <w:t>LIBOR + 8.5%, 2.0% Floor), Due</w:t>
            </w:r>
          </w:p>
        </w:tc>
        <w:tc>
          <w:tcPr>
            <w:tcW w:w="2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0" w:type="dxa"/>
            <w:vAlign w:val="bottom"/>
          </w:tcPr>
          <w:p>
            <w:pPr>
              <w:ind w:left="120"/>
              <w:spacing w:after="0"/>
              <w:rPr>
                <w:sz w:val="20"/>
                <w:szCs w:val="20"/>
                <w:color w:val="auto"/>
              </w:rPr>
            </w:pPr>
            <w:r>
              <w:rPr>
                <w:rFonts w:ascii="Arial" w:cs="Arial" w:eastAsia="Arial" w:hAnsi="Arial"/>
                <w:sz w:val="13"/>
                <w:szCs w:val="13"/>
                <w:color w:val="auto"/>
              </w:rPr>
              <w:t>12/31/21)</w:t>
            </w:r>
          </w:p>
        </w:tc>
        <w:tc>
          <w:tcPr>
            <w:tcW w:w="2200" w:type="dxa"/>
            <w:vAlign w:val="bottom"/>
          </w:tcPr>
          <w:p>
            <w:pPr>
              <w:jc w:val="right"/>
              <w:ind w:right="37"/>
              <w:spacing w:after="0"/>
              <w:rPr>
                <w:sz w:val="20"/>
                <w:szCs w:val="20"/>
                <w:color w:val="auto"/>
              </w:rPr>
            </w:pPr>
            <w:r>
              <w:rPr>
                <w:rFonts w:ascii="Arial" w:cs="Arial" w:eastAsia="Arial" w:hAnsi="Arial"/>
                <w:sz w:val="13"/>
                <w:szCs w:val="13"/>
                <w:color w:val="auto"/>
              </w:rPr>
              <w:t>$3,732</w:t>
            </w:r>
          </w:p>
        </w:tc>
        <w:tc>
          <w:tcPr>
            <w:tcW w:w="1120" w:type="dxa"/>
            <w:vAlign w:val="bottom"/>
          </w:tcPr>
          <w:p>
            <w:pPr>
              <w:jc w:val="right"/>
              <w:spacing w:after="0"/>
              <w:rPr>
                <w:sz w:val="20"/>
                <w:szCs w:val="20"/>
                <w:color w:val="auto"/>
              </w:rPr>
            </w:pPr>
            <w:r>
              <w:rPr>
                <w:rFonts w:ascii="Arial" w:cs="Arial" w:eastAsia="Arial" w:hAnsi="Arial"/>
                <w:sz w:val="13"/>
                <w:szCs w:val="13"/>
                <w:color w:val="auto"/>
              </w:rPr>
              <w:t>$3,732</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$3,732</w:t>
            </w:r>
          </w:p>
        </w:tc>
        <w:tc>
          <w:tcPr>
            <w:tcW w:w="1200" w:type="dxa"/>
            <w:vAlign w:val="bottom"/>
            <w:gridSpan w:val="2"/>
          </w:tcPr>
          <w:p>
            <w:pPr>
              <w:jc w:val="right"/>
              <w:spacing w:after="0"/>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81"/>
        </w:trPr>
        <w:tc>
          <w:tcPr>
            <w:tcW w:w="1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Vology, Inc.</w:t>
            </w: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Information</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Class A Preferred Units (9,041,810</w:t>
            </w:r>
          </w:p>
        </w:tc>
        <w:tc>
          <w:tcPr>
            <w:tcW w:w="2200" w:type="dxa"/>
            <w:vAlign w:val="bottom"/>
            <w:shd w:val="clear" w:color="auto" w:fill="CFF0FC"/>
          </w:tcPr>
          <w:p>
            <w:pPr>
              <w:jc w:val="right"/>
              <w:ind w:right="1237"/>
              <w:spacing w:after="0"/>
              <w:rPr>
                <w:sz w:val="20"/>
                <w:szCs w:val="20"/>
                <w:color w:val="auto"/>
              </w:rPr>
            </w:pPr>
            <w:r>
              <w:rPr>
                <w:rFonts w:ascii="Arial" w:cs="Arial" w:eastAsia="Arial" w:hAnsi="Arial"/>
                <w:sz w:val="13"/>
                <w:szCs w:val="13"/>
                <w:color w:val="auto"/>
              </w:rPr>
              <w:t>11/25/2019</w:t>
            </w: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960" w:type="dxa"/>
            <w:vAlign w:val="bottom"/>
            <w:shd w:val="clear" w:color="auto" w:fill="CFF0FC"/>
          </w:tcPr>
          <w:p>
            <w:pPr>
              <w:spacing w:after="0"/>
              <w:rPr>
                <w:sz w:val="15"/>
                <w:szCs w:val="15"/>
                <w:color w:val="auto"/>
              </w:rPr>
            </w:pPr>
          </w:p>
        </w:tc>
        <w:tc>
          <w:tcPr>
            <w:tcW w:w="1160" w:type="dxa"/>
            <w:vAlign w:val="bottom"/>
            <w:shd w:val="clear" w:color="auto" w:fill="CFF0FC"/>
          </w:tcPr>
          <w:p>
            <w:pPr>
              <w:ind w:left="20"/>
              <w:spacing w:after="0"/>
              <w:rPr>
                <w:sz w:val="20"/>
                <w:szCs w:val="20"/>
                <w:color w:val="auto"/>
              </w:rPr>
            </w:pPr>
            <w:r>
              <w:rPr>
                <w:rFonts w:ascii="Arial" w:cs="Arial" w:eastAsia="Arial" w:hAnsi="Arial"/>
                <w:sz w:val="13"/>
                <w:szCs w:val="13"/>
                <w:color w:val="auto"/>
              </w:rPr>
              <w:t>Technology</w:t>
            </w:r>
          </w:p>
        </w:tc>
        <w:tc>
          <w:tcPr>
            <w:tcW w:w="24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Units)</w:t>
            </w:r>
          </w:p>
        </w:tc>
        <w:tc>
          <w:tcPr>
            <w:tcW w:w="22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5,215</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4,687</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73"/>
        </w:trPr>
        <w:tc>
          <w:tcPr>
            <w:tcW w:w="1960" w:type="dxa"/>
            <w:vAlign w:val="bottom"/>
          </w:tcPr>
          <w:p>
            <w:pPr>
              <w:ind w:left="20"/>
              <w:spacing w:after="0"/>
              <w:rPr>
                <w:sz w:val="20"/>
                <w:szCs w:val="20"/>
                <w:color w:val="auto"/>
              </w:rPr>
            </w:pPr>
            <w:r>
              <w:rPr>
                <w:rFonts w:ascii="Arial" w:cs="Arial" w:eastAsia="Arial" w:hAnsi="Arial"/>
                <w:sz w:val="13"/>
                <w:szCs w:val="13"/>
                <w:color w:val="auto"/>
              </w:rPr>
              <w:t>Vology, Inc.</w:t>
            </w:r>
          </w:p>
        </w:tc>
        <w:tc>
          <w:tcPr>
            <w:tcW w:w="1160" w:type="dxa"/>
            <w:vAlign w:val="bottom"/>
          </w:tcPr>
          <w:p>
            <w:pPr>
              <w:ind w:left="20"/>
              <w:spacing w:after="0"/>
              <w:rPr>
                <w:sz w:val="20"/>
                <w:szCs w:val="20"/>
                <w:color w:val="auto"/>
              </w:rPr>
            </w:pPr>
            <w:r>
              <w:rPr>
                <w:rFonts w:ascii="Arial" w:cs="Arial" w:eastAsia="Arial" w:hAnsi="Arial"/>
                <w:sz w:val="13"/>
                <w:szCs w:val="13"/>
                <w:color w:val="auto"/>
              </w:rPr>
              <w:t>Information</w:t>
            </w:r>
          </w:p>
        </w:tc>
        <w:tc>
          <w:tcPr>
            <w:tcW w:w="2400" w:type="dxa"/>
            <w:vAlign w:val="bottom"/>
          </w:tcPr>
          <w:p>
            <w:pPr>
              <w:ind w:left="120"/>
              <w:spacing w:after="0"/>
              <w:rPr>
                <w:sz w:val="20"/>
                <w:szCs w:val="20"/>
                <w:color w:val="auto"/>
              </w:rPr>
            </w:pPr>
            <w:r>
              <w:rPr>
                <w:rFonts w:ascii="Arial" w:cs="Arial" w:eastAsia="Arial" w:hAnsi="Arial"/>
                <w:sz w:val="13"/>
                <w:szCs w:val="13"/>
                <w:color w:val="auto"/>
              </w:rPr>
              <w:t>Membership Units (5,363,982 Units)</w:t>
            </w:r>
          </w:p>
        </w:tc>
        <w:tc>
          <w:tcPr>
            <w:tcW w:w="2200" w:type="dxa"/>
            <w:vAlign w:val="bottom"/>
          </w:tcPr>
          <w:p>
            <w:pPr>
              <w:jc w:val="right"/>
              <w:ind w:right="1237"/>
              <w:spacing w:after="0"/>
              <w:rPr>
                <w:sz w:val="20"/>
                <w:szCs w:val="20"/>
                <w:color w:val="auto"/>
              </w:rPr>
            </w:pPr>
            <w:r>
              <w:rPr>
                <w:rFonts w:ascii="Arial" w:cs="Arial" w:eastAsia="Arial" w:hAnsi="Arial"/>
                <w:sz w:val="13"/>
                <w:szCs w:val="13"/>
                <w:color w:val="auto"/>
              </w:rPr>
              <w:t>11/25/2019</w:t>
            </w: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Technology</w:t>
            </w:r>
          </w:p>
        </w:tc>
        <w:tc>
          <w:tcPr>
            <w:tcW w:w="24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83"/>
        </w:trPr>
        <w:tc>
          <w:tcPr>
            <w:tcW w:w="1960" w:type="dxa"/>
            <w:vAlign w:val="bottom"/>
            <w:tcBorders>
              <w:bottom w:val="single" w:sz="8" w:color="CFF0FC"/>
            </w:tcBorders>
            <w:shd w:val="clear" w:color="auto" w:fill="CFF0FC"/>
          </w:tcPr>
          <w:p>
            <w:pPr>
              <w:spacing w:after="0"/>
              <w:rPr>
                <w:sz w:val="15"/>
                <w:szCs w:val="15"/>
                <w:color w:val="auto"/>
              </w:rPr>
            </w:pPr>
          </w:p>
        </w:tc>
        <w:tc>
          <w:tcPr>
            <w:tcW w:w="1160" w:type="dxa"/>
            <w:vAlign w:val="bottom"/>
            <w:tcBorders>
              <w:bottom w:val="single" w:sz="8" w:color="CFF0FC"/>
            </w:tcBorders>
            <w:shd w:val="clear" w:color="auto" w:fill="CFF0FC"/>
          </w:tcPr>
          <w:p>
            <w:pPr>
              <w:spacing w:after="0"/>
              <w:rPr>
                <w:sz w:val="15"/>
                <w:szCs w:val="15"/>
                <w:color w:val="auto"/>
              </w:rPr>
            </w:pPr>
          </w:p>
        </w:tc>
        <w:tc>
          <w:tcPr>
            <w:tcW w:w="2400" w:type="dxa"/>
            <w:vAlign w:val="bottom"/>
            <w:tcBorders>
              <w:bottom w:val="single" w:sz="8" w:color="CFF0FC"/>
            </w:tcBorders>
            <w:shd w:val="clear" w:color="auto" w:fill="CFF0FC"/>
          </w:tcPr>
          <w:p>
            <w:pPr>
              <w:spacing w:after="0"/>
              <w:rPr>
                <w:sz w:val="15"/>
                <w:szCs w:val="15"/>
                <w:color w:val="auto"/>
              </w:rPr>
            </w:pPr>
          </w:p>
        </w:tc>
        <w:tc>
          <w:tcPr>
            <w:tcW w:w="22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8,947</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8,419</w:t>
            </w:r>
          </w:p>
        </w:tc>
        <w:tc>
          <w:tcPr>
            <w:tcW w:w="8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89"/>
        </w:trPr>
        <w:tc>
          <w:tcPr>
            <w:tcW w:w="3120" w:type="dxa"/>
            <w:vAlign w:val="bottom"/>
            <w:gridSpan w:val="2"/>
          </w:tcPr>
          <w:p>
            <w:pPr>
              <w:spacing w:after="0"/>
              <w:rPr>
                <w:sz w:val="16"/>
                <w:szCs w:val="16"/>
                <w:color w:val="auto"/>
              </w:rPr>
            </w:pPr>
          </w:p>
        </w:tc>
        <w:tc>
          <w:tcPr>
            <w:tcW w:w="2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gridSpan w:val="2"/>
          </w:tcPr>
          <w:p>
            <w:pPr>
              <w:spacing w:after="0"/>
              <w:rPr>
                <w:sz w:val="16"/>
                <w:szCs w:val="16"/>
                <w:color w:val="auto"/>
              </w:rPr>
            </w:pPr>
          </w:p>
        </w:tc>
        <w:tc>
          <w:tcPr>
            <w:tcW w:w="12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Sub Total Control investments - United States</w:t>
            </w:r>
          </w:p>
        </w:tc>
        <w:tc>
          <w:tcPr>
            <w:tcW w:w="240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$8,947</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$8,419</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6"/>
        </w:trPr>
        <w:tc>
          <w:tcPr>
            <w:tcW w:w="19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w w:val="98"/>
              </w:rPr>
              <w:t>TOTAL INVESTMENTS - 252.1%</w:t>
            </w:r>
          </w:p>
        </w:tc>
        <w:tc>
          <w:tcPr>
            <w:tcW w:w="1160" w:type="dxa"/>
            <w:vAlign w:val="bottom"/>
            <w:tcBorders>
              <w:bottom w:val="single" w:sz="8" w:color="CFF0FC"/>
            </w:tcBorders>
            <w:shd w:val="clear" w:color="auto" w:fill="CFF0FC"/>
          </w:tcPr>
          <w:p>
            <w:pPr>
              <w:spacing w:after="0"/>
              <w:rPr>
                <w:sz w:val="19"/>
                <w:szCs w:val="19"/>
                <w:color w:val="auto"/>
              </w:rPr>
            </w:pPr>
          </w:p>
        </w:tc>
        <w:tc>
          <w:tcPr>
            <w:tcW w:w="2400" w:type="dxa"/>
            <w:vAlign w:val="bottom"/>
            <w:tcBorders>
              <w:bottom w:val="single" w:sz="8" w:color="CFF0FC"/>
            </w:tcBorders>
            <w:shd w:val="clear" w:color="auto" w:fill="CFF0FC"/>
          </w:tcPr>
          <w:p>
            <w:pPr>
              <w:spacing w:after="0"/>
              <w:rPr>
                <w:sz w:val="19"/>
                <w:szCs w:val="19"/>
                <w:color w:val="auto"/>
              </w:rPr>
            </w:pPr>
          </w:p>
        </w:tc>
        <w:tc>
          <w:tcPr>
            <w:tcW w:w="220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$277,652</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$274,692</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252.1%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-7248525</wp:posOffset>
            </wp:positionV>
            <wp:extent cx="5143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-7248525</wp:posOffset>
            </wp:positionV>
            <wp:extent cx="5143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-6099810</wp:posOffset>
            </wp:positionV>
            <wp:extent cx="5143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-6099810</wp:posOffset>
            </wp:positionV>
            <wp:extent cx="5143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-5045710</wp:posOffset>
            </wp:positionV>
            <wp:extent cx="5143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-5045710</wp:posOffset>
            </wp:positionV>
            <wp:extent cx="51435"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-4693920</wp:posOffset>
            </wp:positionV>
            <wp:extent cx="51435"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-4693920</wp:posOffset>
            </wp:positionV>
            <wp:extent cx="51435"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-3442335</wp:posOffset>
            </wp:positionV>
            <wp:extent cx="51435"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-3442335</wp:posOffset>
            </wp:positionV>
            <wp:extent cx="5143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-2542540</wp:posOffset>
            </wp:positionV>
            <wp:extent cx="51435"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-2542540</wp:posOffset>
            </wp:positionV>
            <wp:extent cx="51435"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-2199640</wp:posOffset>
            </wp:positionV>
            <wp:extent cx="51435"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-2199640</wp:posOffset>
            </wp:positionV>
            <wp:extent cx="51435"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-536575</wp:posOffset>
            </wp:positionV>
            <wp:extent cx="51435"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-536575</wp:posOffset>
            </wp:positionV>
            <wp:extent cx="5143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-290830</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-273685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-290830</wp:posOffset>
            </wp:positionV>
            <wp:extent cx="5143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-273685</wp:posOffset>
            </wp:positionV>
            <wp:extent cx="514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-8255</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9" w:lineRule="exact"/>
        <w:rPr>
          <w:sz w:val="20"/>
          <w:szCs w:val="20"/>
          <w:color w:val="auto"/>
        </w:rPr>
      </w:pPr>
    </w:p>
    <w:p>
      <w:pPr>
        <w:ind w:left="5540" w:right="4720" w:hanging="5532"/>
        <w:spacing w:after="0" w:line="589" w:lineRule="auto"/>
        <w:tabs>
          <w:tab w:leader="none" w:pos="45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 investments valued using unobservable inputs (Level 3), unless otherwise noted.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-123825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investments valued by the Company's board of directors.</w:t>
      </w:r>
    </w:p>
    <w:p>
      <w:pPr>
        <w:spacing w:after="0" w:line="23" w:lineRule="exact"/>
        <w:rPr>
          <w:rFonts w:ascii="Arial" w:cs="Arial" w:eastAsia="Arial" w:hAnsi="Arial"/>
          <w:sz w:val="18"/>
          <w:szCs w:val="18"/>
          <w:color w:val="auto"/>
        </w:rPr>
      </w:pPr>
    </w:p>
    <w:p>
      <w:pPr>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debt investments are income producing, unless otherwise noted. Equity and warrant investments are non-income producing, unless otherwise noted.</w:t>
      </w: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Percentages are based on net assets of $108,947 as of December 31, 2020.</w:t>
      </w:r>
    </w:p>
    <w:p>
      <w:pPr>
        <w:spacing w:after="0" w:line="22" w:lineRule="exact"/>
        <w:rPr>
          <w:rFonts w:ascii="Arial" w:cs="Arial" w:eastAsia="Arial" w:hAnsi="Arial"/>
          <w:sz w:val="18"/>
          <w:szCs w:val="18"/>
          <w:color w:val="auto"/>
        </w:rPr>
      </w:pPr>
    </w:p>
    <w:p>
      <w:pPr>
        <w:jc w:val="both"/>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generally acquires its investments in private transactions exempt from registration under the Securities Act of 1933, as amended (the "Securities Act"). These investments are generally subject to certain limitations on resale, and may be deemed to be "restricted securities" under the Securities Act.</w:t>
      </w: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of the original investment has been extended.</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Non-accrual investment.</w:t>
      </w:r>
    </w:p>
    <w:p>
      <w:pPr>
        <w:spacing w:after="0" w:line="22" w:lineRule="exact"/>
        <w:rPr>
          <w:rFonts w:ascii="Arial" w:cs="Arial" w:eastAsia="Arial" w:hAnsi="Arial"/>
          <w:sz w:val="18"/>
          <w:szCs w:val="18"/>
          <w:color w:val="auto"/>
        </w:rPr>
      </w:pPr>
    </w:p>
    <w:p>
      <w:pPr>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1.0% interest rate payable in cash. 9.0% interest rate payable in cash or paid-in-kind at borrower's election. The borrower is currently paying all interest in cash.</w:t>
      </w:r>
    </w:p>
    <w:p>
      <w:pPr>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9.0% interest rate payable in cash. 2.0% interest rate payable in cash or paid-in-kind at borrower's election. The borrower is currently paying all interest in cash.</w:t>
      </w:r>
    </w:p>
    <w:p>
      <w:pPr>
        <w:jc w:val="both"/>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Indicates assets that the Company believes do not represent “qualifying assets” under Section 55(a) of the Investment Company Act of 1940, as amended. Qualifying assets must represent at least 70% of the Company's total assets at the time of acquisition of any additional non-qualifying assets. As of December 31, 2020, 1.1% of the Company's total assets were non-qualifying assets.</w:t>
      </w: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cash rate equals the approximate current yield on our last-out portion of the unitranche facility.</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has a $1.0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has a $3.5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investment has been exited or sold. The residual value reflects estimated earnout, escrow, or other proceeds expected post-closing.</w:t>
      </w:r>
    </w:p>
    <w:p>
      <w:pPr>
        <w:spacing w:after="0" w:line="34" w:lineRule="exact"/>
        <w:rPr>
          <w:rFonts w:ascii="Arial" w:cs="Arial" w:eastAsia="Arial" w:hAnsi="Arial"/>
          <w:sz w:val="17"/>
          <w:szCs w:val="17"/>
          <w:color w:val="auto"/>
        </w:rPr>
      </w:pPr>
    </w:p>
    <w:p>
      <w:pPr>
        <w:ind w:left="492" w:hanging="492"/>
        <w:spacing w:after="0"/>
        <w:tabs>
          <w:tab w:leader="none" w:pos="4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has a $3.0 million unfunded commitment.</w:t>
      </w:r>
    </w:p>
    <w:p>
      <w:pPr>
        <w:spacing w:after="0" w:line="22" w:lineRule="exact"/>
        <w:rPr>
          <w:rFonts w:ascii="Arial" w:cs="Arial" w:eastAsia="Arial" w:hAnsi="Arial"/>
          <w:sz w:val="18"/>
          <w:szCs w:val="18"/>
          <w:color w:val="auto"/>
        </w:rPr>
      </w:pP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investment has a $1.3 million unfunded commitment.</w:t>
      </w:r>
    </w:p>
    <w:p>
      <w:pPr>
        <w:spacing w:after="0" w:line="22" w:lineRule="exact"/>
        <w:rPr>
          <w:rFonts w:ascii="Arial" w:cs="Arial" w:eastAsia="Arial" w:hAnsi="Arial"/>
          <w:sz w:val="18"/>
          <w:szCs w:val="18"/>
          <w:color w:val="auto"/>
        </w:rPr>
      </w:pPr>
    </w:p>
    <w:p>
      <w:pPr>
        <w:ind w:left="432" w:hanging="432"/>
        <w:spacing w:after="0" w:line="266" w:lineRule="auto"/>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Investment is valued using observable inputs (Level 1). The stock of the company is traded on the NASDAQ Capital Market under the ticker "USWS."</w:t>
      </w:r>
    </w:p>
    <w:p>
      <w:pPr>
        <w:ind w:left="432" w:hanging="432"/>
        <w:spacing w:after="0"/>
        <w:tabs>
          <w:tab w:leader="none" w:pos="4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68"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LOGAN RIDGE FINANCE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September 30, 2021</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25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Logan Ridge Finance Corporation (the “Company”, “we”, “us”, and “our”) is an externally managed non-diversified closed-end management investment company incorporated in Maryland that has elected to be regulated as a business development company (“BDC”) under the Investment Company Act of 1940, as amended (the “1940 Act”). The Company commenced operations on May 24, 2013 and completed its initial public offering (“IPO”) on September 30, 2013. The Company is managed by Mount Logan Management LLC (the “Investment Advisor”), an investment adviser that is registered as an investment adviser under the Investment Advisers Act of 1940, as amended, and BC Partners Management LLC (the “Administrator”) provides the administrative services necessary for the Company to operate. For United States (“U.S.”) federal income tax purposes, the Company has elected to be treated, and intends to comply with the requirements to continue to qualify annually, as a regulated investment company (“RIC”) under subchapter M of the Internal Revenue Code of 1986, as amended (the “Code”).</w:t>
      </w:r>
    </w:p>
    <w:p>
      <w:pPr>
        <w:spacing w:after="0" w:line="195"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204"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288" w:lineRule="auto"/>
        <w:tabs>
          <w:tab w:leader="none" w:pos="167" w:val="left"/>
        </w:tabs>
        <w:numPr>
          <w:ilvl w:val="0"/>
          <w:numId w:val="9"/>
        </w:numPr>
        <w:rPr>
          <w:rFonts w:ascii="Arial" w:cs="Arial" w:eastAsia="Arial" w:hAnsi="Arial"/>
          <w:sz w:val="17"/>
          <w:szCs w:val="17"/>
          <w:color w:val="auto"/>
        </w:rPr>
      </w:pPr>
      <w:r>
        <w:rPr>
          <w:rFonts w:ascii="Arial" w:cs="Arial" w:eastAsia="Arial" w:hAnsi="Arial"/>
          <w:sz w:val="17"/>
          <w:szCs w:val="17"/>
          <w:color w:val="auto"/>
        </w:rPr>
        <w:t>and Fund III retained their small business investment company ("SBIC") licenses, continued to hold their existing investments at the time of the IPO and have continued to make new investments.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(the “SBA-guaranteed debentures”) and relinquished its SBIC license. On June 10, 2021, Fund III repaid its SBA-guaranteed debentures and relinquished its SBIC license.</w:t>
      </w:r>
    </w:p>
    <w:p>
      <w:pPr>
        <w:spacing w:after="0" w:line="193" w:lineRule="exact"/>
        <w:rPr>
          <w:sz w:val="20"/>
          <w:szCs w:val="20"/>
          <w:color w:val="auto"/>
        </w:rPr>
      </w:pPr>
    </w:p>
    <w:p>
      <w:pPr>
        <w:jc w:val="both"/>
        <w:ind w:firstLine="811"/>
        <w:spacing w:after="0" w:line="279"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9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Capitala Business Lending, LLC (“CBL”), a wholly-owned subsidiary of the Company, was established on October 30, 2020, for the sole purpose of holding certain investments pledged as collateral under a senior secured revolving credit agreement with KeyBank National Association (the “KeyBank Credit Facility”). See Note 8 for more details about the KeyBank Credit Facility. The financial statements of CBL are consolidated with those of Logan Ridge Finance Corporation.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On July 30, 2020, the Company’s board of directors (the “Board”) approved a one-for-six reverse stock split of the Company’s shares of common stock. Accordingly, on August 3, 2020, the Company filed Articles of Amendment (the “Articles of Amendment”) to its Articles of Amendment and Restatement with the State Department of Assessments and Taxation of the State of Maryland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8"/>
          <w:szCs w:val="18"/>
          <w:color w:val="auto"/>
        </w:rPr>
        <w:t>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9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Agreement</w:t>
      </w:r>
    </w:p>
    <w:p>
      <w:pPr>
        <w:spacing w:after="0" w:line="25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9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20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The Company is considered an investment company as defined in Accounting Standards Codification (“ASC”) Topic 946 — </w:t>
      </w:r>
      <w:r>
        <w:rPr>
          <w:rFonts w:ascii="Arial" w:cs="Arial" w:eastAsia="Arial" w:hAnsi="Arial"/>
          <w:sz w:val="16"/>
          <w:szCs w:val="16"/>
          <w:i w:val="1"/>
          <w:iCs w:val="1"/>
          <w:color w:val="auto"/>
        </w:rPr>
        <w:t>Financial Services</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i w:val="1"/>
          <w:iCs w:val="1"/>
          <w:color w:val="auto"/>
        </w:rPr>
        <w:t xml:space="preserve">— 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87"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Company’s financial statements as of September 30, 2021 and December 31, 2020 and for the periods ended September 30,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both"/>
        <w:ind w:firstLine="749"/>
        <w:spacing w:after="0" w:line="275" w:lineRule="auto"/>
        <w:rPr>
          <w:sz w:val="20"/>
          <w:szCs w:val="20"/>
          <w:color w:val="auto"/>
        </w:rPr>
      </w:pPr>
      <w:r>
        <w:rPr>
          <w:rFonts w:ascii="Arial" w:cs="Arial" w:eastAsia="Arial" w:hAnsi="Arial"/>
          <w:sz w:val="18"/>
          <w:szCs w:val="18"/>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U.S. Securities and Exchange Commission (“SEC”) on March 8,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estimates and assumptions that affect the amounts reported in the consolidated financial statements and accompanying notes. Actual results could differ from those estimates under different assumptions and conditions. The most significant estimates in the preparation of the consolidated financial statements are investment valuation, revenue recognition, and income taxes.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 substantially wholly owned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impacted the economic performance of the entity. See Note 4 to the consolidated financial statements for a description of the Company’s investment in CSLF II.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 xml:space="preserve">In accordance with ASC Topic 280 —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(“ASC 280”), the Company has determined that it has a single reporting segment and operating unit structure. While the Company invests in several industries and geographic locations, all investments share similar business and economic risks. As such, all investment activities have been aggregated into a single segment.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considers cash equivalents to be highly liquid investments with original maturities of three months or less at the date of purchase. The Company deposits its cash in financial institutions, and, at times, such balances may be in excess of the Federal Deposit Insurance Corporation insurance limits.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56"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In accordance with the provisions of the 1940 Act, the Company classifies its investments by level of control. As defined in the 1940 Act, “Control Investments” are investments in those companies that the Company is deemed to “Control.” “Affiliate Investments” are investments in those companies that are “Affiliated Companies” of the Company, as defined in the 1940 Act, other than Control Investments. “Non-Control/Non-Affiliate Investments” are those investments that are neither Control Investments nor Affiliate Investments. Generally, under the 1940 Act, the Company is deemed to control a company in which it has invested if the Company owns more than 25% of the voting securities of such company and/or has greater than 50% representation on its board or has the power to exercise control over management or policies of such portfolio company. The Company is deemed to be an affiliate of a company in which the Company has invested if it owns 5% or more of the voting securities of such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Investments</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The Company applies fair value accounting to all of its financial instruments in accordance with the 1940 Act and ASC Topic 820 —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(“ASC 820”). ASC 820 defines fair value, establishes a framework used to measure fair value, and requires disclosures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In accordance with ASC 820, the Company has categorized its financial instruments carried at fair value, based on the priority of the valuation technique, into a three-level fair value hierarchy, as discussed in Note 4.</w:t>
      </w:r>
    </w:p>
    <w:p>
      <w:pPr>
        <w:spacing w:after="0" w:line="199"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In determining fair value, the Board uses various valuation approaches, and engages a third-party valuation firm, which provides an independent valuation of certain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both"/>
        <w:ind w:firstLine="749"/>
        <w:spacing w:after="0" w:line="279"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 use in pricing the asset or liability developed based upon the best information available in the circumstances.</w:t>
      </w:r>
    </w:p>
    <w:p>
      <w:pPr>
        <w:spacing w:after="0" w:line="196"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Board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45" w:lineRule="exact"/>
        <w:rPr>
          <w:sz w:val="20"/>
          <w:szCs w:val="20"/>
          <w:color w:val="auto"/>
        </w:rPr>
      </w:pPr>
    </w:p>
    <w:p>
      <w:pPr>
        <w:jc w:val="both"/>
        <w:ind w:right="20" w:firstLine="749"/>
        <w:spacing w:after="0" w:line="303"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178"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valuation methodologies summarized below are utilized by the Company in estimating fair value.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52"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The enterprise value waterfall approach determines an enterprise value based on earnings before interest, tax, depreciation, and amortization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52"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The income approach utilizes a discounted cash flow methodology in which the Company estimates fair value based on the present value of expected cash flows discounted at a market rate of interest. The determination of a discount rate, or required rate of 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ratios,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Asset Approach</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5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an accrual basis to the extent that such amounts are expected to be collected. PIK interest is not accrued if the Company does not expect the issuer to be able to pay all principal and interest when due.</w:t>
      </w:r>
    </w:p>
    <w:p>
      <w:pPr>
        <w:spacing w:after="0" w:line="224"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 when there is reasonable doubt that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i w:val="1"/>
          <w:iCs w:val="1"/>
          <w:color w:val="auto"/>
        </w:rPr>
        <w:t xml:space="preserve">Gains and losses on investment sales: </w:t>
      </w:r>
      <w:r>
        <w:rPr>
          <w:rFonts w:ascii="Arial" w:cs="Arial" w:eastAsia="Arial" w:hAnsi="Arial"/>
          <w:sz w:val="17"/>
          <w:szCs w:val="17"/>
          <w:color w:val="auto"/>
        </w:rPr>
        <w:t>Realized gains and losses on investments are recognized using the specific identification method.</w:t>
      </w:r>
    </w:p>
    <w:p>
      <w:pPr>
        <w:spacing w:after="0" w:line="264"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89"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maturity date are recorded as income upon receipt.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Sales</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The Company follows the guidance in ASC Topic 860 — </w:t>
      </w:r>
      <w:r>
        <w:rPr>
          <w:rFonts w:ascii="Arial" w:cs="Arial" w:eastAsia="Arial" w:hAnsi="Arial"/>
          <w:sz w:val="18"/>
          <w:szCs w:val="18"/>
          <w:i w:val="1"/>
          <w:iCs w:val="1"/>
          <w:color w:val="auto"/>
        </w:rPr>
        <w:t>Transfers and Servicing</w:t>
      </w:r>
      <w:r>
        <w:rPr>
          <w:rFonts w:ascii="Arial" w:cs="Arial" w:eastAsia="Arial" w:hAnsi="Arial"/>
          <w:sz w:val="18"/>
          <w:szCs w:val="18"/>
          <w:color w:val="auto"/>
        </w:rPr>
        <w:t xml:space="preserve"> (“ASC 860”) when accounting for loan participations and partial loan sales as it relates to concluding on sales accounting treatment for such transactions. Based on the Company’s analysis of all loan participations and partial sales completed, the Company believes that all such transactions meet the criterion required by ASC 860 to qualify for sales accounting treatment.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 xml:space="preserve">The Company follows the guidance of ASC Topic 460 —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(“ASC 460”). ASC 460 elaborates on the disclosure requirements of a guarantor in its interim and annual consolidated financial statements about its obligations under certain guarantees that it has issued. It also requires a guarantor to recognize, at the inception of a guarantee, for those guarantees that are covered by ASC 460, the fair value of the obligation undertaken in issuing certain guarantees.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25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General and administrative expenses are accrued as incurred. The Company’s administrative expenses include personnel and overhead expenses allocable to the Company paid by and reimbursed to the Administrator under an administration agreement between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both"/>
        <w:ind w:right="20"/>
        <w:spacing w:after="0" w:line="293" w:lineRule="auto"/>
        <w:rPr>
          <w:sz w:val="20"/>
          <w:szCs w:val="20"/>
          <w:color w:val="auto"/>
        </w:rPr>
      </w:pPr>
      <w:r>
        <w:rPr>
          <w:rFonts w:ascii="Arial" w:cs="Arial" w:eastAsia="Arial" w:hAnsi="Arial"/>
          <w:sz w:val="18"/>
          <w:szCs w:val="18"/>
          <w:color w:val="auto"/>
        </w:rPr>
        <w:t>the Company and the Administrator (the “Administration Agreement”). Other operating expenses such as legal and audit fees, director fees, and director and officer insurance are generally paid directly by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Fees</w:t>
      </w:r>
    </w:p>
    <w:p>
      <w:pPr>
        <w:spacing w:after="0" w:line="256" w:lineRule="exact"/>
        <w:rPr>
          <w:sz w:val="20"/>
          <w:szCs w:val="20"/>
          <w:color w:val="auto"/>
        </w:rPr>
      </w:pPr>
    </w:p>
    <w:p>
      <w:pPr>
        <w:jc w:val="both"/>
        <w:ind w:right="20" w:firstLine="749"/>
        <w:spacing w:after="0" w:line="279" w:lineRule="auto"/>
        <w:rPr>
          <w:sz w:val="20"/>
          <w:szCs w:val="20"/>
          <w:color w:val="auto"/>
        </w:rPr>
      </w:pPr>
      <w:r>
        <w:rPr>
          <w:rFonts w:ascii="Arial" w:cs="Arial" w:eastAsia="Arial" w:hAnsi="Arial"/>
          <w:sz w:val="18"/>
          <w:szCs w:val="18"/>
          <w:color w:val="auto"/>
        </w:rPr>
        <w:t>Costs incurred to issue the Company’s debt obligations are capitalized and are amortized over the term of the debt agreements under the effective interest method. Deferred financing fees are presented as a direct deduction from the carrying amount of the corresponding debt liability in the Statement of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Company’s earnings per share (“EPS”) amounts have been computed based on the weighted-average number of shares of the Company’s common stock outstanding for the period. Basic EPS is computed by dividing net increase (decrease) in net assets resulting from operations by the weighted average number of shares of the Company’s common stock outstanding during the period of computation. Diluted EPS is computed by dividing net increase (decrease) in net assets resulting from operations, adjusted for the change in net assets resulting from the exercise of the dilutive shares, by the weighted average number of shares of the Company’s common stock assuming all potentially dilutive shares had been issued. Diluted EPS reflects the potential dilution, using the as-if-converted method for convertible debt, which could occur if all potentially dilutive securities were exercised.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share amount and per share amount of the Company’s common stock in the consolidated financial statements and notes have been retroactively adjusted for the Reverse Stock Split effected on August 21, 2020 for the three and nine months ended September 30, 2020. See Note 1 for more information regarding the Reverse Stock Split.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As of September 30, 2021 and December 31, 2020, the Company had outstanding unfunded commitments related to debt investments in existing portfolio companies of $9.0 million (Accordion Partners LLC), $3.5 million (J5 Infrastructure Partners, LLC), $2.5 million (Marble Point Credit Management LLC), $1.0 million (U.S. BioTek Laboratories, LLC), and $7.1 million (Wealth Enhancement Group, LLC).</w:t>
      </w:r>
    </w:p>
    <w:p>
      <w:pPr>
        <w:spacing w:after="0" w:line="17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In the ordinary course of business, the Company may enter into contracts or agreements that contain indemnifications or warranties. Future events could occur that could lead to the execution of these provisions against the Company. Based on its history and experience, management believes that the likelihood of such an event is remote.</w:t>
      </w:r>
    </w:p>
    <w:p>
      <w:pPr>
        <w:spacing w:after="0" w:line="19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 or result in direct losses to the Company. The nature of litigation can make it difficult to predict the impact a particular lawsuit will have on the Company. There are many reasons that the Company cannot make these assessments, including, among others, one or more of the following: the proceeding is in its early stages; the damages sought are unspecified, unsupportable, unexplained or uncertain; discovery has not started or is not complete; there are significant facts in dispute; and there are other parties who may share in any ultimate liability.</w:t>
      </w:r>
    </w:p>
    <w:p>
      <w:pPr>
        <w:spacing w:after="0" w:line="18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In management’s opinion, no direct losses with respect to litigation contingencies were probable as of September 30, 2021 and December 31, 2020. Management is of the opinion that the ultimate resolution of such claims, if any, will not materially affect the Company’s business, financial position, results of operations, or liquidity. Furthermore, in management’s opinion, it is not possible to estimate a range of reasonably possible losses with respect to litigation contingencies.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requirements to qualify annually as a RIC under subchapter M of the Code and, among other things, intends to make the requisite distributions to its stockholders which will relieve the Company from U.S. federal income taxes.</w:t>
      </w:r>
    </w:p>
    <w:p>
      <w:pPr>
        <w:spacing w:after="0" w:line="237"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jc w:val="both"/>
        <w:ind w:firstLine="749"/>
        <w:spacing w:after="0" w:line="272"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tax years ended December 31, 2020, 2019, 2018, and 2017 remain subject to examination by U.S. federal, state, and local tax authorities. No interest expense or penalties have been assessed for the three and nine months ended September 30, 2021 and 2020. If the Company was required to recognize interest and penalties, if any, related to unrecognized tax benefits this would be recognized as income tax expense in the consolidated statements of operations.</w:t>
      </w:r>
    </w:p>
    <w:p>
      <w:pPr>
        <w:spacing w:after="0" w:line="19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For U.S. federal income tax purposes, as of September 30, 2021, the aggregate net unrealized depreciation for all securities was $26.1 million. As of September 30, 2021, gross unrealized appreciation was $7.9 million and gross unrealized depreciation was $(34.0) million. The aggregate cost of securities for U.S. federal income tax purposes was $221.4 million as of September 30, 2021. For U.S. federal income tax purposes, as of December 31, 2020, the aggregate net unrealized depreciation for all securities was $(23.4) million. As of December 31, 2020, gross unrealized appreciation was $14.3 million and gross unrealized depreciation was $(37.7) million. The aggregate cost of securities for U.S. federal income tax purposes was $298.1 million as of December 31, 2020.</w:t>
      </w:r>
    </w:p>
    <w:p>
      <w:pPr>
        <w:spacing w:after="0" w:line="204"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September 30, 2021 and December 31, 2020, the Company recorded a net deferred tax asset of zero. For the three and nine months ended September 30, 2021 and 2020, the Company recorded a tax provision of zero. As of September 30, 2021 and December 31, 2020, the valuation allowance on the Company’s deferred tax asset was $10.7 million and $4.6 million, respectively. During the three and nine months ended September 30, 2021, the Company recognized an increase in the valuation allowance of $7.5 million and $6.1 million, respectively. During the three and nine months ended September 30, 2020, the Company recognized an increase in the valuation allowance of $1.0 million and $1.8 million, respectively.</w:t>
      </w:r>
    </w:p>
    <w:p>
      <w:pPr>
        <w:spacing w:after="0" w:line="194"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6"/>
          <w:szCs w:val="16"/>
          <w:color w:val="auto"/>
        </w:rPr>
        <w:t>In accordance with certain applicable U.S. Treasury regulations and guidance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the cash available for distribution must be allocated among the stockholders electing to receive cash (with the balance of the distribution paid in stock). In no event will any stockholder, electing to receive cash, receive the lesser of</w:t>
      </w:r>
    </w:p>
    <w:p>
      <w:pPr>
        <w:spacing w:after="0" w:line="2" w:lineRule="exact"/>
        <w:rPr>
          <w:sz w:val="20"/>
          <w:szCs w:val="20"/>
          <w:color w:val="auto"/>
        </w:rPr>
      </w:pPr>
    </w:p>
    <w:p>
      <w:pPr>
        <w:jc w:val="both"/>
        <w:ind w:firstLine="8"/>
        <w:spacing w:after="0" w:line="279"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portion of the distribution such stockholder has elected to receive in cash or (b) an amount equal to his or her entire distribution times the percentage limitation on cash available for distribution. If these and certain other requirements are met, for U.S. federal income tax purposes, the amount of the dividend paid in stock will be equal to the amount of cash that could have been received instead of stock.</w:t>
      </w:r>
    </w:p>
    <w:p>
      <w:pPr>
        <w:spacing w:after="0" w:line="195"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 xml:space="preserve">ASC Topic 740 —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to be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2021 and December 31, 2020, there were no uncertain tax positions.</w:t>
      </w:r>
    </w:p>
    <w:p>
      <w:pPr>
        <w:spacing w:after="0" w:line="20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204"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Coronavirus Aid, Relief, and Economic Security Act (the “CARES Act”) was enacted on March 27, 2020 and made significant prospective and retroactive changes to the U.S. federal income tax laws (and certain corresponding state and local conformity measures) including: 1) 5-year net operating loss (“NOL”) carrybacks with no taxable income limitation, 2) relaxation of the limitations on interest expense deductions, 3) qualified improvement property eligible for bonus depreciation, 4) acceleration of alternative minimum tax credits and related quick tax refunds, and 5) indirect tax measures, including workplace tax credits and deferral of social security payroll tax. Management has considered the impact of the CARES Act on the Company, its Taxable Subsidiaries, and the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3" w:name="page24"/>
    <w:bookmarkEnd w:id="23"/>
    <w:p>
      <w:pPr>
        <w:jc w:val="both"/>
        <w:spacing w:after="0" w:line="293" w:lineRule="auto"/>
        <w:rPr>
          <w:sz w:val="20"/>
          <w:szCs w:val="20"/>
          <w:color w:val="auto"/>
        </w:rPr>
      </w:pPr>
      <w:r>
        <w:rPr>
          <w:rFonts w:ascii="Arial" w:cs="Arial" w:eastAsia="Arial" w:hAnsi="Arial"/>
          <w:sz w:val="18"/>
          <w:szCs w:val="18"/>
          <w:color w:val="auto"/>
        </w:rPr>
        <w:t>underlying portfolio companies, and the Company has reflected these potential impacts in the consolidated financial statements, related tax disclosures, and the value of the investments.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jc w:val="both"/>
        <w:ind w:firstLine="749"/>
        <w:spacing w:after="0" w:line="359" w:lineRule="auto"/>
        <w:rPr>
          <w:sz w:val="20"/>
          <w:szCs w:val="20"/>
          <w:color w:val="auto"/>
        </w:rPr>
      </w:pPr>
      <w:r>
        <w:rPr>
          <w:rFonts w:ascii="Arial" w:cs="Arial" w:eastAsia="Arial" w:hAnsi="Arial"/>
          <w:sz w:val="16"/>
          <w:szCs w:val="16"/>
          <w:color w:val="auto"/>
        </w:rPr>
        <w:t>Distributions to the Company’s common stockholders are recorded on the record date. The amount to be paid out as a dividend is determined by the Board. Net capital gains, if any, are generally distributed at least annually, although we may decide to retain such capital gains for reinvestment.</w:t>
      </w:r>
    </w:p>
    <w:p>
      <w:pPr>
        <w:spacing w:after="0" w:line="138"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The Company has adopted an “opt out” dividend reinvestment plan (“DRIP”) for the Company’s common stockholders. As a result, if the Company declares a distribution, then stockholders’ cash distributions will be automatically reinvested in additional shares of the Company’s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the Company’s DRIP will not receive any corresponding cash distributions with which to pay any such applicable taxes.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Investment Risk, Concentration of Credit Risk, Liquidity Risk, and COVID-19 Risk</w:t>
      </w:r>
    </w:p>
    <w:p>
      <w:pPr>
        <w:spacing w:after="0" w:line="256" w:lineRule="exact"/>
        <w:rPr>
          <w:sz w:val="20"/>
          <w:szCs w:val="20"/>
          <w:color w:val="auto"/>
        </w:rPr>
      </w:pPr>
    </w:p>
    <w:p>
      <w:pPr>
        <w:jc w:val="both"/>
        <w:ind w:firstLine="749"/>
        <w:spacing w:after="0" w:line="319" w:lineRule="auto"/>
        <w:rPr>
          <w:sz w:val="20"/>
          <w:szCs w:val="20"/>
          <w:color w:val="auto"/>
        </w:rPr>
      </w:pPr>
      <w:r>
        <w:rPr>
          <w:rFonts w:ascii="Arial" w:cs="Arial" w:eastAsia="Arial" w:hAnsi="Arial"/>
          <w:sz w:val="16"/>
          <w:szCs w:val="16"/>
          <w:color w:val="auto"/>
        </w:rPr>
        <w:t>The Investment Advisor has broad discretion in making investments for the Company. Investments will generally consist of debt and equity instruments that may be affected by business, financial market, or legal uncertainties. Prices of investments may be volatile, and a variety of factors that are inherently difficult to predict, such as domestic or international economic and political developments, may significantly affect the results of the Company’s activities and the value of its investments. In addition, the value of the Company’s portfolio may fluctuate as the general level of interest rates fluctuate.</w:t>
      </w:r>
    </w:p>
    <w:p>
      <w:pPr>
        <w:spacing w:after="0" w:line="16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value of the Company’s investments may be detrimentally affected to the extent, among other things, that a borrower defaults on its obligations, there is insufficient collateral and/or there are extensive legal and other costs incurred in collecting on a defaulted loan. The value of the Company’s investments may also be detrimentally affected to the extent observable primary or secondary market yields for similar instruments issued by comparable companies increase materially or risk premiums in the market between smaller companies, such as our borrowers, and those for which market yields are observable increase materially.</w:t>
      </w:r>
    </w:p>
    <w:p>
      <w:pPr>
        <w:spacing w:after="0" w:line="20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Investment Advisor may attempt to minimize this risk by maintaining low debt-to-liquidation values with each debt investment and the collateral underlying the debt investment.</w:t>
      </w:r>
    </w:p>
    <w:p>
      <w:pPr>
        <w:spacing w:after="0" w:line="183"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The Company’s assets may, at any time, include securities and other financial instruments or obligations that are illiquid or thinly traded, making purchase or sale of such securities and financial instruments at desired prices or in desired quantities difficult. Furthermore, the sale of any such investments may be possible only at substantial discounts, and it may be extremely difficult to value any such investments accurately.</w:t>
      </w:r>
    </w:p>
    <w:p>
      <w:pPr>
        <w:spacing w:after="0" w:line="218"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6"/>
          <w:szCs w:val="16"/>
          <w:color w:val="auto"/>
        </w:rPr>
        <w:t>The Company’s operating results and portfolio companies may be negatively impacted by the COVID-19 pandemic. While several countries, as well as certain states, counties and cities in the United States, have currently or in the past relaxed public health restrictions with the view to partially or fully reopening their economies, many cities subsequently experienced a surge in the reported number of cases, hospitalizations and deaths related to the COVID-19 pandemic. These surges led to the re-introduction of such restrictions and business shutdowns in certain states in the United States and globally and could continue to lead to the re-introduction of such restrictions elsewhere, particularly in cities impacted by variants of the COVID-19 virus or with high number of unvaccinated individuals. Health advisors warn that recurring COVID-19 outbreaks will continue if reopening is pursued too soon or in the wrong manner, which may lead to the re-introduction or continuation of certain public health restrictions (such as instituting quarantines, prohibitions on travel and the closure of offices, businesses, schools, retail stores and other public venues), particularly in cities impacted by variants of the COVID-19 virus or with high numbers of unvaccinated individuals. Additionally, travelers from the United States are restricted from visiting many countries including countries in Europe, Asia, Africa and South America. These continued travel restrictions may prolong the global economic downturn. In addition, although the Federal Food and Drug Administration authorized vaccines beginning in December 2020 and a significant portion of the U.S. population have been vaccinated, and it remains unclear how quickly the vaccines will continue to be distributed nationwide and globally, or when “herd immunity” will be achieved and the restrictions that were imposed to slow the spread of the virus will be lifted entirely. Any delay in distributing the vaccines could lead people to continue to self-isolate and not participate in the economy at pre-pandemic levels for a prolonged period of time. Even after the COVID-19 pandemic subsides, the U.S. economy and most other major global economies may continue to experience a recession, and we anticipate our business and operations could be materially adversely affected by a prolonged recession in the United States and other major markets.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both"/>
        <w:ind w:firstLine="749"/>
        <w:spacing w:after="0" w:line="269" w:lineRule="auto"/>
        <w:rPr>
          <w:sz w:val="20"/>
          <w:szCs w:val="20"/>
          <w:color w:val="auto"/>
        </w:rPr>
      </w:pPr>
      <w:r>
        <w:rPr>
          <w:rFonts w:ascii="Arial" w:cs="Arial" w:eastAsia="Arial" w:hAnsi="Arial"/>
          <w:sz w:val="18"/>
          <w:szCs w:val="18"/>
          <w:color w:val="auto"/>
        </w:rPr>
        <w:t>This pandemic is having, and any future outbreaks of infectious diseases could have, an adverse impact on the markets and the economy in general, which could have a material adverse impact on, among other things, the ability of lenders to originate loans, the volume and type of loans originated, and the volume and type of amendments and waivers granted to borrowers and remedial actions taken in the event of a borrower default, each of which could negatively impact the amount and quality of loans available for investment by the Company and returns to the Company, among other things. As of the date of this Quarterly Report on Form 10-Q, it is impossible to determine the scope of this pandemic, or any future outbreaks of infectious diseases, how long any such outbreak, market disruption or uncertainties may last, the effect any governmental actions will have or the full potential impact on the Company and our portfolio companies. Any potential impact to our results of operations will depend to a large extent on future developments and new information that could emerge regarding the duration and severity of COVID-19 and the actions taken by authorities and other entities to contain COVID-19 or treat its impact, all of which are beyond our control. These potential impacts, while uncertain, could adversely affect our and our portfolio companies’ operating results.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5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In March 2020, the Financial Accounting Standards Board issued Accounting Standards Update 2020-04, Reference Rate Reform (Topic 848) – Facilitation of the Effects of Reference Rate Reform on Financial Reporting (“ASU 2020-04”). The guidance provides optional expedients and exceptions for applying GAAP to contracts, hedging relationships, and other transactions, subject to meeting certain criteria, that reference London Interbank Offered Rate (“LIBOR”) or another reference rate expected to be discontinued because of reference rate reform. ASU 2020-04 is effective for all entities as of March 12, 2020 through December 31, 2022. Management continues to assess the impact that the adoption of this guidance will have on the Company’s financial position, results of operations and cash flows.</w:t>
      </w:r>
    </w:p>
    <w:p>
      <w:pPr>
        <w:spacing w:after="0" w:line="20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In August 2020, the FASB issued ASU 2020-06, Accounting for Convertible Instruments and Contracts in an Entity’s Own Equity. The FASB issued the amendments to reduce the number of accounting models used for convertible debt instruments and convertible preferred stock, simplify the derivative scope exception for contracts in an entity’s own equity, and to improve guidance related to earnings per share disclosures. The standard is effective for fiscal years beginning after December 15, 2021. Early adoption is permitted, but no earlier than fiscal years beginning after December 15, 2020. Management is currently evaluating the impact of adoption of ASU 2020-06.</w:t>
      </w:r>
    </w:p>
    <w:p>
      <w:pPr>
        <w:spacing w:after="0" w:line="24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 and Fair Value Measurements</w:t>
      </w:r>
    </w:p>
    <w:p>
      <w:pPr>
        <w:spacing w:after="0" w:line="25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in first lien loans, and, to a lesser extent, second lien loans and equity securities issued by lower middle-market and traditional middle-market companies. As of September 30, 2021, our portfolio consisted of investments in 33 portfolio companies with a fair value of approximately $195.4 million.</w:t>
      </w:r>
    </w:p>
    <w:p>
      <w:pPr>
        <w:spacing w:after="0" w:line="18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2021, 11.2%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9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9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During the three months ended September 30, 2021, we made approximately $33.3 million of investments and had approximately $64.1 million in repayments and sales, resulting in net repayments and sales of approximately $30.8 million for the period. During the three months ended September 30, 2020, the Company made approximately $0.3 million of investments and had approximately $10.3 million in repayments and sales, resulting in net repayments and sales of approximately $10.0 million for the period.</w:t>
      </w:r>
    </w:p>
    <w:p>
      <w:pPr>
        <w:spacing w:after="0" w:line="19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During the nine months ended September 30, 2021, we made approximately $43.3 million of investments and had approximately $127.5 million in repayments and sales, resulting in net repayments and sales of approximately $84.2 million for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both"/>
        <w:spacing w:after="0" w:line="293" w:lineRule="auto"/>
        <w:rPr>
          <w:sz w:val="20"/>
          <w:szCs w:val="20"/>
          <w:color w:val="auto"/>
        </w:rPr>
      </w:pPr>
      <w:r>
        <w:rPr>
          <w:rFonts w:ascii="Arial" w:cs="Arial" w:eastAsia="Arial" w:hAnsi="Arial"/>
          <w:sz w:val="18"/>
          <w:szCs w:val="18"/>
          <w:color w:val="auto"/>
        </w:rPr>
        <w:t>period. During the nine months ended September 30, 2020, the Company made approximately $21.1 million of investments and had approximately $69.2 million in repayments and sales, resulting in net repayments and sales of approximately $48.1 million for the period.</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of September 30, 2021, the Company’s Board approved the fair value of the Company’s investment portfolio of approximately $195.4 million in good faith in accordance with the Company’s valuation procedures. The Company’s Board approved the fair value of the Company’s investment portfolio as of September 30, 2021 with input from a third-party valuation firm and the Investment Advisor based on information known or knowable as of the valuation date, including trailing and forward looking data. The COVID-19 pandemic is an unprecedented circumstance that materially impacts the fair value of the Company’s investments. As a result, the fair value of the Company’s portfolio investments may be further negatively impacted after September 30, 2021 by circumstances and events that are not yet known.</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COVID-19 pandemic may also impact the Company’s portfolio companies’ ability to pay their respective contractual obligations, including principal and interest due to the Company, and some portfolio companies may require interest or principal deferrals in order to fulfill short-term liquidity needs in response to the COVID-19 pandemic. As deemed necessary, the Company is working with each of its portfolio companies to help them access short-term liquidity through interest deferrals, funding on unused lines of credit, and other sources of liquidity.</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composition of our investments as of September 30, 2021, at amortized cost and fair value was as follows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Investments</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29"/>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at</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Investments</w:t>
            </w: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Percentage of</w:t>
            </w:r>
          </w:p>
        </w:tc>
      </w:tr>
      <w:tr>
        <w:trPr>
          <w:trHeight w:val="230"/>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at</w:t>
            </w: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40" w:type="dxa"/>
            <w:vAlign w:val="bottom"/>
          </w:tcPr>
          <w:p>
            <w:pPr>
              <w:spacing w:after="0"/>
              <w:rPr>
                <w:sz w:val="20"/>
                <w:szCs w:val="20"/>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126,463</w:t>
            </w:r>
          </w:p>
        </w:tc>
        <w:tc>
          <w:tcPr>
            <w:tcW w:w="22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65.1 %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113,854</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58.3 %</w:t>
            </w: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21,055</w:t>
            </w:r>
          </w:p>
        </w:tc>
        <w:tc>
          <w:tcPr>
            <w:tcW w:w="2260" w:type="dxa"/>
            <w:vAlign w:val="bottom"/>
            <w:gridSpan w:val="3"/>
          </w:tcPr>
          <w:p>
            <w:pPr>
              <w:jc w:val="right"/>
              <w:ind w:right="280"/>
              <w:spacing w:after="0"/>
              <w:rPr>
                <w:sz w:val="20"/>
                <w:szCs w:val="20"/>
                <w:color w:val="auto"/>
              </w:rPr>
            </w:pPr>
            <w:r>
              <w:rPr>
                <w:rFonts w:ascii="Arial" w:cs="Arial" w:eastAsia="Arial" w:hAnsi="Arial"/>
                <w:sz w:val="18"/>
                <w:szCs w:val="18"/>
                <w:color w:val="auto"/>
              </w:rPr>
              <w:t>10.8 %</w:t>
            </w: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21,165</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10.8 %</w:t>
            </w:r>
          </w:p>
        </w:tc>
      </w:tr>
      <w:tr>
        <w:trPr>
          <w:trHeight w:val="256"/>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46,788</w:t>
            </w:r>
          </w:p>
        </w:tc>
        <w:tc>
          <w:tcPr>
            <w:tcW w:w="300" w:type="dxa"/>
            <w:vAlign w:val="bottom"/>
            <w:shd w:val="clear" w:color="auto" w:fill="CFF0FC"/>
          </w:tcPr>
          <w:p>
            <w:pPr>
              <w:spacing w:after="0"/>
              <w:rPr>
                <w:sz w:val="22"/>
                <w:szCs w:val="22"/>
                <w:color w:val="auto"/>
              </w:rPr>
            </w:pPr>
          </w:p>
        </w:tc>
        <w:tc>
          <w:tcPr>
            <w:tcW w:w="19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24.1 %</w:t>
            </w:r>
          </w:p>
        </w:tc>
        <w:tc>
          <w:tcPr>
            <w:tcW w:w="22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60,366</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30.9 %</w:t>
            </w:r>
          </w:p>
        </w:tc>
      </w:tr>
      <w:tr>
        <w:trPr>
          <w:trHeight w:val="20"/>
        </w:trPr>
        <w:tc>
          <w:tcPr>
            <w:tcW w:w="3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194,306</w:t>
            </w:r>
          </w:p>
        </w:tc>
        <w:tc>
          <w:tcPr>
            <w:tcW w:w="300" w:type="dxa"/>
            <w:vAlign w:val="bottom"/>
          </w:tcPr>
          <w:p>
            <w:pPr>
              <w:spacing w:after="0"/>
              <w:rPr>
                <w:sz w:val="21"/>
                <w:szCs w:val="21"/>
                <w:color w:val="auto"/>
              </w:rPr>
            </w:pPr>
          </w:p>
        </w:tc>
        <w:tc>
          <w:tcPr>
            <w:tcW w:w="1960" w:type="dxa"/>
            <w:vAlign w:val="bottom"/>
            <w:gridSpan w:val="2"/>
          </w:tcPr>
          <w:p>
            <w:pPr>
              <w:jc w:val="right"/>
              <w:ind w:right="280"/>
              <w:spacing w:after="0"/>
              <w:rPr>
                <w:sz w:val="20"/>
                <w:szCs w:val="20"/>
                <w:color w:val="auto"/>
              </w:rPr>
            </w:pPr>
            <w:r>
              <w:rPr>
                <w:rFonts w:ascii="Arial" w:cs="Arial" w:eastAsia="Arial" w:hAnsi="Arial"/>
                <w:sz w:val="18"/>
                <w:szCs w:val="18"/>
                <w:color w:val="auto"/>
              </w:rPr>
              <w:t>100.0 %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195,385</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-193675</wp:posOffset>
            </wp:positionV>
            <wp:extent cx="188595"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-193675</wp:posOffset>
            </wp:positionV>
            <wp:extent cx="27432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7145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composition of our investments as of December 31, 2020, at amortized cost and fair value was as follows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Investments</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Amortized</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Fair Value</w:t>
            </w:r>
          </w:p>
        </w:tc>
      </w:tr>
      <w:tr>
        <w:trPr>
          <w:trHeight w:val="230"/>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at</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22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Investments</w:t>
            </w: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Percentage of</w:t>
            </w:r>
          </w:p>
        </w:tc>
      </w:tr>
      <w:tr>
        <w:trPr>
          <w:trHeight w:val="230"/>
        </w:trPr>
        <w:tc>
          <w:tcPr>
            <w:tcW w:w="3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Amortized</w:t>
            </w:r>
          </w:p>
        </w:tc>
        <w:tc>
          <w:tcPr>
            <w:tcW w:w="300" w:type="dxa"/>
            <w:vAlign w:val="bottom"/>
          </w:tcPr>
          <w:p>
            <w:pPr>
              <w:spacing w:after="0"/>
              <w:rPr>
                <w:sz w:val="19"/>
                <w:szCs w:val="19"/>
                <w:color w:val="auto"/>
              </w:rPr>
            </w:pPr>
          </w:p>
        </w:tc>
        <w:tc>
          <w:tcPr>
            <w:tcW w:w="19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9"/>
                <w:szCs w:val="19"/>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at</w:t>
            </w:r>
          </w:p>
        </w:tc>
        <w:tc>
          <w:tcPr>
            <w:tcW w:w="260" w:type="dxa"/>
            <w:vAlign w:val="bottom"/>
          </w:tcPr>
          <w:p>
            <w:pPr>
              <w:spacing w:after="0"/>
              <w:rPr>
                <w:sz w:val="19"/>
                <w:szCs w:val="19"/>
                <w:color w:val="auto"/>
              </w:rPr>
            </w:pPr>
          </w:p>
        </w:tc>
        <w:tc>
          <w:tcPr>
            <w:tcW w:w="17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1"/>
        </w:trPr>
        <w:tc>
          <w:tcPr>
            <w:tcW w:w="3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Cost</w:t>
            </w:r>
          </w:p>
        </w:tc>
        <w:tc>
          <w:tcPr>
            <w:tcW w:w="30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Total Portfolio</w:t>
            </w: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2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240" w:type="dxa"/>
            <w:vAlign w:val="bottom"/>
          </w:tcPr>
          <w:p>
            <w:pPr>
              <w:spacing w:after="0"/>
              <w:rPr>
                <w:sz w:val="20"/>
                <w:szCs w:val="20"/>
                <w:color w:val="auto"/>
              </w:rPr>
            </w:pPr>
          </w:p>
        </w:tc>
      </w:tr>
      <w:tr>
        <w:trPr>
          <w:trHeight w:val="257"/>
        </w:trPr>
        <w:tc>
          <w:tcPr>
            <w:tcW w:w="3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185,108</w:t>
            </w:r>
          </w:p>
        </w:tc>
        <w:tc>
          <w:tcPr>
            <w:tcW w:w="226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66.7 %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167,418</w:t>
            </w:r>
          </w:p>
        </w:tc>
        <w:tc>
          <w:tcPr>
            <w:tcW w:w="20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60.9 %</w:t>
            </w: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39,026</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39,209</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r>
      <w:tr>
        <w:trPr>
          <w:trHeight w:val="257"/>
        </w:trPr>
        <w:tc>
          <w:tcPr>
            <w:tcW w:w="3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24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30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68,065</w:t>
            </w:r>
          </w:p>
        </w:tc>
        <w:tc>
          <w:tcPr>
            <w:tcW w:w="26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36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277,652</w:t>
            </w:r>
          </w:p>
        </w:tc>
        <w:tc>
          <w:tcPr>
            <w:tcW w:w="2260" w:type="dxa"/>
            <w:vAlign w:val="bottom"/>
            <w:gridSpan w:val="3"/>
          </w:tcPr>
          <w:p>
            <w:pPr>
              <w:jc w:val="right"/>
              <w:ind w:right="280"/>
              <w:spacing w:after="0"/>
              <w:rPr>
                <w:sz w:val="20"/>
                <w:szCs w:val="20"/>
                <w:color w:val="auto"/>
              </w:rPr>
            </w:pPr>
            <w:r>
              <w:rPr>
                <w:rFonts w:ascii="Arial" w:cs="Arial" w:eastAsia="Arial" w:hAnsi="Arial"/>
                <w:sz w:val="18"/>
                <w:szCs w:val="18"/>
                <w:color w:val="auto"/>
              </w:rPr>
              <w:t>100.0 %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274,692</w:t>
            </w:r>
          </w:p>
        </w:tc>
        <w:tc>
          <w:tcPr>
            <w:tcW w:w="202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r>
      <w:tr>
        <w:trPr>
          <w:trHeight w:val="20"/>
        </w:trPr>
        <w:tc>
          <w:tcPr>
            <w:tcW w:w="3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-193675</wp:posOffset>
            </wp:positionV>
            <wp:extent cx="188595"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-193675</wp:posOffset>
            </wp:positionV>
            <wp:extent cx="27432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7432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7145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0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96"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210" w:lineRule="exact"/>
        <w:rPr>
          <w:sz w:val="20"/>
          <w:szCs w:val="20"/>
          <w:color w:val="auto"/>
        </w:rPr>
      </w:pPr>
    </w:p>
    <w:p>
      <w:pPr>
        <w:jc w:val="center"/>
        <w:ind w:left="5540" w:right="420" w:hanging="5087"/>
        <w:spacing w:after="0" w:line="825" w:lineRule="auto"/>
        <w:tabs>
          <w:tab w:leader="none" w:pos="8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1 — Valuations based on quoted prices in active markets for identical assets or liabilities that the Company has the ability to access.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-263525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ind w:left="880" w:hanging="42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2 — Valuations based on inputs other than quoted prices in active markets, which are either directly or indirectly observable.</w:t>
      </w:r>
    </w:p>
    <w:p>
      <w:pPr>
        <w:spacing w:after="0" w:line="279" w:lineRule="exact"/>
        <w:rPr>
          <w:rFonts w:ascii="Arial" w:cs="Arial" w:eastAsia="Arial" w:hAnsi="Arial"/>
          <w:sz w:val="18"/>
          <w:szCs w:val="18"/>
          <w:color w:val="auto"/>
        </w:rPr>
      </w:pPr>
    </w:p>
    <w:p>
      <w:pPr>
        <w:ind w:left="880" w:hanging="427"/>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66" w:lineRule="exact"/>
        <w:rPr>
          <w:sz w:val="20"/>
          <w:szCs w:val="20"/>
          <w:color w:val="auto"/>
        </w:rPr>
      </w:pPr>
    </w:p>
    <w:p>
      <w:pPr>
        <w:jc w:val="both"/>
        <w:ind w:right="20" w:firstLine="749"/>
        <w:spacing w:after="0" w:line="359" w:lineRule="auto"/>
        <w:rPr>
          <w:sz w:val="20"/>
          <w:szCs w:val="20"/>
          <w:color w:val="auto"/>
        </w:rPr>
      </w:pPr>
      <w:r>
        <w:rPr>
          <w:rFonts w:ascii="Arial" w:cs="Arial" w:eastAsia="Arial" w:hAnsi="Arial"/>
          <w:sz w:val="16"/>
          <w:szCs w:val="16"/>
          <w:color w:val="auto"/>
        </w:rPr>
        <w:t>The Company employs the valuation policy approved by the Board that is consistent with ASC 820 (see Note 2). Consistent with the Company’s valuation policy, the Company evaluates the source of inputs, including any markets in which its investments are trading, in determining fair value.</w:t>
      </w:r>
    </w:p>
    <w:p>
      <w:pPr>
        <w:spacing w:after="0" w:line="138"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In estimating fair value of portfolio investments, the Company starts with the cost basis of the investment, which includes amortized original issue discount and PIK income, if any. The transaction price is typically the best estimate of fair value at inception. When evidence supports a subsequent change to the carrying value from the original transaction price, adjustments are made to reflect the expected fair values.</w:t>
      </w:r>
    </w:p>
    <w:p>
      <w:pPr>
        <w:spacing w:after="0" w:line="21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following table presents the fair value measurements of investments, by major class, as of September 30, 2021, according to the fair value hierarchy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1"/>
                <w:szCs w:val="21"/>
                <w:color w:val="auto"/>
              </w:rPr>
            </w:pPr>
          </w:p>
        </w:tc>
      </w:tr>
      <w:tr>
        <w:trPr>
          <w:trHeight w:val="25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113,854</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113,854</w:t>
            </w:r>
          </w:p>
        </w:tc>
        <w:tc>
          <w:tcPr>
            <w:tcW w:w="80" w:type="dxa"/>
            <w:vAlign w:val="bottom"/>
            <w:shd w:val="clear" w:color="auto" w:fill="CFF0FC"/>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9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21,165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21,165</w:t>
            </w:r>
          </w:p>
        </w:tc>
        <w:tc>
          <w:tcPr>
            <w:tcW w:w="80" w:type="dxa"/>
            <w:vAlign w:val="bottom"/>
          </w:tcPr>
          <w:p>
            <w:pPr>
              <w:spacing w:after="0"/>
              <w:rPr>
                <w:sz w:val="21"/>
                <w:szCs w:val="21"/>
                <w:color w:val="auto"/>
              </w:rPr>
            </w:pPr>
          </w:p>
        </w:tc>
      </w:tr>
      <w:tr>
        <w:trPr>
          <w:trHeight w:val="25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90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872</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59,494</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60,366</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872</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194,513</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195,385</w:t>
            </w:r>
          </w:p>
        </w:tc>
        <w:tc>
          <w:tcPr>
            <w:tcW w:w="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54305"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The following table presents fair value measurements of investments, by major class, as of December 31, 2020, according to the fair value hierarchy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b w:val="1"/>
                <w:bCs w:val="1"/>
                <w:color w:val="auto"/>
              </w:rPr>
              <w:t>Fair Value Measurements</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50"/>
        </w:trPr>
        <w:tc>
          <w:tcPr>
            <w:tcW w:w="57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1</w:t>
            </w:r>
          </w:p>
        </w:tc>
        <w:tc>
          <w:tcPr>
            <w:tcW w:w="30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3</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1"/>
                <w:szCs w:val="21"/>
                <w:color w:val="auto"/>
              </w:rPr>
            </w:pPr>
          </w:p>
        </w:tc>
      </w:tr>
      <w:tr>
        <w:trPr>
          <w:trHeight w:val="257"/>
        </w:trPr>
        <w:tc>
          <w:tcPr>
            <w:tcW w:w="5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167,418</w:t>
            </w: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167,418</w:t>
            </w:r>
          </w:p>
        </w:tc>
        <w:tc>
          <w:tcPr>
            <w:tcW w:w="80" w:type="dxa"/>
            <w:vAlign w:val="bottom"/>
            <w:shd w:val="clear" w:color="auto" w:fill="CFF0FC"/>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90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39,209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39,209</w:t>
            </w:r>
          </w:p>
        </w:tc>
        <w:tc>
          <w:tcPr>
            <w:tcW w:w="80" w:type="dxa"/>
            <w:vAlign w:val="bottom"/>
          </w:tcPr>
          <w:p>
            <w:pPr>
              <w:spacing w:after="0"/>
              <w:rPr>
                <w:sz w:val="21"/>
                <w:szCs w:val="21"/>
                <w:color w:val="auto"/>
              </w:rPr>
            </w:pPr>
          </w:p>
        </w:tc>
      </w:tr>
      <w:tr>
        <w:trPr>
          <w:trHeight w:val="257"/>
        </w:trPr>
        <w:tc>
          <w:tcPr>
            <w:tcW w:w="5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90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493</w:t>
            </w:r>
          </w:p>
        </w:tc>
        <w:tc>
          <w:tcPr>
            <w:tcW w:w="24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67,572</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68,065</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76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86"/>
              </w:rPr>
              <w:t>493</w:t>
            </w:r>
          </w:p>
        </w:tc>
        <w:tc>
          <w:tcPr>
            <w:tcW w:w="11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274,199</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274,692</w:t>
            </w:r>
          </w:p>
        </w:tc>
        <w:tc>
          <w:tcPr>
            <w:tcW w:w="80" w:type="dxa"/>
            <w:vAlign w:val="bottom"/>
          </w:tcPr>
          <w:p>
            <w:pPr>
              <w:spacing w:after="0"/>
              <w:rPr>
                <w:sz w:val="21"/>
                <w:szCs w:val="21"/>
                <w:color w:val="auto"/>
              </w:rPr>
            </w:pPr>
          </w:p>
        </w:tc>
      </w:tr>
      <w:tr>
        <w:trPr>
          <w:trHeight w:val="20"/>
        </w:trPr>
        <w:tc>
          <w:tcPr>
            <w:tcW w:w="5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-193675</wp:posOffset>
            </wp:positionV>
            <wp:extent cx="154305"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-193675</wp:posOffset>
            </wp:positionV>
            <wp:extent cx="13716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wp:posOffset>
            </wp:positionV>
            <wp:extent cx="13716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2021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First Lien</w:t>
            </w: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5"/>
              </w:rPr>
              <w:t>Second Lien</w:t>
            </w: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Debt</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Warrants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2020</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167,418</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39,209</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67,572</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274,199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Repayments/sales</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(87,377 )</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(20,066 )</w:t>
            </w:r>
          </w:p>
        </w:tc>
        <w:tc>
          <w:tcPr>
            <w:tcW w:w="1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(20,076 )</w:t>
            </w: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(127,519 )</w:t>
            </w:r>
          </w:p>
        </w:tc>
        <w:tc>
          <w:tcPr>
            <w:tcW w:w="0" w:type="dxa"/>
            <w:vAlign w:val="bottom"/>
          </w:tcPr>
          <w:p>
            <w:pPr>
              <w:spacing w:after="0"/>
              <w:rPr>
                <w:sz w:val="1"/>
                <w:szCs w:val="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Purchases</w:t>
            </w:r>
          </w:p>
        </w:tc>
        <w:tc>
          <w:tcPr>
            <w:tcW w:w="8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41,295</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43,275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Payment-in-kind interest and dividends accrued</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259</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Accretion of original issue discount</w:t>
            </w:r>
          </w:p>
        </w:tc>
        <w:tc>
          <w:tcPr>
            <w:tcW w:w="8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Net realized (loss) gain on investments</w:t>
            </w: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(12,880 )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13,210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unrealized appreciation (depreciation) on investments</w:t>
            </w:r>
          </w:p>
        </w:tc>
        <w:tc>
          <w:tcPr>
            <w:tcW w:w="8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(74 )</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(1,346 )</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8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as of September 30, 2021</w:t>
            </w:r>
          </w:p>
        </w:tc>
        <w:tc>
          <w:tcPr>
            <w:tcW w:w="88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113,854</w:t>
            </w:r>
          </w:p>
        </w:tc>
        <w:tc>
          <w:tcPr>
            <w:tcW w:w="24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21,165</w:t>
            </w:r>
          </w:p>
        </w:tc>
        <w:tc>
          <w:tcPr>
            <w:tcW w:w="24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59,494</w:t>
            </w:r>
          </w:p>
        </w:tc>
        <w:tc>
          <w:tcPr>
            <w:tcW w:w="22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194,513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60" w:type="dxa"/>
            <w:vAlign w:val="bottom"/>
          </w:tcPr>
          <w:p>
            <w:pPr>
              <w:spacing w:after="0"/>
              <w:rPr>
                <w:sz w:val="24"/>
                <w:szCs w:val="24"/>
                <w:color w:val="auto"/>
              </w:rPr>
            </w:pPr>
          </w:p>
        </w:tc>
        <w:tc>
          <w:tcPr>
            <w:tcW w:w="8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-708025</wp:posOffset>
            </wp:positionV>
            <wp:extent cx="15430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-708025</wp:posOffset>
            </wp:positionV>
            <wp:extent cx="154305"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-708025</wp:posOffset>
            </wp:positionV>
            <wp:extent cx="13716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-708025</wp:posOffset>
            </wp:positionV>
            <wp:extent cx="5969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11" w:right="339" w:bottom="1440" w:gutter="0" w:footer="0" w:header="0"/>
        </w:sectPr>
      </w:pPr>
    </w:p>
    <w:bookmarkStart w:id="27" w:name="page28"/>
    <w:bookmarkEnd w:id="27"/>
    <w:p>
      <w:pPr>
        <w:ind w:firstLine="749"/>
        <w:spacing w:after="0" w:line="293"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nine months ended September 30,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Equity</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8"/>
              </w:rPr>
              <w:t>First Lien</w:t>
            </w:r>
          </w:p>
        </w:tc>
        <w:tc>
          <w:tcPr>
            <w:tcW w:w="120" w:type="dxa"/>
            <w:vAlign w:val="bottom"/>
          </w:tcPr>
          <w:p>
            <w:pPr>
              <w:spacing w:after="0"/>
              <w:rPr>
                <w:sz w:val="19"/>
                <w:szCs w:val="19"/>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5"/>
              </w:rPr>
              <w:t>Second Lien</w:t>
            </w:r>
          </w:p>
        </w:tc>
        <w:tc>
          <w:tcPr>
            <w:tcW w:w="160" w:type="dxa"/>
            <w:vAlign w:val="bottom"/>
          </w:tcPr>
          <w:p>
            <w:pPr>
              <w:spacing w:after="0"/>
              <w:rPr>
                <w:sz w:val="19"/>
                <w:szCs w:val="19"/>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1"/>
        </w:trPr>
        <w:tc>
          <w:tcPr>
            <w:tcW w:w="5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Debt</w:t>
            </w:r>
          </w:p>
        </w:tc>
        <w:tc>
          <w:tcPr>
            <w:tcW w:w="120" w:type="dxa"/>
            <w:vAlign w:val="bottom"/>
          </w:tcPr>
          <w:p>
            <w:pPr>
              <w:spacing w:after="0"/>
              <w:rPr>
                <w:sz w:val="20"/>
                <w:szCs w:val="20"/>
                <w:color w:val="auto"/>
              </w:rPr>
            </w:pPr>
          </w:p>
        </w:tc>
        <w:tc>
          <w:tcPr>
            <w:tcW w:w="13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Debt</w:t>
            </w:r>
          </w:p>
        </w:tc>
        <w:tc>
          <w:tcPr>
            <w:tcW w:w="16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Warrants</w:t>
            </w:r>
          </w:p>
        </w:tc>
        <w:tc>
          <w:tcPr>
            <w:tcW w:w="24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57"/>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231,203</w:t>
            </w: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53,857</w:t>
            </w:r>
          </w:p>
        </w:tc>
        <w:tc>
          <w:tcPr>
            <w:tcW w:w="24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61,568</w:t>
            </w:r>
          </w:p>
        </w:tc>
        <w:tc>
          <w:tcPr>
            <w:tcW w:w="220" w:type="dxa"/>
            <w:vAlign w:val="bottom"/>
            <w:shd w:val="clear" w:color="auto" w:fill="CFF0FC"/>
          </w:tcPr>
          <w:p>
            <w:pPr>
              <w:spacing w:after="0"/>
              <w:rPr>
                <w:sz w:val="22"/>
                <w:szCs w:val="22"/>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346,628</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Reclassifications</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(7,427 )</w:t>
            </w: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Repayments/sales</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(41,292 )</w:t>
            </w:r>
          </w:p>
        </w:tc>
        <w:tc>
          <w:tcPr>
            <w:tcW w:w="1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(12,384 )</w:t>
            </w: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(2,365 )</w:t>
            </w: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(56,041 )</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Purchases</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19,480</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21,070</w:t>
            </w: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Payment-in-kind interest and dividends accrued</w:t>
            </w:r>
          </w:p>
        </w:tc>
        <w:tc>
          <w:tcPr>
            <w:tcW w:w="14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1,224</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100" w:type="dxa"/>
            <w:vAlign w:val="bottom"/>
            <w:shd w:val="clear" w:color="auto" w:fill="CFF0FC"/>
          </w:tcPr>
          <w:p>
            <w:pPr>
              <w:spacing w:after="0"/>
              <w:rPr>
                <w:sz w:val="22"/>
                <w:szCs w:val="22"/>
                <w:color w:val="auto"/>
              </w:rPr>
            </w:pP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Accretion of original issue discount</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r>
      <w:tr>
        <w:trPr>
          <w:trHeight w:val="263"/>
        </w:trPr>
        <w:tc>
          <w:tcPr>
            <w:tcW w:w="5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realized (loss) gain on investments</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(15,382 )</w:t>
            </w:r>
          </w:p>
        </w:tc>
        <w:tc>
          <w:tcPr>
            <w:tcW w:w="1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(4,933 )</w:t>
            </w:r>
          </w:p>
        </w:tc>
        <w:tc>
          <w:tcPr>
            <w:tcW w:w="1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(17,950 )</w:t>
            </w:r>
          </w:p>
        </w:tc>
      </w:tr>
      <w:tr>
        <w:trPr>
          <w:trHeight w:val="250"/>
        </w:trPr>
        <w:tc>
          <w:tcPr>
            <w:tcW w:w="5740" w:type="dxa"/>
            <w:vAlign w:val="bottom"/>
          </w:tcPr>
          <w:p>
            <w:pPr>
              <w:ind w:left="20"/>
              <w:spacing w:after="0"/>
              <w:rPr>
                <w:sz w:val="20"/>
                <w:szCs w:val="20"/>
                <w:color w:val="auto"/>
              </w:rPr>
            </w:pPr>
            <w:r>
              <w:rPr>
                <w:rFonts w:ascii="Arial" w:cs="Arial" w:eastAsia="Arial" w:hAnsi="Arial"/>
                <w:sz w:val="18"/>
                <w:szCs w:val="18"/>
                <w:color w:val="auto"/>
              </w:rPr>
              <w:t>Net unrealized (depreciation) appreciation on investments</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(1,068 )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(15,259 )</w:t>
            </w:r>
          </w:p>
        </w:tc>
        <w:tc>
          <w:tcPr>
            <w:tcW w:w="240" w:type="dxa"/>
            <w:vAlign w:val="bottom"/>
          </w:tcPr>
          <w:p>
            <w:pPr>
              <w:spacing w:after="0"/>
              <w:rPr>
                <w:sz w:val="21"/>
                <w:szCs w:val="21"/>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(15,847 )</w:t>
            </w:r>
          </w:p>
        </w:tc>
      </w:tr>
      <w:tr>
        <w:trPr>
          <w:trHeight w:val="290"/>
        </w:trPr>
        <w:tc>
          <w:tcPr>
            <w:tcW w:w="5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as of September 30, 2020</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186,981</w:t>
            </w: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37,487</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55,456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279,924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-25400</wp:posOffset>
            </wp:positionV>
            <wp:extent cx="15430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15430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15430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15430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13716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137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both"/>
        <w:ind w:firstLine="749"/>
        <w:spacing w:after="0" w:line="359" w:lineRule="auto"/>
        <w:rPr>
          <w:sz w:val="20"/>
          <w:szCs w:val="20"/>
          <w:color w:val="auto"/>
        </w:rPr>
      </w:pPr>
      <w:r>
        <w:rPr>
          <w:rFonts w:ascii="Arial" w:cs="Arial" w:eastAsia="Arial" w:hAnsi="Arial"/>
          <w:sz w:val="16"/>
          <w:szCs w:val="16"/>
          <w:color w:val="auto"/>
        </w:rPr>
        <w:t>The net change in unrealized depreciation on investments held was $4.0 million and $20.1 million for the nine months ended September 30, 2021 and 2020, respectively, and is included in net unrealized appreciation (depreciation) on investments on the consolidated statements of operations.</w:t>
      </w:r>
    </w:p>
    <w:p>
      <w:pPr>
        <w:spacing w:after="0" w:line="138"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September 30, 2021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8"/>
                <w:szCs w:val="18"/>
                <w:color w:val="auto"/>
              </w:rPr>
            </w:pPr>
          </w:p>
        </w:tc>
        <w:tc>
          <w:tcPr>
            <w:tcW w:w="2340" w:type="dxa"/>
            <w:vAlign w:val="bottom"/>
          </w:tcPr>
          <w:p>
            <w:pPr>
              <w:ind w:left="760"/>
              <w:spacing w:after="0"/>
              <w:rPr>
                <w:sz w:val="20"/>
                <w:szCs w:val="20"/>
                <w:color w:val="auto"/>
              </w:rPr>
            </w:pPr>
            <w:r>
              <w:rPr>
                <w:rFonts w:ascii="Arial" w:cs="Arial" w:eastAsia="Arial" w:hAnsi="Arial"/>
                <w:sz w:val="18"/>
                <w:szCs w:val="18"/>
                <w:b w:val="1"/>
                <w:bCs w:val="1"/>
                <w:color w:val="auto"/>
              </w:rPr>
              <w:t>Valuation</w:t>
            </w:r>
          </w:p>
        </w:tc>
        <w:tc>
          <w:tcPr>
            <w:tcW w:w="180" w:type="dxa"/>
            <w:vAlign w:val="bottom"/>
          </w:tcPr>
          <w:p>
            <w:pPr>
              <w:spacing w:after="0"/>
              <w:rPr>
                <w:sz w:val="18"/>
                <w:szCs w:val="18"/>
                <w:color w:val="auto"/>
              </w:rPr>
            </w:pPr>
          </w:p>
        </w:tc>
        <w:tc>
          <w:tcPr>
            <w:tcW w:w="2200" w:type="dxa"/>
            <w:vAlign w:val="bottom"/>
          </w:tcPr>
          <w:p>
            <w:pPr>
              <w:ind w:left="580"/>
              <w:spacing w:after="0"/>
              <w:rPr>
                <w:sz w:val="20"/>
                <w:szCs w:val="20"/>
                <w:color w:val="auto"/>
              </w:rPr>
            </w:pPr>
            <w:r>
              <w:rPr>
                <w:rFonts w:ascii="Arial" w:cs="Arial" w:eastAsia="Arial" w:hAnsi="Arial"/>
                <w:sz w:val="18"/>
                <w:szCs w:val="18"/>
                <w:b w:val="1"/>
                <w:bCs w:val="1"/>
                <w:color w:val="auto"/>
              </w:rPr>
              <w:t>Unobservable</w:t>
            </w:r>
          </w:p>
        </w:tc>
        <w:tc>
          <w:tcPr>
            <w:tcW w:w="20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1"/>
              </w:rPr>
              <w:t>Range (Weighted</w:t>
            </w:r>
          </w:p>
        </w:tc>
      </w:tr>
      <w:tr>
        <w:trPr>
          <w:trHeight w:val="270"/>
        </w:trPr>
        <w:tc>
          <w:tcPr>
            <w:tcW w:w="25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23"/>
                <w:szCs w:val="23"/>
                <w:color w:val="auto"/>
              </w:rPr>
            </w:pPr>
          </w:p>
        </w:tc>
        <w:tc>
          <w:tcPr>
            <w:tcW w:w="23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Approach</w:t>
            </w:r>
          </w:p>
        </w:tc>
        <w:tc>
          <w:tcPr>
            <w:tcW w:w="180" w:type="dxa"/>
            <w:vAlign w:val="bottom"/>
          </w:tcPr>
          <w:p>
            <w:pPr>
              <w:spacing w:after="0"/>
              <w:rPr>
                <w:sz w:val="23"/>
                <w:szCs w:val="23"/>
                <w:color w:val="auto"/>
              </w:rPr>
            </w:pPr>
          </w:p>
        </w:tc>
        <w:tc>
          <w:tcPr>
            <w:tcW w:w="22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Input</w:t>
            </w:r>
          </w:p>
        </w:tc>
        <w:tc>
          <w:tcPr>
            <w:tcW w:w="200" w:type="dxa"/>
            <w:vAlign w:val="bottom"/>
          </w:tcPr>
          <w:p>
            <w:pPr>
              <w:spacing w:after="0"/>
              <w:rPr>
                <w:sz w:val="23"/>
                <w:szCs w:val="23"/>
                <w:color w:val="auto"/>
              </w:rPr>
            </w:pPr>
          </w:p>
        </w:tc>
        <w:tc>
          <w:tcPr>
            <w:tcW w:w="198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4"/>
                <w:szCs w:val="24"/>
                <w:b w:val="1"/>
                <w:bCs w:val="1"/>
                <w:color w:val="auto"/>
                <w:w w:val="84"/>
                <w:vertAlign w:val="superscript"/>
              </w:rPr>
              <w:t>(2)</w:t>
            </w:r>
          </w:p>
        </w:tc>
      </w:tr>
      <w:tr>
        <w:trPr>
          <w:trHeight w:val="250"/>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104.6</w:t>
            </w:r>
          </w:p>
        </w:tc>
        <w:tc>
          <w:tcPr>
            <w:tcW w:w="280" w:type="dxa"/>
            <w:vAlign w:val="bottom"/>
            <w:shd w:val="clear" w:color="auto" w:fill="CFF0FC"/>
          </w:tcPr>
          <w:p>
            <w:pPr>
              <w:spacing w:after="0"/>
              <w:rPr>
                <w:sz w:val="21"/>
                <w:szCs w:val="21"/>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FF0FC"/>
          </w:tcPr>
          <w:p>
            <w:pPr>
              <w:spacing w:after="0"/>
              <w:rPr>
                <w:sz w:val="21"/>
                <w:szCs w:val="21"/>
                <w:color w:val="auto"/>
              </w:rPr>
            </w:pPr>
          </w:p>
        </w:tc>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Required Rate of Return</w:t>
            </w:r>
          </w:p>
        </w:tc>
        <w:tc>
          <w:tcPr>
            <w:tcW w:w="200" w:type="dxa"/>
            <w:vAlign w:val="bottom"/>
            <w:shd w:val="clear" w:color="auto" w:fill="CFF0FC"/>
          </w:tcPr>
          <w:p>
            <w:pPr>
              <w:spacing w:after="0"/>
              <w:rPr>
                <w:sz w:val="21"/>
                <w:szCs w:val="21"/>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2.6% – 13.2% (10.0%)</w:t>
            </w:r>
          </w:p>
        </w:tc>
      </w:tr>
      <w:tr>
        <w:trPr>
          <w:trHeight w:val="220"/>
        </w:trPr>
        <w:tc>
          <w:tcPr>
            <w:tcW w:w="2560" w:type="dxa"/>
            <w:vAlign w:val="bottom"/>
          </w:tcPr>
          <w:p>
            <w:pPr>
              <w:ind w:left="20"/>
              <w:spacing w:after="0"/>
              <w:rPr>
                <w:sz w:val="20"/>
                <w:szCs w:val="20"/>
                <w:color w:val="auto"/>
              </w:rPr>
            </w:pPr>
            <w:r>
              <w:rPr>
                <w:rFonts w:ascii="Arial" w:cs="Arial" w:eastAsia="Arial" w:hAnsi="Arial"/>
                <w:sz w:val="18"/>
                <w:szCs w:val="18"/>
                <w:color w:val="auto"/>
              </w:rPr>
              <w:t>First lien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Enterprise Market</w:t>
            </w:r>
          </w:p>
        </w:tc>
        <w:tc>
          <w:tcPr>
            <w:tcW w:w="18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Revenue Multiple</w:t>
            </w:r>
          </w:p>
        </w:tc>
        <w:tc>
          <w:tcPr>
            <w:tcW w:w="20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8"/>
              </w:rPr>
              <w:t>0.4x</w:t>
            </w:r>
          </w:p>
        </w:tc>
      </w:tr>
      <w:tr>
        <w:trPr>
          <w:trHeight w:val="315"/>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Value and Asset</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08"/>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57"/>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Second lien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80" w:type="dxa"/>
            <w:vAlign w:val="bottom"/>
            <w:shd w:val="clear" w:color="auto" w:fill="CFF0FC"/>
          </w:tcPr>
          <w:p>
            <w:pPr>
              <w:spacing w:after="0"/>
              <w:rPr>
                <w:sz w:val="22"/>
                <w:szCs w:val="22"/>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Required Rate of Return</w:t>
            </w:r>
          </w:p>
        </w:tc>
        <w:tc>
          <w:tcPr>
            <w:tcW w:w="200" w:type="dxa"/>
            <w:vAlign w:val="bottom"/>
            <w:shd w:val="clear" w:color="auto" w:fill="CFF0FC"/>
          </w:tcPr>
          <w:p>
            <w:pPr>
              <w:spacing w:after="0"/>
              <w:rPr>
                <w:sz w:val="22"/>
                <w:szCs w:val="22"/>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0.7% – 12.9% (12.1%)</w:t>
            </w:r>
          </w:p>
        </w:tc>
      </w:tr>
      <w:tr>
        <w:trPr>
          <w:trHeight w:val="220"/>
        </w:trPr>
        <w:tc>
          <w:tcPr>
            <w:tcW w:w="25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56.2</w:t>
            </w:r>
          </w:p>
        </w:tc>
        <w:tc>
          <w:tcPr>
            <w:tcW w:w="2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Enterprise Market</w:t>
            </w:r>
          </w:p>
        </w:tc>
        <w:tc>
          <w:tcPr>
            <w:tcW w:w="18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EBITDA Multiple</w:t>
            </w:r>
          </w:p>
        </w:tc>
        <w:tc>
          <w:tcPr>
            <w:tcW w:w="20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2.0x – 10.6x (4.4x)</w:t>
            </w:r>
          </w:p>
        </w:tc>
      </w:tr>
      <w:tr>
        <w:trPr>
          <w:trHeight w:val="266"/>
        </w:trPr>
        <w:tc>
          <w:tcPr>
            <w:tcW w:w="2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340" w:type="dxa"/>
            <w:vAlign w:val="bottom"/>
          </w:tcPr>
          <w:p>
            <w:pPr>
              <w:ind w:left="20"/>
              <w:spacing w:after="0" w:line="266" w:lineRule="exact"/>
              <w:rPr>
                <w:sz w:val="20"/>
                <w:szCs w:val="20"/>
                <w:color w:val="auto"/>
              </w:rPr>
            </w:pPr>
            <w:r>
              <w:rPr>
                <w:rFonts w:ascii="Arial" w:cs="Arial" w:eastAsia="Arial" w:hAnsi="Arial"/>
                <w:sz w:val="18"/>
                <w:szCs w:val="18"/>
                <w:color w:val="auto"/>
              </w:rPr>
              <w:t>Value and Asset</w:t>
            </w:r>
            <w:r>
              <w:rPr>
                <w:rFonts w:ascii="Arial" w:cs="Arial" w:eastAsia="Arial" w:hAnsi="Arial"/>
                <w:sz w:val="24"/>
                <w:szCs w:val="24"/>
                <w:color w:val="auto"/>
                <w:vertAlign w:val="superscript"/>
              </w:rPr>
              <w:t>(1)</w:t>
            </w:r>
          </w:p>
        </w:tc>
        <w:tc>
          <w:tcPr>
            <w:tcW w:w="18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20"/>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FF0FC"/>
          </w:tcPr>
          <w:p>
            <w:pPr>
              <w:spacing w:after="0"/>
              <w:rPr>
                <w:sz w:val="19"/>
                <w:szCs w:val="19"/>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Enterprise Value</w:t>
            </w:r>
          </w:p>
        </w:tc>
        <w:tc>
          <w:tcPr>
            <w:tcW w:w="180" w:type="dxa"/>
            <w:vAlign w:val="bottom"/>
            <w:shd w:val="clear" w:color="auto" w:fill="CFF0FC"/>
          </w:tcPr>
          <w:p>
            <w:pPr>
              <w:spacing w:after="0"/>
              <w:rPr>
                <w:sz w:val="19"/>
                <w:szCs w:val="19"/>
                <w:color w:val="auto"/>
              </w:rPr>
            </w:pPr>
          </w:p>
        </w:tc>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 Multiple</w:t>
            </w:r>
          </w:p>
        </w:tc>
        <w:tc>
          <w:tcPr>
            <w:tcW w:w="200" w:type="dxa"/>
            <w:vAlign w:val="bottom"/>
            <w:shd w:val="clear" w:color="auto" w:fill="CFF0FC"/>
          </w:tcPr>
          <w:p>
            <w:pPr>
              <w:spacing w:after="0"/>
              <w:rPr>
                <w:sz w:val="19"/>
                <w:szCs w:val="19"/>
                <w:color w:val="auto"/>
              </w:rPr>
            </w:pPr>
          </w:p>
        </w:tc>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0.9x – 1.1x (0.9x)</w:t>
            </w:r>
          </w:p>
        </w:tc>
      </w:tr>
      <w:tr>
        <w:trPr>
          <w:trHeight w:val="266"/>
        </w:trPr>
        <w:tc>
          <w:tcPr>
            <w:tcW w:w="25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340" w:type="dxa"/>
            <w:vAlign w:val="bottom"/>
            <w:shd w:val="clear" w:color="auto" w:fill="CFF0FC"/>
          </w:tcPr>
          <w:p>
            <w:pPr>
              <w:ind w:left="20"/>
              <w:spacing w:after="0" w:line="266" w:lineRule="exact"/>
              <w:rPr>
                <w:sz w:val="20"/>
                <w:szCs w:val="20"/>
                <w:color w:val="auto"/>
              </w:rPr>
            </w:pPr>
            <w:r>
              <w:rPr>
                <w:rFonts w:ascii="Arial" w:cs="Arial" w:eastAsia="Arial" w:hAnsi="Arial"/>
                <w:sz w:val="18"/>
                <w:szCs w:val="18"/>
                <w:color w:val="auto"/>
              </w:rPr>
              <w:t>Waterfall and Asset</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23"/>
                <w:szCs w:val="23"/>
                <w:color w:val="auto"/>
              </w:rPr>
            </w:pPr>
          </w:p>
        </w:tc>
        <w:tc>
          <w:tcPr>
            <w:tcW w:w="2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980" w:type="dxa"/>
            <w:vAlign w:val="bottom"/>
            <w:shd w:val="clear" w:color="auto" w:fill="CFF0FC"/>
          </w:tcPr>
          <w:p>
            <w:pPr>
              <w:spacing w:after="0"/>
              <w:rPr>
                <w:sz w:val="23"/>
                <w:szCs w:val="23"/>
                <w:color w:val="auto"/>
              </w:rPr>
            </w:pPr>
          </w:p>
        </w:tc>
      </w:tr>
    </w:tbl>
    <w:p>
      <w:pPr>
        <w:spacing w:after="0" w:line="200" w:lineRule="exact"/>
        <w:rPr>
          <w:sz w:val="20"/>
          <w:szCs w:val="20"/>
          <w:color w:val="auto"/>
        </w:rPr>
      </w:pPr>
    </w:p>
    <w:p>
      <w:pPr>
        <w:spacing w:after="0" w:line="285"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$0.9 million in first lien debt and $1.2 million in equity and warrants were valued using the asset approach.</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weighted averages disclosed in the table above were weighted by their relative fair value.</w:t>
      </w:r>
    </w:p>
    <w:p>
      <w:pPr>
        <w:spacing w:after="0" w:line="292"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December 31, 2020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280" w:type="dxa"/>
            <w:vAlign w:val="bottom"/>
          </w:tcPr>
          <w:p>
            <w:pPr>
              <w:spacing w:after="0"/>
              <w:rPr>
                <w:sz w:val="18"/>
                <w:szCs w:val="18"/>
                <w:color w:val="auto"/>
              </w:rPr>
            </w:pPr>
          </w:p>
        </w:tc>
        <w:tc>
          <w:tcPr>
            <w:tcW w:w="2340" w:type="dxa"/>
            <w:vAlign w:val="bottom"/>
          </w:tcPr>
          <w:p>
            <w:pPr>
              <w:ind w:left="800"/>
              <w:spacing w:after="0"/>
              <w:rPr>
                <w:sz w:val="20"/>
                <w:szCs w:val="20"/>
                <w:color w:val="auto"/>
              </w:rPr>
            </w:pPr>
            <w:r>
              <w:rPr>
                <w:rFonts w:ascii="Arial" w:cs="Arial" w:eastAsia="Arial" w:hAnsi="Arial"/>
                <w:sz w:val="18"/>
                <w:szCs w:val="18"/>
                <w:b w:val="1"/>
                <w:bCs w:val="1"/>
                <w:color w:val="auto"/>
              </w:rPr>
              <w:t>Valuation</w:t>
            </w:r>
          </w:p>
        </w:tc>
        <w:tc>
          <w:tcPr>
            <w:tcW w:w="180" w:type="dxa"/>
            <w:vAlign w:val="bottom"/>
          </w:tcPr>
          <w:p>
            <w:pPr>
              <w:spacing w:after="0"/>
              <w:rPr>
                <w:sz w:val="18"/>
                <w:szCs w:val="18"/>
                <w:color w:val="auto"/>
              </w:rPr>
            </w:pPr>
          </w:p>
        </w:tc>
        <w:tc>
          <w:tcPr>
            <w:tcW w:w="2200" w:type="dxa"/>
            <w:vAlign w:val="bottom"/>
          </w:tcPr>
          <w:p>
            <w:pPr>
              <w:ind w:left="580"/>
              <w:spacing w:after="0"/>
              <w:rPr>
                <w:sz w:val="20"/>
                <w:szCs w:val="20"/>
                <w:color w:val="auto"/>
              </w:rPr>
            </w:pPr>
            <w:r>
              <w:rPr>
                <w:rFonts w:ascii="Arial" w:cs="Arial" w:eastAsia="Arial" w:hAnsi="Arial"/>
                <w:sz w:val="18"/>
                <w:szCs w:val="18"/>
                <w:b w:val="1"/>
                <w:bCs w:val="1"/>
                <w:color w:val="auto"/>
              </w:rPr>
              <w:t>Unobservable</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Range (Weighted</w:t>
            </w:r>
          </w:p>
        </w:tc>
      </w:tr>
      <w:tr>
        <w:trPr>
          <w:trHeight w:val="270"/>
        </w:trPr>
        <w:tc>
          <w:tcPr>
            <w:tcW w:w="25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23"/>
                <w:szCs w:val="23"/>
                <w:color w:val="auto"/>
              </w:rPr>
            </w:pPr>
          </w:p>
        </w:tc>
        <w:tc>
          <w:tcPr>
            <w:tcW w:w="23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Approach</w:t>
            </w:r>
          </w:p>
        </w:tc>
        <w:tc>
          <w:tcPr>
            <w:tcW w:w="180" w:type="dxa"/>
            <w:vAlign w:val="bottom"/>
          </w:tcPr>
          <w:p>
            <w:pPr>
              <w:spacing w:after="0"/>
              <w:rPr>
                <w:sz w:val="23"/>
                <w:szCs w:val="23"/>
                <w:color w:val="auto"/>
              </w:rPr>
            </w:pPr>
          </w:p>
        </w:tc>
        <w:tc>
          <w:tcPr>
            <w:tcW w:w="220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Input</w:t>
            </w:r>
          </w:p>
        </w:tc>
        <w:tc>
          <w:tcPr>
            <w:tcW w:w="2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ind w:left="240"/>
              <w:spacing w:after="0" w:line="270" w:lineRule="exact"/>
              <w:rPr>
                <w:sz w:val="20"/>
                <w:szCs w:val="20"/>
                <w:color w:val="auto"/>
              </w:rPr>
            </w:pPr>
            <w:r>
              <w:rPr>
                <w:rFonts w:ascii="Arial" w:cs="Arial" w:eastAsia="Arial" w:hAnsi="Arial"/>
                <w:sz w:val="18"/>
                <w:szCs w:val="18"/>
                <w:b w:val="1"/>
                <w:bCs w:val="1"/>
                <w:color w:val="auto"/>
              </w:rPr>
              <w:t xml:space="preserve">Average) </w:t>
            </w:r>
            <w:r>
              <w:rPr>
                <w:rFonts w:ascii="Arial" w:cs="Arial" w:eastAsia="Arial" w:hAnsi="Arial"/>
                <w:sz w:val="24"/>
                <w:szCs w:val="24"/>
                <w:b w:val="1"/>
                <w:bCs w:val="1"/>
                <w:color w:val="auto"/>
                <w:vertAlign w:val="superscript"/>
              </w:rPr>
              <w:t>(2)</w:t>
            </w:r>
          </w:p>
        </w:tc>
      </w:tr>
      <w:tr>
        <w:trPr>
          <w:trHeight w:val="237"/>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280" w:type="dxa"/>
            <w:vAlign w:val="bottom"/>
            <w:shd w:val="clear" w:color="auto" w:fill="CFF0FC"/>
          </w:tcPr>
          <w:p>
            <w:pPr>
              <w:spacing w:after="0"/>
              <w:rPr>
                <w:sz w:val="20"/>
                <w:szCs w:val="20"/>
                <w:color w:val="auto"/>
              </w:rPr>
            </w:pPr>
          </w:p>
        </w:tc>
        <w:tc>
          <w:tcPr>
            <w:tcW w:w="2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w:t>
            </w:r>
          </w:p>
        </w:tc>
        <w:tc>
          <w:tcPr>
            <w:tcW w:w="180" w:type="dxa"/>
            <w:vAlign w:val="bottom"/>
            <w:shd w:val="clear" w:color="auto" w:fill="CFF0FC"/>
          </w:tcPr>
          <w:p>
            <w:pPr>
              <w:spacing w:after="0"/>
              <w:rPr>
                <w:sz w:val="20"/>
                <w:szCs w:val="20"/>
                <w:color w:val="auto"/>
              </w:rPr>
            </w:pPr>
          </w:p>
        </w:tc>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Required Rate of Return</w:t>
            </w:r>
          </w:p>
        </w:tc>
        <w:tc>
          <w:tcPr>
            <w:tcW w:w="200" w:type="dxa"/>
            <w:vAlign w:val="bottom"/>
            <w:shd w:val="clear" w:color="auto" w:fill="CFF0FC"/>
          </w:tcPr>
          <w:p>
            <w:pPr>
              <w:spacing w:after="0"/>
              <w:rPr>
                <w:sz w:val="20"/>
                <w:szCs w:val="20"/>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6.9% – 15.0% (10.5%)</w:t>
            </w:r>
          </w:p>
        </w:tc>
      </w:tr>
      <w:tr>
        <w:trPr>
          <w:trHeight w:val="270"/>
        </w:trPr>
        <w:tc>
          <w:tcPr>
            <w:tcW w:w="256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1300" w:type="dxa"/>
            <w:vAlign w:val="bottom"/>
            <w:shd w:val="clear" w:color="auto" w:fill="CFF0FC"/>
          </w:tcPr>
          <w:p>
            <w:pPr>
              <w:spacing w:after="0"/>
              <w:rPr>
                <w:sz w:val="23"/>
                <w:szCs w:val="23"/>
                <w:color w:val="auto"/>
              </w:rPr>
            </w:pPr>
          </w:p>
        </w:tc>
        <w:tc>
          <w:tcPr>
            <w:tcW w:w="280" w:type="dxa"/>
            <w:vAlign w:val="bottom"/>
            <w:shd w:val="clear" w:color="auto" w:fill="CFF0FC"/>
          </w:tcPr>
          <w:p>
            <w:pPr>
              <w:spacing w:after="0"/>
              <w:rPr>
                <w:sz w:val="23"/>
                <w:szCs w:val="23"/>
                <w:color w:val="auto"/>
              </w:rPr>
            </w:pPr>
          </w:p>
        </w:tc>
        <w:tc>
          <w:tcPr>
            <w:tcW w:w="234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220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320" w:type="dxa"/>
            <w:vAlign w:val="bottom"/>
            <w:shd w:val="clear" w:color="auto" w:fill="CFF0FC"/>
          </w:tcPr>
          <w:p>
            <w:pPr>
              <w:spacing w:after="0"/>
              <w:rPr>
                <w:sz w:val="23"/>
                <w:szCs w:val="23"/>
                <w:color w:val="auto"/>
              </w:rPr>
            </w:pPr>
          </w:p>
        </w:tc>
        <w:tc>
          <w:tcPr>
            <w:tcW w:w="1660" w:type="dxa"/>
            <w:vAlign w:val="bottom"/>
            <w:shd w:val="clear" w:color="auto" w:fill="CFF0FC"/>
          </w:tcPr>
          <w:p>
            <w:pPr>
              <w:spacing w:after="0"/>
              <w:rPr>
                <w:sz w:val="23"/>
                <w:szCs w:val="23"/>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8"/>
                <w:szCs w:val="18"/>
                <w:color w:val="auto"/>
              </w:rPr>
              <w:t>First lien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2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Enterprise Value</w:t>
            </w:r>
          </w:p>
        </w:tc>
        <w:tc>
          <w:tcPr>
            <w:tcW w:w="18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EBITDA Multiple</w:t>
            </w:r>
          </w:p>
        </w:tc>
        <w:tc>
          <w:tcPr>
            <w:tcW w:w="2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8"/>
              </w:rPr>
              <w:t>4.0x</w:t>
            </w:r>
          </w:p>
        </w:tc>
        <w:tc>
          <w:tcPr>
            <w:tcW w:w="1660" w:type="dxa"/>
            <w:vAlign w:val="bottom"/>
          </w:tcPr>
          <w:p>
            <w:pPr>
              <w:ind w:left="40"/>
              <w:spacing w:after="0"/>
              <w:rPr>
                <w:sz w:val="20"/>
                <w:szCs w:val="20"/>
                <w:color w:val="auto"/>
              </w:rPr>
            </w:pPr>
            <w:r>
              <w:rPr>
                <w:rFonts w:ascii="Arial" w:cs="Arial" w:eastAsia="Arial" w:hAnsi="Arial"/>
                <w:sz w:val="18"/>
                <w:szCs w:val="18"/>
                <w:color w:val="auto"/>
              </w:rPr>
              <w:t>– 4.0x (4.0x)</w:t>
            </w:r>
          </w:p>
        </w:tc>
      </w:tr>
      <w:tr>
        <w:trPr>
          <w:trHeight w:val="27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 xml:space="preserve">Waterfall and Asset </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7"/>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Revenue Multiple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8"/>
              </w:rPr>
              <w:t>0.2x</w:t>
            </w:r>
          </w:p>
        </w:tc>
        <w:tc>
          <w:tcPr>
            <w:tcW w:w="1660" w:type="dxa"/>
            <w:vAlign w:val="bottom"/>
          </w:tcPr>
          <w:p>
            <w:pPr>
              <w:ind w:left="40"/>
              <w:spacing w:after="0"/>
              <w:rPr>
                <w:sz w:val="20"/>
                <w:szCs w:val="20"/>
                <w:color w:val="auto"/>
              </w:rPr>
            </w:pPr>
            <w:r>
              <w:rPr>
                <w:rFonts w:ascii="Arial" w:cs="Arial" w:eastAsia="Arial" w:hAnsi="Arial"/>
                <w:sz w:val="18"/>
                <w:szCs w:val="18"/>
                <w:color w:val="auto"/>
              </w:rPr>
              <w:t>– 4.8x (2.0x)</w:t>
            </w:r>
          </w:p>
        </w:tc>
      </w:tr>
      <w:tr>
        <w:trPr>
          <w:trHeight w:val="263"/>
        </w:trPr>
        <w:tc>
          <w:tcPr>
            <w:tcW w:w="2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Second lien debt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80" w:type="dxa"/>
            <w:vAlign w:val="bottom"/>
            <w:shd w:val="clear" w:color="auto" w:fill="CFF0FC"/>
          </w:tcPr>
          <w:p>
            <w:pPr>
              <w:spacing w:after="0"/>
              <w:rPr>
                <w:sz w:val="22"/>
                <w:szCs w:val="22"/>
                <w:color w:val="auto"/>
              </w:rPr>
            </w:pPr>
          </w:p>
        </w:tc>
        <w:tc>
          <w:tcPr>
            <w:tcW w:w="234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Income and Asset</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Required Rate of Return</w:t>
            </w:r>
          </w:p>
        </w:tc>
        <w:tc>
          <w:tcPr>
            <w:tcW w:w="200" w:type="dxa"/>
            <w:vAlign w:val="bottom"/>
            <w:shd w:val="clear" w:color="auto" w:fill="CFF0FC"/>
          </w:tcPr>
          <w:p>
            <w:pPr>
              <w:spacing w:after="0"/>
              <w:rPr>
                <w:sz w:val="22"/>
                <w:szCs w:val="22"/>
                <w:color w:val="auto"/>
              </w:rPr>
            </w:pPr>
          </w:p>
        </w:tc>
        <w:tc>
          <w:tcPr>
            <w:tcW w:w="19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6.0% – 13.5% (12.0%)</w:t>
            </w:r>
          </w:p>
        </w:tc>
      </w:tr>
      <w:tr>
        <w:trPr>
          <w:trHeight w:val="256"/>
        </w:trPr>
        <w:tc>
          <w:tcPr>
            <w:tcW w:w="25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660" w:type="dxa"/>
            <w:vAlign w:val="bottom"/>
            <w:shd w:val="clear" w:color="auto" w:fill="CFF0FC"/>
          </w:tcPr>
          <w:p>
            <w:pPr>
              <w:spacing w:after="0"/>
              <w:rPr>
                <w:sz w:val="22"/>
                <w:szCs w:val="22"/>
                <w:color w:val="auto"/>
              </w:rPr>
            </w:pPr>
          </w:p>
        </w:tc>
      </w:tr>
      <w:tr>
        <w:trPr>
          <w:trHeight w:val="220"/>
        </w:trPr>
        <w:tc>
          <w:tcPr>
            <w:tcW w:w="2560" w:type="dxa"/>
            <w:vAlign w:val="bottom"/>
          </w:tcPr>
          <w:p>
            <w:pPr>
              <w:ind w:left="20"/>
              <w:spacing w:after="0"/>
              <w:rPr>
                <w:sz w:val="20"/>
                <w:szCs w:val="20"/>
                <w:color w:val="auto"/>
              </w:rPr>
            </w:pPr>
            <w:r>
              <w:rPr>
                <w:rFonts w:ascii="Arial" w:cs="Arial" w:eastAsia="Arial" w:hAnsi="Arial"/>
                <w:sz w:val="18"/>
                <w:szCs w:val="18"/>
                <w:color w:val="auto"/>
              </w:rPr>
              <w:t>Equity and warrants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9"/>
                <w:szCs w:val="19"/>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Enterprise Value</w:t>
            </w:r>
          </w:p>
        </w:tc>
        <w:tc>
          <w:tcPr>
            <w:tcW w:w="180" w:type="dxa"/>
            <w:vAlign w:val="bottom"/>
          </w:tcPr>
          <w:p>
            <w:pPr>
              <w:spacing w:after="0"/>
              <w:rPr>
                <w:sz w:val="19"/>
                <w:szCs w:val="19"/>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EBITDA Multiple</w:t>
            </w:r>
          </w:p>
        </w:tc>
        <w:tc>
          <w:tcPr>
            <w:tcW w:w="20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8"/>
              </w:rPr>
              <w:t>6.0x</w:t>
            </w:r>
          </w:p>
        </w:tc>
        <w:tc>
          <w:tcPr>
            <w:tcW w:w="1660" w:type="dxa"/>
            <w:vAlign w:val="bottom"/>
          </w:tcPr>
          <w:p>
            <w:pPr>
              <w:ind w:left="40"/>
              <w:spacing w:after="0"/>
              <w:rPr>
                <w:sz w:val="20"/>
                <w:szCs w:val="20"/>
                <w:color w:val="auto"/>
              </w:rPr>
            </w:pPr>
            <w:r>
              <w:rPr>
                <w:rFonts w:ascii="Arial" w:cs="Arial" w:eastAsia="Arial" w:hAnsi="Arial"/>
                <w:sz w:val="18"/>
                <w:szCs w:val="18"/>
                <w:color w:val="auto"/>
              </w:rPr>
              <w:t>– 21.0x (9.5x)</w:t>
            </w:r>
          </w:p>
        </w:tc>
      </w:tr>
      <w:tr>
        <w:trPr>
          <w:trHeight w:val="279"/>
        </w:trPr>
        <w:tc>
          <w:tcPr>
            <w:tcW w:w="2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tcPr>
          <w:p>
            <w:pPr>
              <w:ind w:left="20"/>
              <w:spacing w:after="0"/>
              <w:rPr>
                <w:sz w:val="20"/>
                <w:szCs w:val="20"/>
                <w:color w:val="auto"/>
              </w:rPr>
            </w:pPr>
            <w:r>
              <w:rPr>
                <w:rFonts w:ascii="Arial" w:cs="Arial" w:eastAsia="Arial" w:hAnsi="Arial"/>
                <w:sz w:val="18"/>
                <w:szCs w:val="18"/>
                <w:color w:val="auto"/>
              </w:rPr>
              <w:t>Waterfall and Asset</w:t>
            </w:r>
            <w:r>
              <w:rPr>
                <w:rFonts w:ascii="Arial" w:cs="Arial" w:eastAsia="Arial" w:hAnsi="Arial"/>
                <w:sz w:val="24"/>
                <w:szCs w:val="24"/>
                <w:color w:val="auto"/>
                <w:vertAlign w:val="superscript"/>
              </w:rPr>
              <w:t>(1)</w:t>
            </w: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30"/>
        </w:trPr>
        <w:tc>
          <w:tcPr>
            <w:tcW w:w="2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auto"/>
              </w:rPr>
              <w:t>Revenue Multiple</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w w:val="88"/>
              </w:rPr>
              <w:t>0.2x</w:t>
            </w:r>
          </w:p>
        </w:tc>
        <w:tc>
          <w:tcPr>
            <w:tcW w:w="1660" w:type="dxa"/>
            <w:vAlign w:val="bottom"/>
          </w:tcPr>
          <w:p>
            <w:pPr>
              <w:ind w:left="40"/>
              <w:spacing w:after="0"/>
              <w:rPr>
                <w:sz w:val="20"/>
                <w:szCs w:val="20"/>
                <w:color w:val="auto"/>
              </w:rPr>
            </w:pPr>
            <w:r>
              <w:rPr>
                <w:rFonts w:ascii="Arial" w:cs="Arial" w:eastAsia="Arial" w:hAnsi="Arial"/>
                <w:sz w:val="18"/>
                <w:szCs w:val="18"/>
                <w:color w:val="auto"/>
              </w:rPr>
              <w:t>– 1.3x (0.8x)</w:t>
            </w:r>
          </w:p>
        </w:tc>
      </w:tr>
    </w:tbl>
    <w:p>
      <w:pPr>
        <w:spacing w:after="0" w:line="242"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$4.8 million in first lien debt, $0.9 million in second lien debt, and $4.4 million in equity and warrants were valued using the asset approach.</w:t>
      </w:r>
    </w:p>
    <w:p>
      <w:pPr>
        <w:spacing w:after="0" w:line="34" w:lineRule="exact"/>
        <w:rPr>
          <w:rFonts w:ascii="Arial" w:cs="Arial" w:eastAsia="Arial" w:hAnsi="Arial"/>
          <w:sz w:val="17"/>
          <w:szCs w:val="17"/>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weighted averages disclosed in the table above were weighted by their relative fair value.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both"/>
        <w:ind w:firstLine="813"/>
        <w:spacing w:after="0" w:line="275" w:lineRule="auto"/>
        <w:rPr>
          <w:sz w:val="20"/>
          <w:szCs w:val="20"/>
          <w:color w:val="auto"/>
        </w:rPr>
      </w:pPr>
      <w:r>
        <w:rPr>
          <w:rFonts w:ascii="Arial" w:cs="Arial" w:eastAsia="Arial" w:hAnsi="Arial"/>
          <w:sz w:val="18"/>
          <w:szCs w:val="18"/>
          <w:color w:val="auto"/>
        </w:rPr>
        <w:t>The significant unobservable inputs used in the valuation of the Company’s investments are required rate of return, EBITDA multiples, and revenue multiples. Changes in any of these unobservable inputs could have a significant impact on the Company’s estimate of fair value. An increase (decrease) in the required rate of return will result in a lower (higher) estimate of fair value while an increase (decrease) in EBITDA or revenue multiples will result in a higher (lower) estimate of fair value.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5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8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In May 2020, the Company and Trinity elected to wind-down operations of CSLF II. On June 1, 2020, CSLF II sold its existing assets with the Company and Trinity, each purchasing approximately 50% of CSLF II’s debt investments at their par value. On June 12, 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83"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 For the three and nine months ended September 30, 2020, CSLF II incurred interest and financing expenses of $0.0 million and $1.1 million, respectively.</w:t>
      </w:r>
    </w:p>
    <w:p>
      <w:pPr>
        <w:spacing w:after="0" w:line="189"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nine months ended September 30, 2020, CSLF II did not incur any interest and financing expenses related to the Subordinated Notes.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7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9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Nine</w:t>
            </w:r>
          </w:p>
        </w:tc>
      </w:tr>
      <w:tr>
        <w:trPr>
          <w:trHeight w:val="234"/>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ended</w:t>
            </w:r>
          </w:p>
        </w:tc>
      </w:tr>
      <w:tr>
        <w:trPr>
          <w:trHeight w:val="230"/>
        </w:trPr>
        <w:tc>
          <w:tcPr>
            <w:tcW w:w="9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95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90"/>
              <w:spacing w:after="0" w:line="270" w:lineRule="exact"/>
              <w:rPr>
                <w:sz w:val="20"/>
                <w:szCs w:val="20"/>
                <w:color w:val="auto"/>
              </w:rPr>
            </w:pPr>
            <w:r>
              <w:rPr>
                <w:rFonts w:ascii="Arial" w:cs="Arial" w:eastAsia="Arial" w:hAnsi="Arial"/>
                <w:sz w:val="18"/>
                <w:szCs w:val="18"/>
                <w:b w:val="1"/>
                <w:bCs w:val="1"/>
                <w:color w:val="auto"/>
                <w:w w:val="83"/>
              </w:rPr>
              <w:t>2020</w:t>
            </w:r>
            <w:r>
              <w:rPr>
                <w:rFonts w:ascii="Arial" w:cs="Arial" w:eastAsia="Arial" w:hAnsi="Arial"/>
                <w:sz w:val="24"/>
                <w:szCs w:val="24"/>
                <w:b w:val="1"/>
                <w:bCs w:val="1"/>
                <w:color w:val="auto"/>
                <w:w w:val="83"/>
                <w:vertAlign w:val="superscript"/>
              </w:rPr>
              <w:t>(1)</w:t>
            </w:r>
          </w:p>
        </w:tc>
        <w:tc>
          <w:tcPr>
            <w:tcW w:w="100" w:type="dxa"/>
            <w:vAlign w:val="bottom"/>
          </w:tcPr>
          <w:p>
            <w:pPr>
              <w:spacing w:after="0"/>
              <w:rPr>
                <w:sz w:val="23"/>
                <w:szCs w:val="23"/>
                <w:color w:val="auto"/>
              </w:rPr>
            </w:pPr>
          </w:p>
        </w:tc>
      </w:tr>
      <w:tr>
        <w:trPr>
          <w:trHeight w:val="250"/>
        </w:trPr>
        <w:tc>
          <w:tcPr>
            <w:tcW w:w="9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r>
      <w:tr>
        <w:trPr>
          <w:trHeight w:val="257"/>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Fee income</w:t>
            </w:r>
          </w:p>
        </w:tc>
        <w:tc>
          <w:tcPr>
            <w:tcW w:w="18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r>
      <w:tr>
        <w:trPr>
          <w:trHeight w:val="256"/>
        </w:trPr>
        <w:tc>
          <w:tcPr>
            <w:tcW w:w="9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Interest and financing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r>
      <w:tr>
        <w:trPr>
          <w:trHeight w:val="257"/>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r>
      <w:tr>
        <w:trPr>
          <w:trHeight w:val="250"/>
        </w:trPr>
        <w:tc>
          <w:tcPr>
            <w:tcW w:w="9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INVESTMENT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(644 )</w:t>
            </w:r>
          </w:p>
        </w:tc>
      </w:tr>
      <w:tr>
        <w:trPr>
          <w:trHeight w:val="20"/>
        </w:trPr>
        <w:tc>
          <w:tcPr>
            <w:tcW w:w="95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956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(644 )</w:t>
            </w:r>
          </w:p>
        </w:tc>
      </w:tr>
      <w:tr>
        <w:trPr>
          <w:trHeight w:val="20"/>
        </w:trPr>
        <w:tc>
          <w:tcPr>
            <w:tcW w:w="9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-1205230</wp:posOffset>
            </wp:positionV>
            <wp:extent cx="5969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-536575</wp:posOffset>
            </wp:positionV>
            <wp:extent cx="5969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9" w:lineRule="exact"/>
        <w:rPr>
          <w:sz w:val="20"/>
          <w:szCs w:val="20"/>
          <w:color w:val="auto"/>
        </w:rPr>
      </w:pPr>
    </w:p>
    <w:p>
      <w:pPr>
        <w:ind w:left="440" w:hanging="432"/>
        <w:spacing w:after="0" w:line="293" w:lineRule="auto"/>
        <w:tabs>
          <w:tab w:leader="none" w:pos="492"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 June 12, 2020, CSLF II paid a final distribution and returned all capital to investors. Accordingly, a statement of operations is not presented for the three months ended September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nine months ended September 30, 2021, the Company had investments in portfolio companies designated as affiliates under the 1940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 Transactions with affiliates were as follows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89"/>
              </w:rPr>
              <w:t>Amount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Interest, Fees or</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Arial" w:cs="Arial" w:eastAsia="Arial" w:hAnsi="Arial"/>
                <w:sz w:val="13"/>
                <w:szCs w:val="13"/>
                <w:b w:val="1"/>
                <w:bCs w:val="1"/>
                <w:color w:val="auto"/>
                <w:w w:val="94"/>
              </w:rPr>
              <w:t>Principal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Credited to</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57"/>
              <w:spacing w:after="0"/>
              <w:rPr>
                <w:sz w:val="20"/>
                <w:szCs w:val="20"/>
                <w:color w:val="auto"/>
              </w:rPr>
            </w:pPr>
            <w:r>
              <w:rPr>
                <w:rFonts w:ascii="Arial" w:cs="Arial" w:eastAsia="Arial" w:hAnsi="Arial"/>
                <w:sz w:val="13"/>
                <w:szCs w:val="13"/>
                <w:b w:val="1"/>
                <w:bCs w:val="1"/>
                <w:color w:val="auto"/>
                <w:w w:val="85"/>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217"/>
              <w:spacing w:after="0"/>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jc w:val="right"/>
              <w:ind w:right="357"/>
              <w:spacing w:after="0"/>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3"/>
                <w:szCs w:val="13"/>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Realized</w:t>
            </w: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8"/>
              </w:rPr>
              <w:t>Appreciation</w:t>
            </w:r>
          </w:p>
        </w:tc>
        <w:tc>
          <w:tcPr>
            <w:tcW w:w="80" w:type="dxa"/>
            <w:vAlign w:val="bottom"/>
          </w:tcPr>
          <w:p>
            <w:pPr>
              <w:spacing w:after="0"/>
              <w:rPr>
                <w:sz w:val="13"/>
                <w:szCs w:val="13"/>
                <w:color w:val="auto"/>
              </w:rPr>
            </w:pPr>
          </w:p>
        </w:tc>
        <w:tc>
          <w:tcPr>
            <w:tcW w:w="940" w:type="dxa"/>
            <w:vAlign w:val="bottom"/>
          </w:tcPr>
          <w:p>
            <w:pPr>
              <w:jc w:val="right"/>
              <w:ind w:right="97"/>
              <w:spacing w:after="0"/>
              <w:rPr>
                <w:sz w:val="20"/>
                <w:szCs w:val="20"/>
                <w:color w:val="auto"/>
              </w:rPr>
            </w:pPr>
            <w:r>
              <w:rPr>
                <w:rFonts w:ascii="Arial" w:cs="Arial" w:eastAsia="Arial" w:hAnsi="Arial"/>
                <w:sz w:val="13"/>
                <w:szCs w:val="13"/>
                <w:b w:val="1"/>
                <w:bCs w:val="1"/>
                <w:color w:val="auto"/>
                <w:w w:val="85"/>
              </w:rPr>
              <w:t>September 30,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80" w:type="dxa"/>
            <w:vAlign w:val="bottom"/>
            <w:gridSpan w:val="2"/>
          </w:tcPr>
          <w:p>
            <w:pPr>
              <w:ind w:left="36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(4)</w:t>
            </w:r>
          </w:p>
        </w:tc>
        <w:tc>
          <w:tcPr>
            <w:tcW w:w="60" w:type="dxa"/>
            <w:vAlign w:val="bottom"/>
          </w:tcPr>
          <w:p>
            <w:pPr>
              <w:spacing w:after="0"/>
              <w:rPr>
                <w:sz w:val="16"/>
                <w:szCs w:val="16"/>
                <w:color w:val="auto"/>
              </w:rPr>
            </w:pPr>
          </w:p>
        </w:tc>
        <w:tc>
          <w:tcPr>
            <w:tcW w:w="1700" w:type="dxa"/>
            <w:vAlign w:val="bottom"/>
          </w:tcPr>
          <w:p>
            <w:pPr>
              <w:ind w:left="34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center"/>
              <w:ind w:right="57"/>
              <w:spacing w:after="0"/>
              <w:rPr>
                <w:sz w:val="20"/>
                <w:szCs w:val="20"/>
                <w:color w:val="auto"/>
              </w:rPr>
            </w:pPr>
            <w:r>
              <w:rPr>
                <w:rFonts w:ascii="Arial" w:cs="Arial" w:eastAsia="Arial" w:hAnsi="Arial"/>
                <w:sz w:val="13"/>
                <w:szCs w:val="13"/>
                <w:b w:val="1"/>
                <w:bCs w:val="1"/>
                <w:color w:val="auto"/>
                <w:w w:val="83"/>
              </w:rPr>
              <w:t xml:space="preserve">Income </w:t>
            </w:r>
            <w:r>
              <w:rPr>
                <w:rFonts w:ascii="Arial" w:cs="Arial" w:eastAsia="Arial" w:hAnsi="Arial"/>
                <w:sz w:val="16"/>
                <w:szCs w:val="16"/>
                <w:b w:val="1"/>
                <w:bCs w:val="1"/>
                <w:color w:val="auto"/>
                <w:w w:val="83"/>
                <w:vertAlign w:val="superscript"/>
              </w:rPr>
              <w:t>(1)</w:t>
            </w:r>
          </w:p>
        </w:tc>
        <w:tc>
          <w:tcPr>
            <w:tcW w:w="12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2020 Fair Value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w w:val="83"/>
              </w:rPr>
              <w:t xml:space="preserve">Additions </w:t>
            </w:r>
            <w:r>
              <w:rPr>
                <w:rFonts w:ascii="Arial" w:cs="Arial" w:eastAsia="Arial" w:hAnsi="Arial"/>
                <w:sz w:val="16"/>
                <w:szCs w:val="16"/>
                <w:b w:val="1"/>
                <w:bCs w:val="1"/>
                <w:color w:val="auto"/>
                <w:w w:val="83"/>
                <w:vertAlign w:val="superscript"/>
              </w:rPr>
              <w:t>(2)</w:t>
            </w:r>
          </w:p>
        </w:tc>
        <w:tc>
          <w:tcPr>
            <w:tcW w:w="120" w:type="dxa"/>
            <w:vAlign w:val="bottom"/>
          </w:tcPr>
          <w:p>
            <w:pPr>
              <w:spacing w:after="0"/>
              <w:rPr>
                <w:sz w:val="16"/>
                <w:szCs w:val="16"/>
                <w:color w:val="auto"/>
              </w:rPr>
            </w:pPr>
          </w:p>
        </w:tc>
        <w:tc>
          <w:tcPr>
            <w:tcW w:w="100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89"/>
              </w:rPr>
              <w:t xml:space="preserve">Reductions </w:t>
            </w:r>
            <w:r>
              <w:rPr>
                <w:rFonts w:ascii="Arial" w:cs="Arial" w:eastAsia="Arial" w:hAnsi="Arial"/>
                <w:sz w:val="16"/>
                <w:szCs w:val="16"/>
                <w:b w:val="1"/>
                <w:bCs w:val="1"/>
                <w:color w:val="auto"/>
                <w:w w:val="89"/>
                <w:vertAlign w:val="superscript"/>
              </w:rPr>
              <w:t>(3)</w:t>
            </w:r>
          </w:p>
        </w:tc>
        <w:tc>
          <w:tcPr>
            <w:tcW w:w="94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9"/>
              </w:rPr>
              <w:t>Gain/(Loss)</w:t>
            </w: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6"/>
              </w:rPr>
              <w:t>(Depreciation)</w:t>
            </w:r>
          </w:p>
        </w:tc>
        <w:tc>
          <w:tcPr>
            <w:tcW w:w="102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w w:val="95"/>
              </w:rPr>
              <w:t>2021 Fair Value</w:t>
            </w:r>
          </w:p>
        </w:tc>
        <w:tc>
          <w:tcPr>
            <w:tcW w:w="0" w:type="dxa"/>
            <w:vAlign w:val="bottom"/>
          </w:tcPr>
          <w:p>
            <w:pPr>
              <w:spacing w:after="0"/>
              <w:rPr>
                <w:sz w:val="1"/>
                <w:szCs w:val="1"/>
                <w:color w:val="auto"/>
              </w:rPr>
            </w:pPr>
          </w:p>
        </w:tc>
      </w:tr>
      <w:tr>
        <w:trPr>
          <w:trHeight w:val="163"/>
        </w:trPr>
        <w:tc>
          <w:tcPr>
            <w:tcW w:w="1400" w:type="dxa"/>
            <w:vAlign w:val="bottom"/>
            <w:tcBorders>
              <w:top w:val="single" w:sz="8" w:color="auto"/>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i w:val="1"/>
                <w:iCs w:val="1"/>
                <w:color w:val="auto"/>
              </w:rPr>
              <w:t>Affiliate investments</w:t>
            </w:r>
          </w:p>
        </w:tc>
        <w:tc>
          <w:tcPr>
            <w:tcW w:w="60" w:type="dxa"/>
            <w:vAlign w:val="bottom"/>
            <w:shd w:val="clear" w:color="auto" w:fill="CFF0FC"/>
          </w:tcPr>
          <w:p>
            <w:pPr>
              <w:spacing w:after="0"/>
              <w:rPr>
                <w:sz w:val="14"/>
                <w:szCs w:val="14"/>
                <w:color w:val="auto"/>
              </w:rPr>
            </w:pPr>
          </w:p>
        </w:tc>
        <w:tc>
          <w:tcPr>
            <w:tcW w:w="17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right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70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w w:val="99"/>
              </w:rPr>
              <w:t>First Lien Debt (12.0% Cash,</w:t>
            </w: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7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9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00" w:type="dxa"/>
            <w:vAlign w:val="bottom"/>
            <w:gridSpan w:val="3"/>
          </w:tcPr>
          <w:p>
            <w:pPr>
              <w:ind w:left="20"/>
              <w:spacing w:after="0"/>
              <w:rPr>
                <w:sz w:val="20"/>
                <w:szCs w:val="20"/>
                <w:color w:val="auto"/>
              </w:rPr>
            </w:pPr>
            <w:r>
              <w:rPr>
                <w:rFonts w:ascii="Arial" w:cs="Arial" w:eastAsia="Arial" w:hAnsi="Arial"/>
                <w:sz w:val="13"/>
                <w:szCs w:val="13"/>
                <w:color w:val="auto"/>
                <w:w w:val="96"/>
              </w:rPr>
              <w:t>Burgaflex Holdings, LLC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3.0% PIK, Due 3/23/21)</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152</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13,597</w:t>
            </w:r>
          </w:p>
        </w:tc>
        <w:tc>
          <w:tcPr>
            <w:tcW w:w="2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(13,597 )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ind w:left="520"/>
              <w:spacing w:after="0"/>
              <w:rPr>
                <w:sz w:val="20"/>
                <w:szCs w:val="20"/>
                <w:color w:val="auto"/>
              </w:rPr>
            </w:pPr>
            <w:r>
              <w:rPr>
                <w:rFonts w:ascii="Arial" w:cs="Arial" w:eastAsia="Arial" w:hAnsi="Arial"/>
                <w:sz w:val="13"/>
                <w:szCs w:val="13"/>
                <w:color w:val="auto"/>
              </w:rPr>
              <w:t>—  $</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Class B</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6"/>
              </w:rPr>
              <w:t>Burgaflex Holdings, LLC</w:t>
            </w: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(1,085,073 shares)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1,479</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Common Stock Class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1,220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1,220</w:t>
            </w:r>
          </w:p>
        </w:tc>
        <w:tc>
          <w:tcPr>
            <w:tcW w:w="0" w:type="dxa"/>
            <w:vAlign w:val="bottom"/>
          </w:tcPr>
          <w:p>
            <w:pPr>
              <w:spacing w:after="0"/>
              <w:rPr>
                <w:sz w:val="1"/>
                <w:szCs w:val="1"/>
                <w:color w:val="auto"/>
              </w:rPr>
            </w:pPr>
          </w:p>
        </w:tc>
      </w:tr>
      <w:tr>
        <w:trPr>
          <w:trHeight w:val="163"/>
        </w:trPr>
        <w:tc>
          <w:tcPr>
            <w:tcW w:w="1400" w:type="dxa"/>
            <w:vAlign w:val="bottom"/>
            <w:gridSpan w:val="3"/>
          </w:tcPr>
          <w:p>
            <w:pPr>
              <w:ind w:left="20"/>
              <w:spacing w:after="0"/>
              <w:rPr>
                <w:sz w:val="20"/>
                <w:szCs w:val="20"/>
                <w:color w:val="auto"/>
              </w:rPr>
            </w:pPr>
            <w:r>
              <w:rPr>
                <w:rFonts w:ascii="Arial" w:cs="Arial" w:eastAsia="Arial" w:hAnsi="Arial"/>
                <w:sz w:val="13"/>
                <w:szCs w:val="13"/>
                <w:color w:val="auto"/>
                <w:w w:val="96"/>
              </w:rPr>
              <w:t>Burgaflex Holdings, LLC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(1,253,198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(13,597 )</w:t>
            </w:r>
          </w:p>
        </w:tc>
        <w:tc>
          <w:tcPr>
            <w:tcW w:w="1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2,699</w:t>
            </w: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7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74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City Gear, LLC</w:t>
            </w: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Membership Unit Warrants</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(2,215 )</w:t>
            </w:r>
          </w:p>
        </w:tc>
        <w:tc>
          <w:tcPr>
            <w:tcW w:w="10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2,215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(2,011 )</w:t>
            </w: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2,011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(2,215 )</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2,215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(2,011 )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1"/>
              </w:rPr>
              <w:t>Second Lien Debt (13.5% Cash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0"/>
              </w:rPr>
              <w:t>(3 month LIBOR + 13.0%, 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Eastport Holdings, LLC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Floor), Due 12/29/21)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(85 )</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16,500</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Membership Units (22.9%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20,294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(902 )</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19,392</w:t>
            </w:r>
          </w:p>
        </w:tc>
        <w:tc>
          <w:tcPr>
            <w:tcW w:w="0" w:type="dxa"/>
            <w:vAlign w:val="bottom"/>
          </w:tcPr>
          <w:p>
            <w:pPr>
              <w:spacing w:after="0"/>
              <w:rPr>
                <w:sz w:val="1"/>
                <w:szCs w:val="1"/>
                <w:color w:val="auto"/>
              </w:rPr>
            </w:pPr>
          </w:p>
        </w:tc>
      </w:tr>
      <w:tr>
        <w:trPr>
          <w:trHeight w:val="163"/>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Eastport Holdings, LLC</w:t>
            </w:r>
          </w:p>
        </w:tc>
        <w:tc>
          <w:tcPr>
            <w:tcW w:w="60" w:type="dxa"/>
            <w:vAlign w:val="bottom"/>
            <w:shd w:val="clear" w:color="auto" w:fill="CFF0FC"/>
          </w:tcPr>
          <w:p>
            <w:pPr>
              <w:spacing w:after="0"/>
              <w:rPr>
                <w:sz w:val="14"/>
                <w:szCs w:val="14"/>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ownership)</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36,794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(987 )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35,892</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Series A-1 Preferred Stock</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00" w:type="dxa"/>
            <w:vAlign w:val="bottom"/>
            <w:gridSpan w:val="3"/>
          </w:tcPr>
          <w:p>
            <w:pPr>
              <w:ind w:left="20"/>
              <w:spacing w:after="0"/>
              <w:rPr>
                <w:sz w:val="20"/>
                <w:szCs w:val="20"/>
                <w:color w:val="auto"/>
              </w:rPr>
            </w:pPr>
            <w:r>
              <w:rPr>
                <w:rFonts w:ascii="Arial" w:cs="Arial" w:eastAsia="Arial" w:hAnsi="Arial"/>
                <w:sz w:val="13"/>
                <w:szCs w:val="13"/>
                <w:color w:val="auto"/>
                <w:w w:val="92"/>
              </w:rPr>
              <w:t>GA Communications, Inc.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(1,998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4,066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154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4,220</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B-1 Common Stock</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(6 )</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63"/>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2"/>
              </w:rPr>
              <w:t>GA Communications, Inc.</w:t>
            </w:r>
          </w:p>
        </w:tc>
        <w:tc>
          <w:tcPr>
            <w:tcW w:w="60" w:type="dxa"/>
            <w:vAlign w:val="bottom"/>
            <w:shd w:val="clear" w:color="auto" w:fill="CFF0FC"/>
          </w:tcPr>
          <w:p>
            <w:pPr>
              <w:spacing w:after="0"/>
              <w:rPr>
                <w:sz w:val="14"/>
                <w:szCs w:val="14"/>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(200,000 shares)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70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4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4,212</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4,360</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2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40" w:type="dxa"/>
            <w:vAlign w:val="bottom"/>
            <w:gridSpan w:val="3"/>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tcBorders>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LJS Partners, LLC</w:t>
            </w: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3"/>
              </w:rPr>
              <w:t>Preferred Units (202,336 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812</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3,951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1,697</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5,648</w:t>
            </w:r>
          </w:p>
        </w:tc>
        <w:tc>
          <w:tcPr>
            <w:tcW w:w="0" w:type="dxa"/>
            <w:vAlign w:val="bottom"/>
          </w:tcPr>
          <w:p>
            <w:pPr>
              <w:spacing w:after="0"/>
              <w:rPr>
                <w:sz w:val="1"/>
                <w:szCs w:val="1"/>
                <w:color w:val="auto"/>
              </w:rPr>
            </w:pPr>
          </w:p>
        </w:tc>
      </w:tr>
      <w:tr>
        <w:trPr>
          <w:trHeight w:val="163"/>
        </w:trPr>
        <w:tc>
          <w:tcPr>
            <w:tcW w:w="140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LJS Partners, LLC</w:t>
            </w:r>
          </w:p>
        </w:tc>
        <w:tc>
          <w:tcPr>
            <w:tcW w:w="60" w:type="dxa"/>
            <w:vAlign w:val="bottom"/>
            <w:tcBorders>
              <w:bottom w:val="single" w:sz="8" w:color="CFF0FC"/>
            </w:tcBorders>
            <w:shd w:val="clear" w:color="auto" w:fill="CFF0FC"/>
          </w:tcPr>
          <w:p>
            <w:pPr>
              <w:spacing w:after="0"/>
              <w:rPr>
                <w:sz w:val="14"/>
                <w:szCs w:val="14"/>
                <w:color w:val="auto"/>
              </w:rPr>
            </w:pPr>
          </w:p>
        </w:tc>
        <w:tc>
          <w:tcPr>
            <w:tcW w:w="1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(2,593,234 units)</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8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4,707</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1,753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6,460</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9"/>
              </w:rPr>
              <w:t>First Lien Debt (12.0% Cash,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MMI Holdings, LLC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Due 9/30/21)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237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2,600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2,600</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Second Lien Debt (6.0% Cash,</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0" w:type="dxa"/>
            <w:vAlign w:val="bottom"/>
          </w:tcPr>
          <w:p>
            <w:pPr>
              <w:spacing w:after="0"/>
              <w:rPr>
                <w:sz w:val="1"/>
                <w:szCs w:val="1"/>
                <w:color w:val="auto"/>
              </w:rPr>
            </w:pPr>
          </w:p>
        </w:tc>
      </w:tr>
      <w:tr>
        <w:trPr>
          <w:trHeight w:val="173"/>
        </w:trPr>
        <w:tc>
          <w:tcPr>
            <w:tcW w:w="1400" w:type="dxa"/>
            <w:vAlign w:val="bottom"/>
            <w:gridSpan w:val="3"/>
            <w:vMerge w:val="restart"/>
          </w:tcPr>
          <w:p>
            <w:pPr>
              <w:ind w:left="20"/>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16"/>
                <w:szCs w:val="16"/>
                <w:color w:val="auto"/>
                <w:vertAlign w:val="superscript"/>
              </w:rPr>
              <w:t>(5)</w:t>
            </w: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Preferred Units (1,000 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6.0% PIK Dividend)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1,815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(48 )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1,850</w:t>
            </w:r>
          </w:p>
        </w:tc>
        <w:tc>
          <w:tcPr>
            <w:tcW w:w="0" w:type="dxa"/>
            <w:vAlign w:val="bottom"/>
          </w:tcPr>
          <w:p>
            <w:pPr>
              <w:spacing w:after="0"/>
              <w:rPr>
                <w:sz w:val="1"/>
                <w:szCs w:val="1"/>
                <w:color w:val="auto"/>
              </w:rPr>
            </w:pPr>
          </w:p>
        </w:tc>
      </w:tr>
      <w:tr>
        <w:trPr>
          <w:trHeight w:val="173"/>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0"/>
              </w:rPr>
              <w:t>Common Membership Units (45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5"/>
                <w:szCs w:val="15"/>
                <w:color w:val="auto"/>
              </w:rPr>
            </w:pPr>
          </w:p>
        </w:tc>
        <w:tc>
          <w:tcPr>
            <w:tcW w:w="80" w:type="dxa"/>
            <w:vAlign w:val="bottom"/>
            <w:vMerge w:val="restart"/>
            <w:shd w:val="clear" w:color="auto" w:fill="CFF0FC"/>
          </w:tcPr>
          <w:p>
            <w:pPr>
              <w:spacing w:after="0"/>
              <w:rPr>
                <w:sz w:val="15"/>
                <w:szCs w:val="15"/>
                <w:color w:val="auto"/>
              </w:rPr>
            </w:pPr>
          </w:p>
        </w:tc>
        <w:tc>
          <w:tcPr>
            <w:tcW w:w="100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(124 )</w:t>
            </w: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3"/>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60" w:type="dxa"/>
            <w:vAlign w:val="bottom"/>
            <w:shd w:val="clear" w:color="auto" w:fill="CFF0FC"/>
          </w:tcPr>
          <w:p>
            <w:pPr>
              <w:spacing w:after="0"/>
              <w:rPr>
                <w:sz w:val="14"/>
                <w:szCs w:val="14"/>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2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7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338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5,019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3"/>
                <w:szCs w:val="13"/>
                <w:color w:val="auto"/>
              </w:rPr>
              <w:t>(172 )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4,930</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First Lien Debt (9.0% Cash,</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2.0% PIK, Due 6/30/23)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10,640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901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(500 )</w:t>
            </w:r>
          </w:p>
        </w:tc>
        <w:tc>
          <w:tcPr>
            <w:tcW w:w="100" w:type="dxa"/>
            <w:vAlign w:val="bottom"/>
          </w:tcPr>
          <w:p>
            <w:pPr>
              <w:spacing w:after="0"/>
              <w:rPr>
                <w:sz w:val="14"/>
                <w:szCs w:val="14"/>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10,562</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2"/>
              </w:rPr>
              <w:t>Class A Preferred Stock (1,000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0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shd w:val="clear" w:color="auto" w:fill="CFF0FC"/>
          </w:tcPr>
          <w:p>
            <w:pPr>
              <w:spacing w:after="0"/>
              <w:rPr>
                <w:sz w:val="15"/>
                <w:szCs w:val="15"/>
                <w:color w:val="auto"/>
              </w:rPr>
            </w:pPr>
          </w:p>
        </w:tc>
        <w:tc>
          <w:tcPr>
            <w:tcW w:w="17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3"/>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81"/>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0"/>
              </w:rPr>
              <w:t>Common Stock (60,000 shares)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448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448</w:t>
            </w:r>
          </w:p>
        </w:tc>
        <w:tc>
          <w:tcPr>
            <w:tcW w:w="0" w:type="dxa"/>
            <w:vAlign w:val="bottom"/>
          </w:tcPr>
          <w:p>
            <w:pPr>
              <w:spacing w:after="0"/>
              <w:rPr>
                <w:sz w:val="1"/>
                <w:szCs w:val="1"/>
                <w:color w:val="auto"/>
              </w:rPr>
            </w:pPr>
          </w:p>
        </w:tc>
      </w:tr>
      <w:tr>
        <w:trPr>
          <w:trHeight w:val="197"/>
        </w:trPr>
        <w:tc>
          <w:tcPr>
            <w:tcW w:w="2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CFF0FC"/>
            </w:tcBorders>
            <w:shd w:val="clear" w:color="auto" w:fill="CFF0FC"/>
          </w:tcPr>
          <w:p>
            <w:pPr>
              <w:spacing w:after="0"/>
              <w:rPr>
                <w:sz w:val="17"/>
                <w:szCs w:val="17"/>
                <w:color w:val="auto"/>
              </w:rPr>
            </w:pPr>
          </w:p>
        </w:tc>
        <w:tc>
          <w:tcPr>
            <w:tcW w:w="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right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11,868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(500 )</w:t>
            </w:r>
          </w:p>
        </w:tc>
        <w:tc>
          <w:tcPr>
            <w:tcW w:w="100" w:type="dxa"/>
            <w:vAlign w:val="bottom"/>
          </w:tcPr>
          <w:p>
            <w:pPr>
              <w:spacing w:after="0"/>
              <w:rPr>
                <w:sz w:val="15"/>
                <w:szCs w:val="15"/>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478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12,010</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7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right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Nth Degree Investment</w:t>
            </w:r>
          </w:p>
        </w:tc>
        <w:tc>
          <w:tcPr>
            <w:tcW w:w="60" w:type="dxa"/>
            <w:vAlign w:val="bottom"/>
          </w:tcPr>
          <w:p>
            <w:pPr>
              <w:spacing w:after="0"/>
              <w:rPr>
                <w:sz w:val="15"/>
                <w:szCs w:val="15"/>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w w:val="97"/>
              </w:rPr>
              <w:t>Membership Units (6,088,000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400" w:type="dxa"/>
            <w:vAlign w:val="bottom"/>
            <w:gridSpan w:val="3"/>
          </w:tcPr>
          <w:p>
            <w:pPr>
              <w:ind w:left="20"/>
              <w:spacing w:after="0"/>
              <w:rPr>
                <w:sz w:val="20"/>
                <w:szCs w:val="20"/>
                <w:color w:val="auto"/>
              </w:rPr>
            </w:pPr>
            <w:r>
              <w:rPr>
                <w:rFonts w:ascii="Arial" w:cs="Arial" w:eastAsia="Arial" w:hAnsi="Arial"/>
                <w:sz w:val="13"/>
                <w:szCs w:val="13"/>
                <w:color w:val="auto"/>
              </w:rPr>
              <w:t>Group, LLC</w:t>
            </w:r>
          </w:p>
        </w:tc>
        <w:tc>
          <w:tcPr>
            <w:tcW w:w="60" w:type="dxa"/>
            <w:vAlign w:val="bottom"/>
          </w:tcPr>
          <w:p>
            <w:pPr>
              <w:spacing w:after="0"/>
              <w:rPr>
                <w:sz w:val="14"/>
                <w:szCs w:val="14"/>
                <w:color w:val="auto"/>
              </w:rPr>
            </w:pPr>
          </w:p>
        </w:tc>
        <w:tc>
          <w:tcPr>
            <w:tcW w:w="1700" w:type="dxa"/>
            <w:vAlign w:val="bottom"/>
          </w:tcPr>
          <w:p>
            <w:pPr>
              <w:ind w:left="20"/>
              <w:spacing w:after="0"/>
              <w:rPr>
                <w:sz w:val="20"/>
                <w:szCs w:val="20"/>
                <w:color w:val="auto"/>
              </w:rPr>
            </w:pPr>
            <w:r>
              <w:rPr>
                <w:rFonts w:ascii="Arial" w:cs="Arial" w:eastAsia="Arial" w:hAnsi="Arial"/>
                <w:sz w:val="13"/>
                <w:szCs w:val="13"/>
                <w:color w:val="auto"/>
              </w:rPr>
              <w:t>Units)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-4891405</wp:posOffset>
            </wp:positionV>
            <wp:extent cx="7747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-4891405</wp:posOffset>
            </wp:positionV>
            <wp:extent cx="7747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-4891405</wp:posOffset>
            </wp:positionV>
            <wp:extent cx="76835"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-4891405</wp:posOffset>
            </wp:positionV>
            <wp:extent cx="7747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-4891405</wp:posOffset>
            </wp:positionV>
            <wp:extent cx="60325"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-4891405</wp:posOffset>
            </wp:positionV>
            <wp:extent cx="6858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-4891405</wp:posOffset>
            </wp:positionV>
            <wp:extent cx="26035"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-4642485</wp:posOffset>
            </wp:positionV>
            <wp:extent cx="7747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-4642485</wp:posOffset>
            </wp:positionV>
            <wp:extent cx="7747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-4642485</wp:posOffset>
            </wp:positionV>
            <wp:extent cx="7683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-4642485</wp:posOffset>
            </wp:positionV>
            <wp:extent cx="7747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-4642485</wp:posOffset>
            </wp:positionV>
            <wp:extent cx="60325"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-4642485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-4642485</wp:posOffset>
            </wp:positionV>
            <wp:extent cx="26035"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-3845560</wp:posOffset>
            </wp:positionV>
            <wp:extent cx="7747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-3845560</wp:posOffset>
            </wp:positionV>
            <wp:extent cx="7747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-3845560</wp:posOffset>
            </wp:positionV>
            <wp:extent cx="7683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-3845560</wp:posOffset>
            </wp:positionV>
            <wp:extent cx="431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-3845560</wp:posOffset>
            </wp:positionV>
            <wp:extent cx="6032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-3845560</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-3845560</wp:posOffset>
            </wp:positionV>
            <wp:extent cx="2603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-3150870</wp:posOffset>
            </wp:positionV>
            <wp:extent cx="7747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-3150870</wp:posOffset>
            </wp:positionV>
            <wp:extent cx="7747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-3150870</wp:posOffset>
            </wp:positionV>
            <wp:extent cx="76835"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-3150870</wp:posOffset>
            </wp:positionV>
            <wp:extent cx="7747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-3150870</wp:posOffset>
            </wp:positionV>
            <wp:extent cx="60325"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-3150870</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-3150870</wp:posOffset>
            </wp:positionV>
            <wp:extent cx="26035"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-2559685</wp:posOffset>
            </wp:positionV>
            <wp:extent cx="7747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-2559685</wp:posOffset>
            </wp:positionV>
            <wp:extent cx="7747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-2559685</wp:posOffset>
            </wp:positionV>
            <wp:extent cx="76835"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-2559685</wp:posOffset>
            </wp:positionV>
            <wp:extent cx="7747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-2559685</wp:posOffset>
            </wp:positionV>
            <wp:extent cx="60325"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-2559685</wp:posOffset>
            </wp:positionV>
            <wp:extent cx="6858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-2559685</wp:posOffset>
            </wp:positionV>
            <wp:extent cx="2603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-1419225</wp:posOffset>
            </wp:positionV>
            <wp:extent cx="7747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-1419225</wp:posOffset>
            </wp:positionV>
            <wp:extent cx="7747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-1419225</wp:posOffset>
            </wp:positionV>
            <wp:extent cx="7683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-1419225</wp:posOffset>
            </wp:positionV>
            <wp:extent cx="7747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-1419225</wp:posOffset>
            </wp:positionV>
            <wp:extent cx="60325"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-1419225</wp:posOffset>
            </wp:positionV>
            <wp:extent cx="6858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-1419225</wp:posOffset>
            </wp:positionV>
            <wp:extent cx="2603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-476250</wp:posOffset>
            </wp:positionV>
            <wp:extent cx="7747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-476250</wp:posOffset>
            </wp:positionV>
            <wp:extent cx="7747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-476250</wp:posOffset>
            </wp:positionV>
            <wp:extent cx="76835"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-476250</wp:posOffset>
            </wp:positionV>
            <wp:extent cx="7747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-476250</wp:posOffset>
            </wp:positionV>
            <wp:extent cx="60325"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-476250</wp:posOffset>
            </wp:positionV>
            <wp:extent cx="6858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-476250</wp:posOffset>
            </wp:positionV>
            <wp:extent cx="26035"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8"/>
        </w:trPr>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1040" w:type="dxa"/>
            <w:vAlign w:val="bottom"/>
            <w:tcBorders>
              <w:top w:val="single" w:sz="8" w:color="CFF0FC"/>
              <w:bottom w:val="single" w:sz="8" w:color="CFF0FC"/>
            </w:tcBorders>
            <w:shd w:val="clear" w:color="auto" w:fill="CFF0FC"/>
          </w:tcPr>
          <w:p>
            <w:pPr>
              <w:spacing w:after="0"/>
              <w:rPr>
                <w:sz w:val="16"/>
                <w:szCs w:val="16"/>
                <w:color w:val="auto"/>
              </w:rPr>
            </w:pPr>
          </w:p>
        </w:tc>
        <w:tc>
          <w:tcPr>
            <w:tcW w:w="300" w:type="dxa"/>
            <w:vAlign w:val="bottom"/>
            <w:tcBorders>
              <w:top w:val="single" w:sz="8" w:color="CFF0FC"/>
              <w:bottom w:val="single" w:sz="8" w:color="CFF0FC"/>
            </w:tcBorders>
            <w:shd w:val="clear" w:color="auto" w:fill="CFF0FC"/>
          </w:tcPr>
          <w:p>
            <w:pPr>
              <w:spacing w:after="0"/>
              <w:rPr>
                <w:sz w:val="16"/>
                <w:szCs w:val="16"/>
                <w:color w:val="auto"/>
              </w:rPr>
            </w:pPr>
          </w:p>
        </w:tc>
        <w:tc>
          <w:tcPr>
            <w:tcW w:w="20" w:type="dxa"/>
            <w:vAlign w:val="bottom"/>
            <w:tcBorders>
              <w:top w:val="single" w:sz="8" w:color="CFF0FC"/>
              <w:bottom w:val="single" w:sz="8" w:color="CFF0FC"/>
            </w:tcBorders>
            <w:shd w:val="clear" w:color="auto" w:fill="CFF0FC"/>
          </w:tcPr>
          <w:p>
            <w:pPr>
              <w:spacing w:after="0"/>
              <w:rPr>
                <w:sz w:val="16"/>
                <w:szCs w:val="16"/>
                <w:color w:val="auto"/>
              </w:rPr>
            </w:pPr>
          </w:p>
        </w:tc>
        <w:tc>
          <w:tcPr>
            <w:tcW w:w="40" w:type="dxa"/>
            <w:vAlign w:val="bottom"/>
            <w:tcBorders>
              <w:top w:val="single" w:sz="8" w:color="CFF0FC"/>
              <w:bottom w:val="single" w:sz="8" w:color="CFF0FC"/>
            </w:tcBorders>
            <w:shd w:val="clear" w:color="auto" w:fill="CFF0FC"/>
          </w:tcPr>
          <w:p>
            <w:pPr>
              <w:spacing w:after="0"/>
              <w:rPr>
                <w:sz w:val="16"/>
                <w:szCs w:val="16"/>
                <w:color w:val="auto"/>
              </w:rPr>
            </w:pPr>
          </w:p>
        </w:tc>
        <w:tc>
          <w:tcPr>
            <w:tcW w:w="2000" w:type="dxa"/>
            <w:vAlign w:val="bottom"/>
            <w:tcBorders>
              <w:top w:val="single" w:sz="8" w:color="CFF0FC"/>
              <w:bottom w:val="single" w:sz="8" w:color="CFF0FC"/>
            </w:tcBorders>
            <w:shd w:val="clear" w:color="auto" w:fill="CFF0FC"/>
          </w:tcPr>
          <w:p>
            <w:pPr>
              <w:spacing w:after="0"/>
              <w:rPr>
                <w:sz w:val="16"/>
                <w:szCs w:val="16"/>
                <w:color w:val="auto"/>
              </w:rPr>
            </w:pPr>
          </w:p>
        </w:tc>
        <w:tc>
          <w:tcPr>
            <w:tcW w:w="7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700" w:type="dxa"/>
            <w:vAlign w:val="bottom"/>
            <w:tcBorders>
              <w:top w:val="single" w:sz="8" w:color="auto"/>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shd w:val="clear" w:color="auto" w:fill="CFF0FC"/>
          </w:tcPr>
          <w:p>
            <w:pPr>
              <w:spacing w:after="0"/>
              <w:rPr>
                <w:sz w:val="16"/>
                <w:szCs w:val="16"/>
                <w:color w:val="auto"/>
              </w:rPr>
            </w:pPr>
          </w:p>
        </w:tc>
        <w:tc>
          <w:tcPr>
            <w:tcW w:w="6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auto"/>
            </w:tcBorders>
            <w:shd w:val="clear" w:color="auto" w:fill="CFF0FC"/>
          </w:tcPr>
          <w:p>
            <w:pPr>
              <w:spacing w:after="0"/>
              <w:rPr>
                <w:sz w:val="16"/>
                <w:szCs w:val="16"/>
                <w:color w:val="auto"/>
              </w:rPr>
            </w:pPr>
          </w:p>
        </w:tc>
        <w:tc>
          <w:tcPr>
            <w:tcW w:w="600" w:type="dxa"/>
            <w:vAlign w:val="bottom"/>
            <w:tcBorders>
              <w:top w:val="single" w:sz="8" w:color="auto"/>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720" w:type="dxa"/>
            <w:vAlign w:val="bottom"/>
            <w:tcBorders>
              <w:top w:val="single" w:sz="8" w:color="auto"/>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shd w:val="clear" w:color="auto" w:fill="CFF0FC"/>
          </w:tcPr>
          <w:p>
            <w:pPr>
              <w:spacing w:after="0"/>
              <w:rPr>
                <w:sz w:val="16"/>
                <w:szCs w:val="16"/>
                <w:color w:val="auto"/>
              </w:rPr>
            </w:pPr>
          </w:p>
        </w:tc>
        <w:tc>
          <w:tcPr>
            <w:tcW w:w="580" w:type="dxa"/>
            <w:vAlign w:val="bottom"/>
            <w:tcBorders>
              <w:top w:val="single" w:sz="8" w:color="auto"/>
              <w:bottom w:val="single" w:sz="8" w:color="auto"/>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shd w:val="clear" w:color="auto" w:fill="CFF0FC"/>
          </w:tcPr>
          <w:p>
            <w:pPr>
              <w:spacing w:after="0"/>
              <w:rPr>
                <w:sz w:val="16"/>
                <w:szCs w:val="16"/>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auto"/>
            </w:tcBorders>
            <w:shd w:val="clear" w:color="auto" w:fill="CFF0FC"/>
          </w:tcPr>
          <w:p>
            <w:pPr>
              <w:spacing w:after="0"/>
              <w:rPr>
                <w:sz w:val="16"/>
                <w:szCs w:val="16"/>
                <w:color w:val="auto"/>
              </w:rPr>
            </w:pPr>
          </w:p>
        </w:tc>
        <w:tc>
          <w:tcPr>
            <w:tcW w:w="6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First Lien Debt (6.5% Cash (1</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month LIBOR + 5.0%), 1.5%</w:t>
            </w:r>
          </w:p>
        </w:tc>
        <w:tc>
          <w:tcPr>
            <w:tcW w:w="7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RAM Payment, LLC</w:t>
            </w: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Due 1/4/24)</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2,035</w:t>
            </w: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102</w:t>
            </w: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2,451</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(940 )</w:t>
            </w: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1,513</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First Lien Debt (9.8% Cash,</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20" w:type="dxa"/>
            <w:vAlign w:val="bottom"/>
            <w:gridSpan w:val="5"/>
          </w:tcPr>
          <w:p>
            <w:pPr>
              <w:ind w:left="20"/>
              <w:spacing w:after="0"/>
              <w:rPr>
                <w:sz w:val="20"/>
                <w:szCs w:val="20"/>
                <w:color w:val="auto"/>
              </w:rPr>
            </w:pPr>
            <w:r>
              <w:rPr>
                <w:rFonts w:ascii="Arial" w:cs="Arial" w:eastAsia="Arial" w:hAnsi="Arial"/>
                <w:sz w:val="13"/>
                <w:szCs w:val="13"/>
                <w:color w:val="auto"/>
              </w:rPr>
              <w:t>RAM Payment, LLC</w:t>
            </w:r>
          </w:p>
        </w:tc>
        <w:tc>
          <w:tcPr>
            <w:tcW w:w="2000" w:type="dxa"/>
            <w:vAlign w:val="bottom"/>
          </w:tcPr>
          <w:p>
            <w:pPr>
              <w:ind w:left="60"/>
              <w:spacing w:after="0"/>
              <w:rPr>
                <w:sz w:val="20"/>
                <w:szCs w:val="20"/>
                <w:color w:val="auto"/>
              </w:rPr>
            </w:pPr>
            <w:r>
              <w:rPr>
                <w:rFonts w:ascii="Arial" w:cs="Arial" w:eastAsia="Arial" w:hAnsi="Arial"/>
                <w:sz w:val="13"/>
                <w:szCs w:val="13"/>
                <w:color w:val="auto"/>
              </w:rPr>
              <w:t>Due 1/4/24)</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5,516</w:t>
            </w:r>
          </w:p>
        </w:tc>
        <w:tc>
          <w:tcPr>
            <w:tcW w:w="3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417</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6,646</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(2,544 )</w:t>
            </w:r>
          </w:p>
        </w:tc>
        <w:tc>
          <w:tcPr>
            <w:tcW w:w="28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4,101</w:t>
            </w:r>
          </w:p>
        </w:tc>
        <w:tc>
          <w:tcPr>
            <w:tcW w:w="0" w:type="dxa"/>
            <w:vAlign w:val="bottom"/>
          </w:tcPr>
          <w:p>
            <w:pPr>
              <w:spacing w:after="0"/>
              <w:rPr>
                <w:sz w:val="1"/>
                <w:szCs w:val="1"/>
                <w:color w:val="auto"/>
              </w:rPr>
            </w:pPr>
          </w:p>
        </w:tc>
      </w:tr>
      <w:tr>
        <w:trPr>
          <w:trHeight w:val="181"/>
        </w:trPr>
        <w:tc>
          <w:tcPr>
            <w:tcW w:w="1420" w:type="dxa"/>
            <w:vAlign w:val="bottom"/>
            <w:gridSpan w:val="5"/>
            <w:vMerge w:val="restart"/>
            <w:shd w:val="clear" w:color="auto" w:fill="CFF0FC"/>
          </w:tcPr>
          <w:p>
            <w:pPr>
              <w:ind w:left="20"/>
              <w:spacing w:after="0"/>
              <w:rPr>
                <w:sz w:val="20"/>
                <w:szCs w:val="20"/>
                <w:color w:val="auto"/>
              </w:rPr>
            </w:pPr>
            <w:r>
              <w:rPr>
                <w:rFonts w:ascii="Arial" w:cs="Arial" w:eastAsia="Arial" w:hAnsi="Arial"/>
                <w:sz w:val="13"/>
                <w:szCs w:val="13"/>
                <w:color w:val="auto"/>
              </w:rPr>
              <w:t xml:space="preserve">RAM Payment, LLC </w:t>
            </w:r>
            <w:r>
              <w:rPr>
                <w:rFonts w:ascii="Arial" w:cs="Arial" w:eastAsia="Arial" w:hAnsi="Arial"/>
                <w:sz w:val="16"/>
                <w:szCs w:val="16"/>
                <w:color w:val="auto"/>
                <w:vertAlign w:val="superscript"/>
              </w:rPr>
              <w:t>(5)</w:t>
            </w: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Preferred Units (86,000 units,</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106</w:t>
            </w: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2,874</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51</w:t>
            </w: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636</w:t>
            </w: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3,561</w:t>
            </w:r>
          </w:p>
        </w:tc>
        <w:tc>
          <w:tcPr>
            <w:tcW w:w="0" w:type="dxa"/>
            <w:vAlign w:val="bottom"/>
          </w:tcPr>
          <w:p>
            <w:pPr>
              <w:spacing w:after="0"/>
              <w:rPr>
                <w:sz w:val="1"/>
                <w:szCs w:val="1"/>
                <w:color w:val="auto"/>
              </w:rPr>
            </w:pPr>
          </w:p>
        </w:tc>
      </w:tr>
      <w:tr>
        <w:trPr>
          <w:trHeight w:val="164"/>
        </w:trPr>
        <w:tc>
          <w:tcPr>
            <w:tcW w:w="1420" w:type="dxa"/>
            <w:vAlign w:val="bottom"/>
            <w:tcBorders>
              <w:bottom w:val="single" w:sz="8" w:color="CFF0FC"/>
            </w:tcBorders>
            <w:gridSpan w:val="5"/>
            <w:vMerge w:val="continue"/>
            <w:shd w:val="clear" w:color="auto" w:fill="CFF0FC"/>
          </w:tcPr>
          <w:p>
            <w:pPr>
              <w:spacing w:after="0"/>
              <w:rPr>
                <w:sz w:val="14"/>
                <w:szCs w:val="14"/>
                <w:color w:val="auto"/>
              </w:rPr>
            </w:pPr>
          </w:p>
        </w:tc>
        <w:tc>
          <w:tcPr>
            <w:tcW w:w="200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8.0% PIK Dividend)</w:t>
            </w:r>
          </w:p>
        </w:tc>
        <w:tc>
          <w:tcPr>
            <w:tcW w:w="78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625</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11,971</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51</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(3,484 )</w:t>
            </w:r>
          </w:p>
        </w:tc>
        <w:tc>
          <w:tcPr>
            <w:tcW w:w="28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637</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9,175</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right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420" w:type="dxa"/>
            <w:vAlign w:val="bottom"/>
            <w:gridSpan w:val="5"/>
          </w:tcPr>
          <w:p>
            <w:pPr>
              <w:ind w:left="20"/>
              <w:spacing w:after="0"/>
              <w:rPr>
                <w:sz w:val="20"/>
                <w:szCs w:val="20"/>
                <w:color w:val="auto"/>
              </w:rPr>
            </w:pPr>
            <w:r>
              <w:rPr>
                <w:rFonts w:ascii="Arial" w:cs="Arial" w:eastAsia="Arial" w:hAnsi="Arial"/>
                <w:sz w:val="13"/>
                <w:szCs w:val="13"/>
                <w:color w:val="auto"/>
                <w:w w:val="95"/>
              </w:rPr>
              <w:t>Sierra Hamilton Holdings</w:t>
            </w:r>
          </w:p>
        </w:tc>
        <w:tc>
          <w:tcPr>
            <w:tcW w:w="2000" w:type="dxa"/>
            <w:vAlign w:val="bottom"/>
          </w:tcPr>
          <w:p>
            <w:pPr>
              <w:ind w:left="60"/>
              <w:spacing w:after="0"/>
              <w:rPr>
                <w:sz w:val="20"/>
                <w:szCs w:val="20"/>
                <w:color w:val="auto"/>
              </w:rPr>
            </w:pPr>
            <w:r>
              <w:rPr>
                <w:rFonts w:ascii="Arial" w:cs="Arial" w:eastAsia="Arial" w:hAnsi="Arial"/>
                <w:sz w:val="13"/>
                <w:szCs w:val="13"/>
                <w:color w:val="auto"/>
              </w:rPr>
              <w:t>Second Lien Debt (15.0%, Due</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420" w:type="dxa"/>
            <w:vAlign w:val="bottom"/>
            <w:gridSpan w:val="5"/>
          </w:tcPr>
          <w:p>
            <w:pPr>
              <w:ind w:left="20"/>
              <w:spacing w:after="0"/>
              <w:rPr>
                <w:sz w:val="20"/>
                <w:szCs w:val="20"/>
                <w:color w:val="auto"/>
              </w:rPr>
            </w:pPr>
            <w:r>
              <w:rPr>
                <w:rFonts w:ascii="Arial" w:cs="Arial" w:eastAsia="Arial" w:hAnsi="Arial"/>
                <w:sz w:val="13"/>
                <w:szCs w:val="13"/>
                <w:color w:val="auto"/>
              </w:rPr>
              <w:t>Corporation</w:t>
            </w:r>
          </w:p>
        </w:tc>
        <w:tc>
          <w:tcPr>
            <w:tcW w:w="2000" w:type="dxa"/>
            <w:vAlign w:val="bottom"/>
          </w:tcPr>
          <w:p>
            <w:pPr>
              <w:ind w:left="60"/>
              <w:spacing w:after="0"/>
              <w:rPr>
                <w:sz w:val="20"/>
                <w:szCs w:val="20"/>
                <w:color w:val="auto"/>
              </w:rPr>
            </w:pPr>
            <w:r>
              <w:rPr>
                <w:rFonts w:ascii="Arial" w:cs="Arial" w:eastAsia="Arial" w:hAnsi="Arial"/>
                <w:sz w:val="13"/>
                <w:szCs w:val="13"/>
                <w:color w:val="auto"/>
              </w:rPr>
              <w:t>9/12/23)</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36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441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(450 )</w:t>
            </w:r>
          </w:p>
        </w:tc>
        <w:tc>
          <w:tcPr>
            <w:tcW w:w="28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81"/>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w w:val="95"/>
              </w:rPr>
              <w:t>Sierra Hamilton Holdings</w:t>
            </w: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Common Stock (15,068,000</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977</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7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(36 )</w:t>
            </w: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941</w:t>
            </w:r>
          </w:p>
        </w:tc>
        <w:tc>
          <w:tcPr>
            <w:tcW w:w="0" w:type="dxa"/>
            <w:vAlign w:val="bottom"/>
          </w:tcPr>
          <w:p>
            <w:pPr>
              <w:spacing w:after="0"/>
              <w:rPr>
                <w:sz w:val="1"/>
                <w:szCs w:val="1"/>
                <w:color w:val="auto"/>
              </w:rPr>
            </w:pPr>
          </w:p>
        </w:tc>
      </w:tr>
      <w:tr>
        <w:trPr>
          <w:trHeight w:val="163"/>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Corporation</w:t>
            </w: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shares)</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4"/>
                <w:szCs w:val="14"/>
                <w:color w:val="auto"/>
              </w:rPr>
            </w:pPr>
          </w:p>
        </w:tc>
        <w:tc>
          <w:tcPr>
            <w:tcW w:w="700" w:type="dxa"/>
            <w:vAlign w:val="bottom"/>
            <w:tcBorders>
              <w:right w:val="single" w:sz="8" w:color="CFF0FC"/>
            </w:tcBorders>
            <w:vMerge w:val="continue"/>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tcBorders>
              <w:right w:val="single" w:sz="8" w:color="CFF0FC"/>
            </w:tcBorders>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tcBorders>
              <w:right w:val="single" w:sz="8" w:color="CFF0FC"/>
            </w:tcBorders>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tcBorders>
              <w:right w:val="single" w:sz="8" w:color="CFF0FC"/>
            </w:tcBorders>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tcBorders>
              <w:right w:val="single" w:sz="8" w:color="CFF0FC"/>
            </w:tcBorders>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740" w:type="dxa"/>
            <w:vAlign w:val="bottom"/>
            <w:gridSpan w:val="2"/>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tcBorders>
              <w:right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000" w:type="dxa"/>
            <w:vAlign w:val="bottom"/>
            <w:shd w:val="clear" w:color="auto" w:fill="CFF0FC"/>
          </w:tcPr>
          <w:p>
            <w:pPr>
              <w:spacing w:after="0" w:line="20" w:lineRule="exact"/>
              <w:rPr>
                <w:sz w:val="1"/>
                <w:szCs w:val="1"/>
                <w:color w:val="auto"/>
              </w:rPr>
            </w:pPr>
          </w:p>
        </w:tc>
        <w:tc>
          <w:tcPr>
            <w:tcW w:w="7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tcBorders>
              <w:right w:val="single" w:sz="8" w:color="CFF0FC"/>
            </w:tcBorders>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Borders>
              <w:right w:val="single" w:sz="8" w:color="CFF0FC"/>
            </w:tcBorders>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108</w:t>
            </w:r>
          </w:p>
        </w:tc>
        <w:tc>
          <w:tcPr>
            <w:tcW w:w="3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12</w:t>
            </w:r>
          </w:p>
        </w:tc>
        <w:tc>
          <w:tcPr>
            <w:tcW w:w="2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(450 )</w:t>
            </w:r>
          </w:p>
        </w:tc>
        <w:tc>
          <w:tcPr>
            <w:tcW w:w="280" w:type="dxa"/>
            <w:vAlign w:val="bottom"/>
          </w:tcPr>
          <w:p>
            <w:pPr>
              <w:spacing w:after="0"/>
              <w:rPr>
                <w:sz w:val="15"/>
                <w:szCs w:val="15"/>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(36 )</w:t>
            </w:r>
          </w:p>
        </w:tc>
        <w:tc>
          <w:tcPr>
            <w:tcW w:w="3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944</w:t>
            </w: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right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right w:val="single" w:sz="8" w:color="CFF0FC"/>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6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right w:val="single" w:sz="8" w:color="CFF0FC"/>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right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right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420" w:type="dxa"/>
            <w:vAlign w:val="bottom"/>
            <w:gridSpan w:val="5"/>
          </w:tcPr>
          <w:p>
            <w:pPr>
              <w:ind w:left="20"/>
              <w:spacing w:after="0"/>
              <w:rPr>
                <w:sz w:val="20"/>
                <w:szCs w:val="20"/>
                <w:color w:val="auto"/>
              </w:rPr>
            </w:pPr>
            <w:r>
              <w:rPr>
                <w:rFonts w:ascii="Arial" w:cs="Arial" w:eastAsia="Arial" w:hAnsi="Arial"/>
                <w:sz w:val="13"/>
                <w:szCs w:val="13"/>
                <w:color w:val="auto"/>
              </w:rPr>
              <w:t>V12 Holdings, Inc.</w:t>
            </w:r>
          </w:p>
        </w:tc>
        <w:tc>
          <w:tcPr>
            <w:tcW w:w="2000" w:type="dxa"/>
            <w:vAlign w:val="bottom"/>
          </w:tcPr>
          <w:p>
            <w:pPr>
              <w:ind w:left="60"/>
              <w:spacing w:after="0"/>
              <w:rPr>
                <w:sz w:val="20"/>
                <w:szCs w:val="20"/>
                <w:color w:val="auto"/>
              </w:rPr>
            </w:pPr>
            <w:r>
              <w:rPr>
                <w:rFonts w:ascii="Arial" w:cs="Arial" w:eastAsia="Arial" w:hAnsi="Arial"/>
                <w:sz w:val="13"/>
                <w:szCs w:val="13"/>
                <w:color w:val="auto"/>
              </w:rPr>
              <w:t>Second Lien Debt</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490</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77"/>
        </w:trPr>
        <w:tc>
          <w:tcPr>
            <w:tcW w:w="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CFF0FC"/>
            </w:tcBorders>
            <w:shd w:val="clear" w:color="auto" w:fill="CFF0FC"/>
          </w:tcPr>
          <w:p>
            <w:pPr>
              <w:spacing w:after="0"/>
              <w:rPr>
                <w:sz w:val="15"/>
                <w:szCs w:val="15"/>
                <w:color w:val="auto"/>
              </w:rPr>
            </w:pPr>
          </w:p>
        </w:tc>
        <w:tc>
          <w:tcPr>
            <w:tcW w:w="20" w:type="dxa"/>
            <w:vAlign w:val="bottom"/>
            <w:tcBorders>
              <w:bottom w:val="single" w:sz="8" w:color="CFF0FC"/>
            </w:tcBorders>
            <w:shd w:val="clear" w:color="auto" w:fill="CFF0FC"/>
          </w:tcPr>
          <w:p>
            <w:pPr>
              <w:spacing w:after="0"/>
              <w:rPr>
                <w:sz w:val="15"/>
                <w:szCs w:val="15"/>
                <w:color w:val="auto"/>
              </w:rPr>
            </w:pPr>
          </w:p>
        </w:tc>
        <w:tc>
          <w:tcPr>
            <w:tcW w:w="40" w:type="dxa"/>
            <w:vAlign w:val="bottom"/>
            <w:tcBorders>
              <w:bottom w:val="single" w:sz="8" w:color="CFF0FC"/>
            </w:tcBorders>
            <w:shd w:val="clear" w:color="auto" w:fill="CFF0FC"/>
          </w:tcPr>
          <w:p>
            <w:pPr>
              <w:spacing w:after="0"/>
              <w:rPr>
                <w:sz w:val="15"/>
                <w:szCs w:val="15"/>
                <w:color w:val="auto"/>
              </w:rPr>
            </w:pPr>
          </w:p>
        </w:tc>
        <w:tc>
          <w:tcPr>
            <w:tcW w:w="20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509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w w:val="85"/>
              </w:rPr>
              <w:t>Total Affiliate investments</w:t>
            </w:r>
          </w:p>
        </w:tc>
        <w:tc>
          <w:tcPr>
            <w:tcW w:w="20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4,042</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93,425</w:t>
            </w:r>
          </w:p>
        </w:tc>
        <w:tc>
          <w:tcPr>
            <w:tcW w:w="440" w:type="dxa"/>
            <w:vAlign w:val="bottom"/>
            <w:gridSpan w:val="2"/>
            <w:shd w:val="clear" w:color="auto" w:fill="CFF0FC"/>
          </w:tcPr>
          <w:p>
            <w:pPr>
              <w:jc w:val="right"/>
              <w:ind w:right="248"/>
              <w:spacing w:after="0"/>
              <w:rPr>
                <w:sz w:val="20"/>
                <w:szCs w:val="20"/>
                <w:color w:val="auto"/>
              </w:rPr>
            </w:pPr>
            <w:r>
              <w:rPr>
                <w:rFonts w:ascii="Arial" w:cs="Arial" w:eastAsia="Arial" w:hAnsi="Arial"/>
                <w:sz w:val="13"/>
                <w:szCs w:val="13"/>
                <w:color w:val="auto"/>
              </w:rPr>
              <w:t>$</w:t>
            </w:r>
          </w:p>
        </w:tc>
        <w:tc>
          <w:tcPr>
            <w:tcW w:w="6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395</w:t>
            </w:r>
          </w:p>
        </w:tc>
        <w:tc>
          <w:tcPr>
            <w:tcW w:w="28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(20,246 )</w:t>
            </w:r>
          </w:p>
        </w:tc>
        <w:tc>
          <w:tcPr>
            <w:tcW w:w="28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2,215</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1,190</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76,979</w:t>
            </w:r>
          </w:p>
        </w:tc>
        <w:tc>
          <w:tcPr>
            <w:tcW w:w="0" w:type="dxa"/>
            <w:vAlign w:val="bottom"/>
          </w:tcPr>
          <w:p>
            <w:pPr>
              <w:spacing w:after="0"/>
              <w:rPr>
                <w:sz w:val="1"/>
                <w:szCs w:val="1"/>
                <w:color w:val="auto"/>
              </w:rPr>
            </w:pPr>
          </w:p>
        </w:tc>
      </w:tr>
      <w:tr>
        <w:trPr>
          <w:trHeight w:val="170"/>
        </w:trPr>
        <w:tc>
          <w:tcPr>
            <w:tcW w:w="2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CFF0FC"/>
            </w:tcBorders>
          </w:tcPr>
          <w:p>
            <w:pPr>
              <w:spacing w:after="0"/>
              <w:rPr>
                <w:sz w:val="14"/>
                <w:szCs w:val="14"/>
                <w:color w:val="auto"/>
              </w:rPr>
            </w:pPr>
          </w:p>
        </w:tc>
        <w:tc>
          <w:tcPr>
            <w:tcW w:w="2000" w:type="dxa"/>
            <w:vAlign w:val="bottom"/>
            <w:tcBorders>
              <w:top w:val="single" w:sz="8" w:color="CFF0FC"/>
            </w:tcBorders>
          </w:tcPr>
          <w:p>
            <w:pPr>
              <w:spacing w:after="0"/>
              <w:rPr>
                <w:sz w:val="14"/>
                <w:szCs w:val="14"/>
                <w:color w:val="auto"/>
              </w:rPr>
            </w:pPr>
          </w:p>
        </w:tc>
        <w:tc>
          <w:tcPr>
            <w:tcW w:w="7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b w:val="1"/>
                <w:bCs w:val="1"/>
                <w:i w:val="1"/>
                <w:iCs w:val="1"/>
                <w:color w:val="auto"/>
              </w:rPr>
              <w:t>Control investments</w:t>
            </w:r>
          </w:p>
        </w:tc>
        <w:tc>
          <w:tcPr>
            <w:tcW w:w="20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66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580" w:type="dxa"/>
            <w:vAlign w:val="bottom"/>
            <w:tcBorders>
              <w:right w:val="single" w:sz="8" w:color="CFF0FC"/>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68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FF0F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2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2000" w:type="dxa"/>
            <w:vAlign w:val="bottom"/>
            <w:tcBorders>
              <w:top w:val="single" w:sz="8" w:color="CFF0FC"/>
            </w:tcBorders>
          </w:tcPr>
          <w:p>
            <w:pPr>
              <w:ind w:left="60"/>
              <w:spacing w:after="0"/>
              <w:rPr>
                <w:sz w:val="20"/>
                <w:szCs w:val="20"/>
                <w:color w:val="auto"/>
              </w:rPr>
            </w:pPr>
            <w:r>
              <w:rPr>
                <w:rFonts w:ascii="Arial" w:cs="Arial" w:eastAsia="Arial" w:hAnsi="Arial"/>
                <w:sz w:val="13"/>
                <w:szCs w:val="13"/>
                <w:color w:val="auto"/>
              </w:rPr>
              <w:t>First Lien Debt (10.5% Cash (1</w:t>
            </w:r>
          </w:p>
        </w:tc>
        <w:tc>
          <w:tcPr>
            <w:tcW w:w="780" w:type="dxa"/>
            <w:vAlign w:val="bottom"/>
            <w:tcBorders>
              <w:top w:val="single" w:sz="8" w:color="CFF0FC"/>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700" w:type="dxa"/>
            <w:vAlign w:val="bottom"/>
            <w:tcBorders>
              <w:top w:val="single" w:sz="8" w:color="CFF0FC"/>
            </w:tcBorders>
          </w:tcPr>
          <w:p>
            <w:pPr>
              <w:spacing w:after="0"/>
              <w:rPr>
                <w:sz w:val="15"/>
                <w:szCs w:val="15"/>
                <w:color w:val="auto"/>
              </w:rPr>
            </w:pPr>
          </w:p>
        </w:tc>
        <w:tc>
          <w:tcPr>
            <w:tcW w:w="32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36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720" w:type="dxa"/>
            <w:vAlign w:val="bottom"/>
            <w:tcBorders>
              <w:top w:val="single" w:sz="8" w:color="CFF0FC"/>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58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6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6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month LIBOR + 8.5%, 2.0%</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420" w:type="dxa"/>
            <w:vAlign w:val="bottom"/>
            <w:gridSpan w:val="5"/>
          </w:tcPr>
          <w:p>
            <w:pPr>
              <w:ind w:left="20"/>
              <w:spacing w:after="0"/>
              <w:rPr>
                <w:sz w:val="20"/>
                <w:szCs w:val="20"/>
                <w:color w:val="auto"/>
              </w:rPr>
            </w:pPr>
            <w:r>
              <w:rPr>
                <w:rFonts w:ascii="Arial" w:cs="Arial" w:eastAsia="Arial" w:hAnsi="Arial"/>
                <w:sz w:val="13"/>
                <w:szCs w:val="13"/>
                <w:color w:val="auto"/>
              </w:rPr>
              <w:t>Vology, Inc.</w:t>
            </w:r>
          </w:p>
        </w:tc>
        <w:tc>
          <w:tcPr>
            <w:tcW w:w="2000" w:type="dxa"/>
            <w:vAlign w:val="bottom"/>
          </w:tcPr>
          <w:p>
            <w:pPr>
              <w:ind w:left="60"/>
              <w:spacing w:after="0"/>
              <w:rPr>
                <w:sz w:val="20"/>
                <w:szCs w:val="20"/>
                <w:color w:val="auto"/>
              </w:rPr>
            </w:pPr>
            <w:r>
              <w:rPr>
                <w:rFonts w:ascii="Arial" w:cs="Arial" w:eastAsia="Arial" w:hAnsi="Arial"/>
                <w:sz w:val="13"/>
                <w:szCs w:val="13"/>
                <w:color w:val="auto"/>
              </w:rPr>
              <w:t>Floor), Due 12/31/21)</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3,586</w:t>
            </w:r>
          </w:p>
        </w:tc>
        <w:tc>
          <w:tcPr>
            <w:tcW w:w="360" w:type="dxa"/>
            <w:vAlign w:val="bottom"/>
          </w:tcPr>
          <w:p>
            <w:pPr>
              <w:jc w:val="right"/>
              <w:ind w:right="248"/>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293</w:t>
            </w:r>
          </w:p>
        </w:tc>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3,732</w:t>
            </w:r>
          </w:p>
        </w:tc>
        <w:tc>
          <w:tcPr>
            <w:tcW w:w="440" w:type="dxa"/>
            <w:vAlign w:val="bottom"/>
            <w:gridSpan w:val="2"/>
          </w:tcPr>
          <w:p>
            <w:pPr>
              <w:jc w:val="right"/>
              <w:ind w:right="248"/>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(146 )</w:t>
            </w:r>
          </w:p>
        </w:tc>
        <w:tc>
          <w:tcPr>
            <w:tcW w:w="280" w:type="dxa"/>
            <w:vAlign w:val="bottom"/>
          </w:tcPr>
          <w:p>
            <w:pPr>
              <w:jc w:val="right"/>
              <w:ind w:right="1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(21 )</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3,565</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Class A Preferred Units</w:t>
            </w: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420" w:type="dxa"/>
            <w:vAlign w:val="bottom"/>
            <w:gridSpan w:val="5"/>
            <w:shd w:val="clear" w:color="auto" w:fill="CFF0FC"/>
          </w:tcPr>
          <w:p>
            <w:pPr>
              <w:ind w:left="20"/>
              <w:spacing w:after="0"/>
              <w:rPr>
                <w:sz w:val="20"/>
                <w:szCs w:val="20"/>
                <w:color w:val="auto"/>
              </w:rPr>
            </w:pPr>
            <w:r>
              <w:rPr>
                <w:rFonts w:ascii="Arial" w:cs="Arial" w:eastAsia="Arial" w:hAnsi="Arial"/>
                <w:sz w:val="13"/>
                <w:szCs w:val="13"/>
                <w:color w:val="auto"/>
              </w:rPr>
              <w:t>Vology, Inc.</w:t>
            </w:r>
          </w:p>
        </w:tc>
        <w:tc>
          <w:tcPr>
            <w:tcW w:w="2000" w:type="dxa"/>
            <w:vAlign w:val="bottom"/>
            <w:shd w:val="clear" w:color="auto" w:fill="CFF0FC"/>
          </w:tcPr>
          <w:p>
            <w:pPr>
              <w:ind w:left="60"/>
              <w:spacing w:after="0"/>
              <w:rPr>
                <w:sz w:val="20"/>
                <w:szCs w:val="20"/>
                <w:color w:val="auto"/>
              </w:rPr>
            </w:pPr>
            <w:r>
              <w:rPr>
                <w:rFonts w:ascii="Arial" w:cs="Arial" w:eastAsia="Arial" w:hAnsi="Arial"/>
                <w:sz w:val="13"/>
                <w:szCs w:val="13"/>
                <w:color w:val="auto"/>
              </w:rPr>
              <w:t>(9,041,810 Units)</w:t>
            </w:r>
          </w:p>
        </w:tc>
        <w:tc>
          <w:tcPr>
            <w:tcW w:w="78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4,687</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(1,399 )</w:t>
            </w: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3,288</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Arial" w:cs="Arial" w:eastAsia="Arial" w:hAnsi="Arial"/>
                <w:sz w:val="13"/>
                <w:szCs w:val="13"/>
                <w:color w:val="auto"/>
              </w:rPr>
              <w:t>Membership Units (5,363,982</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5"/>
                <w:szCs w:val="15"/>
                <w:color w:val="auto"/>
              </w:rPr>
            </w:pPr>
          </w:p>
        </w:tc>
        <w:tc>
          <w:tcPr>
            <w:tcW w:w="58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3"/>
        </w:trPr>
        <w:tc>
          <w:tcPr>
            <w:tcW w:w="1420" w:type="dxa"/>
            <w:vAlign w:val="bottom"/>
            <w:gridSpan w:val="5"/>
          </w:tcPr>
          <w:p>
            <w:pPr>
              <w:ind w:left="20"/>
              <w:spacing w:after="0"/>
              <w:rPr>
                <w:sz w:val="20"/>
                <w:szCs w:val="20"/>
                <w:color w:val="auto"/>
              </w:rPr>
            </w:pPr>
            <w:r>
              <w:rPr>
                <w:rFonts w:ascii="Arial" w:cs="Arial" w:eastAsia="Arial" w:hAnsi="Arial"/>
                <w:sz w:val="13"/>
                <w:szCs w:val="13"/>
                <w:color w:val="auto"/>
              </w:rPr>
              <w:t>Vology, Inc.</w:t>
            </w:r>
          </w:p>
        </w:tc>
        <w:tc>
          <w:tcPr>
            <w:tcW w:w="2000" w:type="dxa"/>
            <w:vAlign w:val="bottom"/>
          </w:tcPr>
          <w:p>
            <w:pPr>
              <w:ind w:left="60"/>
              <w:spacing w:after="0"/>
              <w:rPr>
                <w:sz w:val="20"/>
                <w:szCs w:val="20"/>
                <w:color w:val="auto"/>
              </w:rPr>
            </w:pPr>
            <w:r>
              <w:rPr>
                <w:rFonts w:ascii="Arial" w:cs="Arial" w:eastAsia="Arial" w:hAnsi="Arial"/>
                <w:sz w:val="13"/>
                <w:szCs w:val="13"/>
                <w:color w:val="auto"/>
              </w:rPr>
              <w:t>Units)</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7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293</w:t>
            </w:r>
          </w:p>
        </w:tc>
        <w:tc>
          <w:tcPr>
            <w:tcW w:w="320" w:type="dxa"/>
            <w:vAlign w:val="bottom"/>
            <w:shd w:val="clear" w:color="auto" w:fill="CFF0FC"/>
          </w:tcPr>
          <w:p>
            <w:pPr>
              <w:spacing w:after="0"/>
              <w:rPr>
                <w:sz w:val="15"/>
                <w:szCs w:val="15"/>
                <w:color w:val="auto"/>
              </w:rPr>
            </w:pP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8,419</w:t>
            </w:r>
          </w:p>
        </w:tc>
        <w:tc>
          <w:tcPr>
            <w:tcW w:w="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spacing w:after="0"/>
              <w:rPr>
                <w:sz w:val="15"/>
                <w:szCs w:val="15"/>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(146 )</w:t>
            </w:r>
          </w:p>
        </w:tc>
        <w:tc>
          <w:tcPr>
            <w:tcW w:w="280" w:type="dxa"/>
            <w:vAlign w:val="bottom"/>
            <w:shd w:val="clear" w:color="auto" w:fill="CFF0FC"/>
          </w:tcPr>
          <w:p>
            <w:pPr>
              <w:spacing w:after="0"/>
              <w:rPr>
                <w:sz w:val="15"/>
                <w:szCs w:val="15"/>
                <w:color w:val="auto"/>
              </w:rPr>
            </w:pPr>
          </w:p>
        </w:tc>
        <w:tc>
          <w:tcPr>
            <w:tcW w:w="5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(1,420 )</w:t>
            </w:r>
          </w:p>
        </w:tc>
        <w:tc>
          <w:tcPr>
            <w:tcW w:w="340" w:type="dxa"/>
            <w:vAlign w:val="bottom"/>
            <w:shd w:val="clear" w:color="auto" w:fill="CFF0FC"/>
          </w:tcPr>
          <w:p>
            <w:pPr>
              <w:spacing w:after="0"/>
              <w:rPr>
                <w:sz w:val="15"/>
                <w:szCs w:val="15"/>
                <w:color w:val="auto"/>
              </w:rPr>
            </w:pP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6,853</w:t>
            </w: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104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2000" w:type="dxa"/>
            <w:vAlign w:val="bottom"/>
            <w:tcBorders>
              <w:top w:val="single" w:sz="8" w:color="CFF0FC"/>
            </w:tcBorders>
          </w:tcPr>
          <w:p>
            <w:pPr>
              <w:spacing w:after="0"/>
              <w:rPr>
                <w:sz w:val="16"/>
                <w:szCs w:val="16"/>
                <w:color w:val="auto"/>
              </w:rPr>
            </w:pPr>
          </w:p>
        </w:tc>
        <w:tc>
          <w:tcPr>
            <w:tcW w:w="78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spacing w:after="0"/>
              <w:rPr>
                <w:sz w:val="20"/>
                <w:szCs w:val="20"/>
                <w:color w:val="auto"/>
              </w:rPr>
            </w:pPr>
            <w:r>
              <w:rPr>
                <w:rFonts w:ascii="Arial" w:cs="Arial" w:eastAsia="Arial" w:hAnsi="Arial"/>
                <w:sz w:val="13"/>
                <w:szCs w:val="13"/>
                <w:b w:val="1"/>
                <w:bCs w:val="1"/>
                <w:i w:val="1"/>
                <w:iCs w:val="1"/>
                <w:color w:val="auto"/>
                <w:w w:val="82"/>
              </w:rPr>
              <w:t>Total Control investments</w:t>
            </w:r>
          </w:p>
        </w:tc>
        <w:tc>
          <w:tcPr>
            <w:tcW w:w="60" w:type="dxa"/>
            <w:vAlign w:val="bottom"/>
            <w:gridSpan w:val="2"/>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293</w:t>
            </w:r>
          </w:p>
        </w:tc>
        <w:tc>
          <w:tcPr>
            <w:tcW w:w="32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8,419</w:t>
            </w: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48"/>
              <w:spacing w:after="0"/>
              <w:rPr>
                <w:sz w:val="20"/>
                <w:szCs w:val="20"/>
                <w:color w:val="auto"/>
              </w:rPr>
            </w:pPr>
            <w:r>
              <w:rPr>
                <w:rFonts w:ascii="Arial" w:cs="Arial" w:eastAsia="Arial" w:hAnsi="Arial"/>
                <w:sz w:val="10"/>
                <w:szCs w:val="10"/>
                <w:color w:val="auto"/>
                <w:w w:val="71"/>
              </w:rPr>
              <w:t>$</w:t>
            </w:r>
          </w:p>
        </w:tc>
        <w:tc>
          <w:tcPr>
            <w:tcW w:w="600" w:type="dxa"/>
            <w:vAlign w:val="bottom"/>
            <w:tcBorders>
              <w:right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28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(146 )</w:t>
            </w:r>
          </w:p>
        </w:tc>
        <w:tc>
          <w:tcPr>
            <w:tcW w:w="280" w:type="dxa"/>
            <w:vAlign w:val="bottom"/>
            <w:shd w:val="clear" w:color="auto" w:fill="CFF0FC"/>
          </w:tcPr>
          <w:p>
            <w:pPr>
              <w:jc w:val="right"/>
              <w:ind w:right="137"/>
              <w:spacing w:after="0"/>
              <w:rPr>
                <w:sz w:val="20"/>
                <w:szCs w:val="20"/>
                <w:color w:val="auto"/>
              </w:rPr>
            </w:pPr>
            <w:r>
              <w:rPr>
                <w:rFonts w:ascii="Arial" w:cs="Arial" w:eastAsia="Arial" w:hAnsi="Arial"/>
                <w:sz w:val="13"/>
                <w:szCs w:val="13"/>
                <w:color w:val="auto"/>
                <w:w w:val="82"/>
              </w:rPr>
              <w:t>$</w:t>
            </w:r>
          </w:p>
        </w:tc>
        <w:tc>
          <w:tcPr>
            <w:tcW w:w="580" w:type="dxa"/>
            <w:vAlign w:val="bottom"/>
            <w:tcBorders>
              <w:right w:val="single" w:sz="8" w:color="CFF0FC"/>
            </w:tcBorders>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jc w:val="right"/>
              <w:ind w:right="197"/>
              <w:spacing w:after="0"/>
              <w:rPr>
                <w:sz w:val="20"/>
                <w:szCs w:val="20"/>
                <w:color w:val="auto"/>
              </w:rPr>
            </w:pPr>
            <w:r>
              <w:rPr>
                <w:rFonts w:ascii="Arial" w:cs="Arial" w:eastAsia="Arial" w:hAnsi="Arial"/>
                <w:sz w:val="13"/>
                <w:szCs w:val="13"/>
                <w:color w:val="auto"/>
                <w:w w:val="82"/>
              </w:rPr>
              <w:t>$</w:t>
            </w:r>
          </w:p>
        </w:tc>
        <w:tc>
          <w:tcPr>
            <w:tcW w:w="1080" w:type="dxa"/>
            <w:vAlign w:val="bottom"/>
            <w:gridSpan w:val="3"/>
            <w:shd w:val="clear" w:color="auto" w:fill="CFF0FC"/>
          </w:tcPr>
          <w:p>
            <w:pPr>
              <w:jc w:val="right"/>
              <w:ind w:right="197"/>
              <w:spacing w:after="0"/>
              <w:rPr>
                <w:sz w:val="20"/>
                <w:szCs w:val="20"/>
                <w:color w:val="auto"/>
              </w:rPr>
            </w:pPr>
            <w:r>
              <w:rPr>
                <w:rFonts w:ascii="Arial" w:cs="Arial" w:eastAsia="Arial" w:hAnsi="Arial"/>
                <w:sz w:val="13"/>
                <w:szCs w:val="13"/>
                <w:color w:val="auto"/>
              </w:rPr>
              <w:t>(1,420 ) $</w:t>
            </w:r>
          </w:p>
        </w:tc>
        <w:tc>
          <w:tcPr>
            <w:tcW w:w="6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6,853</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200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3453130</wp:posOffset>
            </wp:positionH>
            <wp:positionV relativeFrom="page">
              <wp:posOffset>221615</wp:posOffset>
            </wp:positionV>
            <wp:extent cx="102870" cy="1543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page">
              <wp:posOffset>4121785</wp:posOffset>
            </wp:positionH>
            <wp:positionV relativeFrom="page">
              <wp:posOffset>221615</wp:posOffset>
            </wp:positionV>
            <wp:extent cx="102870" cy="1543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page">
              <wp:posOffset>4739005</wp:posOffset>
            </wp:positionH>
            <wp:positionV relativeFrom="page">
              <wp:posOffset>221615</wp:posOffset>
            </wp:positionV>
            <wp:extent cx="102235" cy="1543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235" cy="154305"/>
                    </a:xfrm>
                    <a:prstGeom prst="rect">
                      <a:avLst/>
                    </a:prstGeom>
                    <a:noFill/>
                  </pic:spPr>
                </pic:pic>
              </a:graphicData>
            </a:graphic>
          </wp:anchor>
        </w:drawing>
        <w:drawing>
          <wp:anchor simplePos="0" relativeHeight="251657728" behindDoc="1" locked="0" layoutInCell="0" allowOverlap="1">
            <wp:simplePos x="0" y="0"/>
            <wp:positionH relativeFrom="page">
              <wp:posOffset>5373370</wp:posOffset>
            </wp:positionH>
            <wp:positionV relativeFrom="page">
              <wp:posOffset>221615</wp:posOffset>
            </wp:positionV>
            <wp:extent cx="102870" cy="15430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154305"/>
                    </a:xfrm>
                    <a:prstGeom prst="rect">
                      <a:avLst/>
                    </a:prstGeom>
                    <a:noFill/>
                  </pic:spPr>
                </pic:pic>
              </a:graphicData>
            </a:graphic>
          </wp:anchor>
        </w:drawing>
        <w:drawing>
          <wp:anchor simplePos="0" relativeHeight="251657728" behindDoc="1" locked="0" layoutInCell="0" allowOverlap="1">
            <wp:simplePos x="0" y="0"/>
            <wp:positionH relativeFrom="page">
              <wp:posOffset>5930265</wp:posOffset>
            </wp:positionH>
            <wp:positionV relativeFrom="page">
              <wp:posOffset>221615</wp:posOffset>
            </wp:positionV>
            <wp:extent cx="5080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0800" cy="154305"/>
                    </a:xfrm>
                    <a:prstGeom prst="rect">
                      <a:avLst/>
                    </a:prstGeom>
                    <a:noFill/>
                  </pic:spPr>
                </pic:pic>
              </a:graphicData>
            </a:graphic>
          </wp:anchor>
        </w:drawing>
        <w:drawing>
          <wp:anchor simplePos="0" relativeHeight="251657728" behindDoc="1" locked="0" layoutInCell="0" allowOverlap="1">
            <wp:simplePos x="0" y="0"/>
            <wp:positionH relativeFrom="page">
              <wp:posOffset>6607810</wp:posOffset>
            </wp:positionH>
            <wp:positionV relativeFrom="page">
              <wp:posOffset>221615</wp:posOffset>
            </wp:positionV>
            <wp:extent cx="9398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page">
              <wp:posOffset>7301865</wp:posOffset>
            </wp:positionH>
            <wp:positionV relativeFrom="page">
              <wp:posOffset>221615</wp:posOffset>
            </wp:positionV>
            <wp:extent cx="51435"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435" cy="1543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-2876550</wp:posOffset>
            </wp:positionV>
            <wp:extent cx="7747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-2876550</wp:posOffset>
            </wp:positionV>
            <wp:extent cx="7747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-2876550</wp:posOffset>
            </wp:positionV>
            <wp:extent cx="76835"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-2876550</wp:posOffset>
            </wp:positionV>
            <wp:extent cx="7747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-2876550</wp:posOffset>
            </wp:positionV>
            <wp:extent cx="60325" cy="57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-2876550</wp:posOffset>
            </wp:positionV>
            <wp:extent cx="6858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-2876550</wp:posOffset>
            </wp:positionV>
            <wp:extent cx="2603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-2182495</wp:posOffset>
            </wp:positionV>
            <wp:extent cx="7747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-2182495</wp:posOffset>
            </wp:positionV>
            <wp:extent cx="7747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-2182495</wp:posOffset>
            </wp:positionV>
            <wp:extent cx="76835"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-2182495</wp:posOffset>
            </wp:positionV>
            <wp:extent cx="7747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-2182495</wp:posOffset>
            </wp:positionV>
            <wp:extent cx="60325"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-2182495</wp:posOffset>
            </wp:positionV>
            <wp:extent cx="6858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-2182495</wp:posOffset>
            </wp:positionV>
            <wp:extent cx="26035"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-1676400</wp:posOffset>
            </wp:positionV>
            <wp:extent cx="7747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-1676400</wp:posOffset>
            </wp:positionV>
            <wp:extent cx="7747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-1676400</wp:posOffset>
            </wp:positionV>
            <wp:extent cx="76835"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-1676400</wp:posOffset>
            </wp:positionV>
            <wp:extent cx="7747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-1676400</wp:posOffset>
            </wp:positionV>
            <wp:extent cx="60325"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-1676400</wp:posOffset>
            </wp:positionV>
            <wp:extent cx="6858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-1676400</wp:posOffset>
            </wp:positionV>
            <wp:extent cx="26035"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-1431290</wp:posOffset>
            </wp:positionV>
            <wp:extent cx="7747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-1414145</wp:posOffset>
            </wp:positionV>
            <wp:extent cx="774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-1431290</wp:posOffset>
            </wp:positionV>
            <wp:extent cx="77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-1414145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-1431290</wp:posOffset>
            </wp:positionV>
            <wp:extent cx="7683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-1414145</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-1431290</wp:posOffset>
            </wp:positionV>
            <wp:extent cx="7747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-1414145</wp:posOffset>
            </wp:positionV>
            <wp:extent cx="774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-1431290</wp:posOffset>
            </wp:positionV>
            <wp:extent cx="603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-1414145</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-1431290</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-1414145</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-1431290</wp:posOffset>
            </wp:positionV>
            <wp:extent cx="2603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-1414145</wp:posOffset>
            </wp:positionV>
            <wp:extent cx="2603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-270510</wp:posOffset>
            </wp:positionV>
            <wp:extent cx="7747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-270510</wp:posOffset>
            </wp:positionV>
            <wp:extent cx="7747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-270510</wp:posOffset>
            </wp:positionV>
            <wp:extent cx="76835"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-270510</wp:posOffset>
            </wp:positionV>
            <wp:extent cx="7747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-270510</wp:posOffset>
            </wp:positionV>
            <wp:extent cx="60325"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-270510</wp:posOffset>
            </wp:positionV>
            <wp:extent cx="6858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-270510</wp:posOffset>
            </wp:positionV>
            <wp:extent cx="26035"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-25400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-8255</wp:posOffset>
            </wp:positionV>
            <wp:extent cx="774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-25400</wp:posOffset>
            </wp:positionV>
            <wp:extent cx="7747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774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-25400</wp:posOffset>
            </wp:positionV>
            <wp:extent cx="768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768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774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774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-25400</wp:posOffset>
            </wp:positionV>
            <wp:extent cx="603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-8255</wp:posOffset>
            </wp:positionV>
            <wp:extent cx="6032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-25400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-8255</wp:posOffset>
            </wp:positionV>
            <wp:extent cx="6858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-25400</wp:posOffset>
            </wp:positionV>
            <wp:extent cx="2603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22" w:lineRule="exact"/>
        <w:rPr>
          <w:sz w:val="20"/>
          <w:szCs w:val="20"/>
          <w:color w:val="auto"/>
        </w:rPr>
      </w:pPr>
    </w:p>
    <w:p>
      <w:pPr>
        <w:ind w:left="460" w:right="20" w:hanging="439"/>
        <w:spacing w:after="0" w:line="293"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210" w:lineRule="exact"/>
        <w:rPr>
          <w:rFonts w:ascii="Arial" w:cs="Arial" w:eastAsia="Arial" w:hAnsi="Arial"/>
          <w:sz w:val="18"/>
          <w:szCs w:val="18"/>
          <w:color w:val="auto"/>
        </w:rPr>
      </w:pPr>
    </w:p>
    <w:p>
      <w:pPr>
        <w:ind w:left="460" w:right="20" w:hanging="439"/>
        <w:spacing w:after="0" w:line="28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1" w:lineRule="exact"/>
        <w:rPr>
          <w:rFonts w:ascii="Arial" w:cs="Arial" w:eastAsia="Arial" w:hAnsi="Arial"/>
          <w:sz w:val="18"/>
          <w:szCs w:val="18"/>
          <w:color w:val="auto"/>
        </w:rPr>
      </w:pPr>
    </w:p>
    <w:p>
      <w:pPr>
        <w:ind w:left="460" w:right="20" w:hanging="439"/>
        <w:spacing w:after="0" w:line="281"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spacing w:after="0" w:line="1" w:lineRule="exact"/>
        <w:rPr>
          <w:rFonts w:ascii="Arial" w:cs="Arial" w:eastAsia="Arial" w:hAnsi="Arial"/>
          <w:sz w:val="18"/>
          <w:szCs w:val="18"/>
          <w:color w:val="auto"/>
        </w:rPr>
      </w:pPr>
    </w:p>
    <w:p>
      <w:pPr>
        <w:ind w:left="460" w:hanging="439"/>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49" w:lineRule="exact"/>
        <w:rPr>
          <w:rFonts w:ascii="Arial" w:cs="Arial" w:eastAsia="Arial" w:hAnsi="Arial"/>
          <w:sz w:val="18"/>
          <w:szCs w:val="18"/>
          <w:color w:val="auto"/>
        </w:rPr>
      </w:pPr>
    </w:p>
    <w:p>
      <w:pPr>
        <w:ind w:left="460" w:hanging="439"/>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31" w:name="page32"/>
    <w:bookmarkEnd w:id="31"/>
    <w:p>
      <w:pPr>
        <w:ind w:left="760"/>
        <w:spacing w:after="0"/>
        <w:rPr>
          <w:sz w:val="20"/>
          <w:szCs w:val="20"/>
          <w:color w:val="auto"/>
        </w:rPr>
      </w:pPr>
      <w:r>
        <w:rPr>
          <w:rFonts w:ascii="Arial" w:cs="Arial" w:eastAsia="Arial" w:hAnsi="Arial"/>
          <w:sz w:val="16"/>
          <w:szCs w:val="16"/>
          <w:color w:val="auto"/>
        </w:rPr>
        <w:t>During the year ended December 31, 2020, the Company had investments in portfolio companies designated as affiliates under the 1940 Act.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affiliates were as follows (dollars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Amount of</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Interest, Fees or</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97"/>
              <w:spacing w:after="0"/>
              <w:rPr>
                <w:sz w:val="20"/>
                <w:szCs w:val="20"/>
                <w:color w:val="auto"/>
              </w:rPr>
            </w:pPr>
            <w:r>
              <w:rPr>
                <w:rFonts w:ascii="Arial" w:cs="Arial" w:eastAsia="Arial" w:hAnsi="Arial"/>
                <w:sz w:val="13"/>
                <w:szCs w:val="13"/>
                <w:b w:val="1"/>
                <w:bCs w:val="1"/>
                <w:color w:val="auto"/>
                <w:w w:val="86"/>
              </w:rPr>
              <w:t>Dividends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1"/>
              </w:rPr>
              <w:t>Unrealized</w:t>
            </w: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b w:val="1"/>
                <w:bCs w:val="1"/>
                <w:color w:val="auto"/>
                <w:w w:val="94"/>
              </w:rPr>
              <w:t>Principal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center"/>
              <w:ind w:right="77"/>
              <w:spacing w:after="0"/>
              <w:rPr>
                <w:sz w:val="20"/>
                <w:szCs w:val="20"/>
                <w:color w:val="auto"/>
              </w:rPr>
            </w:pPr>
            <w:r>
              <w:rPr>
                <w:rFonts w:ascii="Arial" w:cs="Arial" w:eastAsia="Arial" w:hAnsi="Arial"/>
                <w:sz w:val="13"/>
                <w:szCs w:val="13"/>
                <w:b w:val="1"/>
                <w:bCs w:val="1"/>
                <w:color w:val="auto"/>
                <w:w w:val="87"/>
              </w:rPr>
              <w:t>Credited to</w:t>
            </w:r>
          </w:p>
        </w:tc>
        <w:tc>
          <w:tcPr>
            <w:tcW w:w="120" w:type="dxa"/>
            <w:vAlign w:val="bottom"/>
          </w:tcPr>
          <w:p>
            <w:pPr>
              <w:spacing w:after="0"/>
              <w:rPr>
                <w:sz w:val="13"/>
                <w:szCs w:val="13"/>
                <w:color w:val="auto"/>
              </w:rPr>
            </w:pPr>
          </w:p>
        </w:tc>
        <w:tc>
          <w:tcPr>
            <w:tcW w:w="900" w:type="dxa"/>
            <w:vAlign w:val="bottom"/>
            <w:gridSpan w:val="2"/>
          </w:tcPr>
          <w:p>
            <w:pPr>
              <w:jc w:val="right"/>
              <w:ind w:right="37"/>
              <w:spacing w:after="0"/>
              <w:rPr>
                <w:sz w:val="20"/>
                <w:szCs w:val="20"/>
                <w:color w:val="auto"/>
              </w:rPr>
            </w:pPr>
            <w:r>
              <w:rPr>
                <w:rFonts w:ascii="Arial" w:cs="Arial" w:eastAsia="Arial" w:hAnsi="Arial"/>
                <w:sz w:val="13"/>
                <w:szCs w:val="13"/>
                <w:b w:val="1"/>
                <w:bCs w:val="1"/>
                <w:color w:val="auto"/>
                <w:w w:val="92"/>
              </w:rPr>
              <w:t>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197"/>
              <w:spacing w:after="0"/>
              <w:rPr>
                <w:sz w:val="20"/>
                <w:szCs w:val="20"/>
                <w:color w:val="auto"/>
              </w:rPr>
            </w:pPr>
            <w:r>
              <w:rPr>
                <w:rFonts w:ascii="Arial" w:cs="Arial" w:eastAsia="Arial" w:hAnsi="Arial"/>
                <w:sz w:val="13"/>
                <w:szCs w:val="13"/>
                <w:b w:val="1"/>
                <w:bCs w:val="1"/>
                <w:color w:val="auto"/>
              </w:rPr>
              <w:t>Gross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3"/>
                <w:szCs w:val="1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Realized</w:t>
            </w:r>
          </w:p>
        </w:tc>
        <w:tc>
          <w:tcPr>
            <w:tcW w:w="120" w:type="dxa"/>
            <w:vAlign w:val="bottom"/>
          </w:tcPr>
          <w:p>
            <w:pPr>
              <w:spacing w:after="0"/>
              <w:rPr>
                <w:sz w:val="13"/>
                <w:szCs w:val="13"/>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0"/>
              </w:rPr>
              <w:t>Appreciation</w:t>
            </w:r>
          </w:p>
        </w:tc>
        <w:tc>
          <w:tcPr>
            <w:tcW w:w="8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2"/>
              </w:rPr>
              <w:t>December 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340" w:type="dxa"/>
            <w:vAlign w:val="bottom"/>
            <w:gridSpan w:val="2"/>
          </w:tcPr>
          <w:p>
            <w:pPr>
              <w:ind w:left="340"/>
              <w:spacing w:after="0"/>
              <w:rPr>
                <w:sz w:val="20"/>
                <w:szCs w:val="20"/>
                <w:color w:val="auto"/>
              </w:rPr>
            </w:pPr>
            <w:r>
              <w:rPr>
                <w:rFonts w:ascii="Arial" w:cs="Arial" w:eastAsia="Arial" w:hAnsi="Arial"/>
                <w:sz w:val="13"/>
                <w:szCs w:val="13"/>
                <w:b w:val="1"/>
                <w:bCs w:val="1"/>
                <w:color w:val="auto"/>
              </w:rPr>
              <w:t xml:space="preserve">Company </w:t>
            </w:r>
            <w:r>
              <w:rPr>
                <w:rFonts w:ascii="Arial" w:cs="Arial" w:eastAsia="Arial" w:hAnsi="Arial"/>
                <w:sz w:val="16"/>
                <w:szCs w:val="16"/>
                <w:b w:val="1"/>
                <w:bCs w:val="1"/>
                <w:color w:val="auto"/>
                <w:vertAlign w:val="superscript"/>
              </w:rPr>
              <w:t>(4)</w:t>
            </w:r>
          </w:p>
        </w:tc>
        <w:tc>
          <w:tcPr>
            <w:tcW w:w="60" w:type="dxa"/>
            <w:vAlign w:val="bottom"/>
          </w:tcPr>
          <w:p>
            <w:pPr>
              <w:spacing w:after="0"/>
              <w:rPr>
                <w:sz w:val="16"/>
                <w:szCs w:val="16"/>
                <w:color w:val="auto"/>
              </w:rPr>
            </w:pPr>
          </w:p>
        </w:tc>
        <w:tc>
          <w:tcPr>
            <w:tcW w:w="1800" w:type="dxa"/>
            <w:vAlign w:val="bottom"/>
          </w:tcPr>
          <w:p>
            <w:pPr>
              <w:ind w:left="380"/>
              <w:spacing w:after="0"/>
              <w:rPr>
                <w:sz w:val="20"/>
                <w:szCs w:val="20"/>
                <w:color w:val="auto"/>
              </w:rPr>
            </w:pPr>
            <w:r>
              <w:rPr>
                <w:rFonts w:ascii="Arial" w:cs="Arial" w:eastAsia="Arial" w:hAnsi="Arial"/>
                <w:sz w:val="13"/>
                <w:szCs w:val="13"/>
                <w:b w:val="1"/>
                <w:bCs w:val="1"/>
                <w:color w:val="auto"/>
              </w:rPr>
              <w:t>Type of Investment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37"/>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 xml:space="preserve">Income </w:t>
            </w:r>
            <w:r>
              <w:rPr>
                <w:rFonts w:ascii="Arial" w:cs="Arial" w:eastAsia="Arial" w:hAnsi="Arial"/>
                <w:sz w:val="16"/>
                <w:szCs w:val="16"/>
                <w:b w:val="1"/>
                <w:bCs w:val="1"/>
                <w:color w:val="auto"/>
                <w:w w:val="86"/>
                <w:vertAlign w:val="superscript"/>
              </w:rPr>
              <w:t>(1)</w:t>
            </w:r>
          </w:p>
        </w:tc>
        <w:tc>
          <w:tcPr>
            <w:tcW w:w="12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3"/>
                <w:szCs w:val="13"/>
                <w:b w:val="1"/>
                <w:bCs w:val="1"/>
                <w:color w:val="auto"/>
                <w:w w:val="90"/>
              </w:rPr>
              <w:t>2019 Fair Value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83"/>
              </w:rPr>
              <w:t xml:space="preserve">Additions </w:t>
            </w:r>
            <w:r>
              <w:rPr>
                <w:rFonts w:ascii="Arial" w:cs="Arial" w:eastAsia="Arial" w:hAnsi="Arial"/>
                <w:sz w:val="16"/>
                <w:szCs w:val="16"/>
                <w:b w:val="1"/>
                <w:bCs w:val="1"/>
                <w:color w:val="auto"/>
                <w:w w:val="83"/>
                <w:vertAlign w:val="superscript"/>
              </w:rPr>
              <w:t>(2)</w:t>
            </w:r>
          </w:p>
        </w:tc>
        <w:tc>
          <w:tcPr>
            <w:tcW w:w="340" w:type="dxa"/>
            <w:vAlign w:val="bottom"/>
          </w:tcPr>
          <w:p>
            <w:pPr>
              <w:spacing w:after="0"/>
              <w:rPr>
                <w:sz w:val="16"/>
                <w:szCs w:val="16"/>
                <w:color w:val="auto"/>
              </w:rPr>
            </w:pPr>
          </w:p>
        </w:tc>
        <w:tc>
          <w:tcPr>
            <w:tcW w:w="106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w w:val="86"/>
              </w:rPr>
              <w:t xml:space="preserve">Reductions </w:t>
            </w:r>
            <w:r>
              <w:rPr>
                <w:rFonts w:ascii="Arial" w:cs="Arial" w:eastAsia="Arial" w:hAnsi="Arial"/>
                <w:sz w:val="16"/>
                <w:szCs w:val="16"/>
                <w:b w:val="1"/>
                <w:bCs w:val="1"/>
                <w:color w:val="auto"/>
                <w:w w:val="86"/>
                <w:vertAlign w:val="superscript"/>
              </w:rPr>
              <w:t>(3)</w:t>
            </w:r>
          </w:p>
        </w:tc>
        <w:tc>
          <w:tcPr>
            <w:tcW w:w="720" w:type="dxa"/>
            <w:vAlign w:val="bottom"/>
            <w:gridSpan w:val="2"/>
          </w:tcPr>
          <w:p>
            <w:pPr>
              <w:jc w:val="right"/>
              <w:spacing w:after="0"/>
              <w:rPr>
                <w:sz w:val="20"/>
                <w:szCs w:val="20"/>
                <w:color w:val="auto"/>
              </w:rPr>
            </w:pPr>
            <w:r>
              <w:rPr>
                <w:rFonts w:ascii="Arial" w:cs="Arial" w:eastAsia="Arial" w:hAnsi="Arial"/>
                <w:sz w:val="13"/>
                <w:szCs w:val="13"/>
                <w:b w:val="1"/>
                <w:bCs w:val="1"/>
                <w:color w:val="auto"/>
                <w:w w:val="92"/>
              </w:rPr>
              <w:t>Gain/(Loss)</w:t>
            </w:r>
          </w:p>
        </w:tc>
        <w:tc>
          <w:tcPr>
            <w:tcW w:w="120" w:type="dxa"/>
            <w:vAlign w:val="bottom"/>
          </w:tcPr>
          <w:p>
            <w:pPr>
              <w:spacing w:after="0"/>
              <w:rPr>
                <w:sz w:val="16"/>
                <w:szCs w:val="16"/>
                <w:color w:val="auto"/>
              </w:rPr>
            </w:pPr>
          </w:p>
        </w:tc>
        <w:tc>
          <w:tcPr>
            <w:tcW w:w="9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9"/>
              </w:rPr>
              <w:t>(Depreciation)</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w w:val="88"/>
              </w:rPr>
              <w:t>2020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360" w:type="dxa"/>
            <w:vAlign w:val="bottom"/>
            <w:tcBorders>
              <w:top w:val="single" w:sz="8" w:color="auto"/>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i w:val="1"/>
                <w:iCs w:val="1"/>
                <w:color w:val="auto"/>
              </w:rPr>
              <w:t>Affiliate investments</w:t>
            </w:r>
          </w:p>
        </w:tc>
        <w:tc>
          <w:tcPr>
            <w:tcW w:w="60" w:type="dxa"/>
            <w:vAlign w:val="bottom"/>
            <w:shd w:val="clear" w:color="auto" w:fill="CFF0FC"/>
          </w:tcPr>
          <w:p>
            <w:pPr>
              <w:spacing w:after="0"/>
              <w:rPr>
                <w:sz w:val="14"/>
                <w:szCs w:val="14"/>
                <w:color w:val="auto"/>
              </w:rPr>
            </w:pPr>
          </w:p>
        </w:tc>
        <w:tc>
          <w:tcPr>
            <w:tcW w:w="1800" w:type="dxa"/>
            <w:vAlign w:val="bottom"/>
            <w:tcBorders>
              <w:top w:val="single" w:sz="8" w:color="auto"/>
            </w:tcBorders>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tcBorders>
              <w:top w:val="single" w:sz="8" w:color="auto"/>
            </w:tcBorders>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60" w:type="dxa"/>
            <w:vAlign w:val="bottom"/>
            <w:tcBorders>
              <w:top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Borders>
              <w:top w:val="single" w:sz="8" w:color="CFF0FC"/>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60" w:type="dxa"/>
            <w:vAlign w:val="bottom"/>
            <w:tcBorders>
              <w:top w:val="single" w:sz="8" w:color="CFF0FC"/>
            </w:tcBorders>
          </w:tcPr>
          <w:p>
            <w:pPr>
              <w:spacing w:after="0"/>
              <w:rPr>
                <w:sz w:val="15"/>
                <w:szCs w:val="15"/>
                <w:color w:val="auto"/>
              </w:rPr>
            </w:pPr>
          </w:p>
        </w:tc>
        <w:tc>
          <w:tcPr>
            <w:tcW w:w="180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First Lien Debt (12.0% Cash,</w:t>
            </w:r>
          </w:p>
        </w:tc>
        <w:tc>
          <w:tcPr>
            <w:tcW w:w="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7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8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6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720" w:type="dxa"/>
            <w:vAlign w:val="bottom"/>
            <w:tcBorders>
              <w:top w:val="single" w:sz="8" w:color="CFF0FC"/>
            </w:tcBorders>
          </w:tcPr>
          <w:p>
            <w:pPr>
              <w:spacing w:after="0"/>
              <w:rPr>
                <w:sz w:val="15"/>
                <w:szCs w:val="15"/>
                <w:color w:val="auto"/>
              </w:rPr>
            </w:pPr>
          </w:p>
        </w:tc>
        <w:tc>
          <w:tcPr>
            <w:tcW w:w="340" w:type="dxa"/>
            <w:vAlign w:val="bottom"/>
            <w:tcBorders>
              <w:top w:val="single" w:sz="8" w:color="CFF0FC"/>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66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6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300" w:type="dxa"/>
            <w:vAlign w:val="bottom"/>
            <w:tcBorders>
              <w:top w:val="single" w:sz="8" w:color="CFF0FC"/>
            </w:tcBorders>
          </w:tcPr>
          <w:p>
            <w:pPr>
              <w:spacing w:after="0"/>
              <w:rPr>
                <w:sz w:val="15"/>
                <w:szCs w:val="15"/>
                <w:color w:val="auto"/>
              </w:rPr>
            </w:pPr>
          </w:p>
        </w:tc>
        <w:tc>
          <w:tcPr>
            <w:tcW w:w="580" w:type="dxa"/>
            <w:vAlign w:val="bottom"/>
            <w:tcBorders>
              <w:top w:val="single" w:sz="8" w:color="CFF0FC"/>
            </w:tcBorders>
          </w:tcPr>
          <w:p>
            <w:pPr>
              <w:spacing w:after="0"/>
              <w:rPr>
                <w:sz w:val="15"/>
                <w:szCs w:val="15"/>
                <w:color w:val="auto"/>
              </w:rPr>
            </w:pPr>
          </w:p>
        </w:tc>
        <w:tc>
          <w:tcPr>
            <w:tcW w:w="4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w w:val="94"/>
              </w:rPr>
              <w:t>Burgaflex Holdings, LLC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3.0% PIK, Due 3/23/21)</w:t>
            </w:r>
          </w:p>
        </w:tc>
        <w:tc>
          <w:tcPr>
            <w:tcW w:w="18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13,597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1,707</w:t>
            </w: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14,421</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427</w:t>
            </w:r>
          </w:p>
        </w:tc>
        <w:tc>
          <w:tcPr>
            <w:tcW w:w="50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(1,250 )</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(1 )</w:t>
            </w:r>
          </w:p>
        </w:tc>
        <w:tc>
          <w:tcPr>
            <w:tcW w:w="300" w:type="dxa"/>
            <w:vAlign w:val="bottom"/>
          </w:tcPr>
          <w:p>
            <w:pPr>
              <w:ind w:left="2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13,597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 Class B</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4"/>
              </w:rPr>
              <w:t>Burgaflex Holdings, LLC</w:t>
            </w: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(1,085,073 shares)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703</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1,338</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Common Stock Class A</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gridSpan w:val="3"/>
          </w:tcPr>
          <w:p>
            <w:pPr>
              <w:ind w:left="20"/>
              <w:spacing w:after="0"/>
              <w:rPr>
                <w:sz w:val="20"/>
                <w:szCs w:val="20"/>
                <w:color w:val="auto"/>
              </w:rPr>
            </w:pPr>
            <w:r>
              <w:rPr>
                <w:rFonts w:ascii="Arial" w:cs="Arial" w:eastAsia="Arial" w:hAnsi="Arial"/>
                <w:sz w:val="13"/>
                <w:szCs w:val="13"/>
                <w:color w:val="auto"/>
                <w:w w:val="94"/>
              </w:rPr>
              <w:t>Burgaflex Holdings, LLC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(1,253,198 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15,056</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427</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(1,250 )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14,935</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8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City Gear, LLC</w:t>
            </w: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Membership Unit Warrants</w:t>
            </w: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3,326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(1,341 )</w:t>
            </w:r>
          </w:p>
        </w:tc>
        <w:tc>
          <w:tcPr>
            <w:tcW w:w="10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1,341</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(1,315 )</w:t>
            </w: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2,011</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3,326</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(1,341 )</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1,341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(1,315 )</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89"/>
              </w:rPr>
              <w:t>Second Lien Debt (13.5% Cash (3</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month LIBOR + 13.0%, 0.5%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w w:val="98"/>
              </w:rPr>
              <w:t>Eastport Holdings, LLC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Floor), Due 12/29/21)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16,500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(173 )</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16,500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Membership Units (22.9%</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17,822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2,472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20,294</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w w:val="98"/>
              </w:rPr>
              <w:t>Eastport Holdings, LLC</w:t>
            </w:r>
          </w:p>
        </w:tc>
        <w:tc>
          <w:tcPr>
            <w:tcW w:w="60" w:type="dxa"/>
            <w:vAlign w:val="bottom"/>
            <w:tcBorders>
              <w:bottom w:val="single" w:sz="8" w:color="CFF0FC"/>
            </w:tcBorders>
            <w:shd w:val="clear" w:color="auto" w:fill="CFF0FC"/>
          </w:tcPr>
          <w:p>
            <w:pPr>
              <w:spacing w:after="0"/>
              <w:rPr>
                <w:sz w:val="14"/>
                <w:szCs w:val="14"/>
                <w:color w:val="auto"/>
              </w:rPr>
            </w:pPr>
          </w:p>
        </w:tc>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ownership)</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2,498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34,322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173</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2,299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36,794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GA Communications,</w:t>
            </w: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90"/>
              </w:rPr>
              <w:t>Series A-1 Preferred Stock (1,998</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Inc.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shares)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4,066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GA Communications,</w:t>
            </w: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B-1 Common Stock</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501</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(355 )</w:t>
            </w: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Inc.</w:t>
            </w:r>
          </w:p>
        </w:tc>
        <w:tc>
          <w:tcPr>
            <w:tcW w:w="60" w:type="dxa"/>
            <w:vAlign w:val="bottom"/>
            <w:shd w:val="clear" w:color="auto" w:fill="CFF0FC"/>
          </w:tcPr>
          <w:p>
            <w:pPr>
              <w:spacing w:after="0"/>
              <w:rPr>
                <w:sz w:val="14"/>
                <w:szCs w:val="14"/>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(200,000 shares)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4,262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(50 )</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LJS Partners, LLC</w:t>
            </w: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98"/>
              </w:rPr>
              <w:t>Preferred Units (189,044 units)</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372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756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Membership Units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2,442</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3,951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LJS Partners, LLC</w:t>
            </w:r>
          </w:p>
        </w:tc>
        <w:tc>
          <w:tcPr>
            <w:tcW w:w="60" w:type="dxa"/>
            <w:vAlign w:val="bottom"/>
            <w:tcBorders>
              <w:bottom w:val="single" w:sz="8" w:color="CFF0FC"/>
            </w:tcBorders>
            <w:shd w:val="clear" w:color="auto" w:fill="CFF0FC"/>
          </w:tcPr>
          <w:p>
            <w:pPr>
              <w:spacing w:after="0"/>
              <w:rPr>
                <w:sz w:val="14"/>
                <w:szCs w:val="14"/>
                <w:color w:val="auto"/>
              </w:rPr>
            </w:pPr>
          </w:p>
        </w:tc>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(2,593,234 units)</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1,881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145</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2,681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4,707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90"/>
              </w:rPr>
              <w:t>First Lien Debt (12.0% Cash, Due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MMI Holdings, LLC</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9/30/21)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290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2,600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Second Lien Debt (6.0% Cash,</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Due 9/30/21)</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60" w:type="dxa"/>
            <w:vAlign w:val="bottom"/>
            <w:gridSpan w:val="3"/>
            <w:vMerge w:val="restart"/>
          </w:tcPr>
          <w:p>
            <w:pPr>
              <w:ind w:left="20"/>
              <w:spacing w:after="0"/>
              <w:rPr>
                <w:sz w:val="20"/>
                <w:szCs w:val="20"/>
                <w:color w:val="auto"/>
              </w:rPr>
            </w:pPr>
            <w:r>
              <w:rPr>
                <w:rFonts w:ascii="Arial" w:cs="Arial" w:eastAsia="Arial" w:hAnsi="Arial"/>
                <w:sz w:val="13"/>
                <w:szCs w:val="13"/>
                <w:color w:val="auto"/>
              </w:rPr>
              <w:t xml:space="preserve">MMI Holdings, LLC </w:t>
            </w:r>
            <w:r>
              <w:rPr>
                <w:rFonts w:ascii="Arial" w:cs="Arial" w:eastAsia="Arial" w:hAnsi="Arial"/>
                <w:sz w:val="16"/>
                <w:szCs w:val="16"/>
                <w:color w:val="auto"/>
                <w:vertAlign w:val="superscript"/>
              </w:rPr>
              <w:t>(5)</w:t>
            </w: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89"/>
              </w:rPr>
              <w:t>Preferred Units (1,000 units, 6.0%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6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PIK Dividend)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1,710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1,815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5"/>
              </w:rPr>
              <w:t>Common Membership Units (45</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204</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MMI Holdings, LLC</w:t>
            </w:r>
          </w:p>
        </w:tc>
        <w:tc>
          <w:tcPr>
            <w:tcW w:w="60" w:type="dxa"/>
            <w:vAlign w:val="bottom"/>
            <w:tcBorders>
              <w:bottom w:val="single" w:sz="8" w:color="CFF0FC"/>
            </w:tcBorders>
            <w:shd w:val="clear" w:color="auto" w:fill="CFF0FC"/>
          </w:tcPr>
          <w:p>
            <w:pPr>
              <w:spacing w:after="0"/>
              <w:rPr>
                <w:sz w:val="14"/>
                <w:szCs w:val="14"/>
                <w:color w:val="auto"/>
              </w:rPr>
            </w:pPr>
          </w:p>
        </w:tc>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4,904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91"/>
              </w:rPr>
              <w:t>First Lien Debt (9.0% Cash, 2.0%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PIK, Due 6/30/23)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11,031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10,100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1,875</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(944 )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(149 )</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10,882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Class A Preferred Stock (1,000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(14 )</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986</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Navis Holdings, Inc.</w:t>
            </w:r>
          </w:p>
        </w:tc>
        <w:tc>
          <w:tcPr>
            <w:tcW w:w="60" w:type="dxa"/>
            <w:vAlign w:val="bottom"/>
          </w:tcPr>
          <w:p>
            <w:pPr>
              <w:spacing w:after="0"/>
              <w:rPr>
                <w:sz w:val="16"/>
                <w:szCs w:val="16"/>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w w:val="95"/>
              </w:rPr>
              <w:t>Common Stock (60,000 shares)</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464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(464 )</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11,564</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1,875</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(944 )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(627 )</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11,868</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1060" w:type="dxa"/>
            <w:vAlign w:val="bottom"/>
            <w:tcBorders>
              <w:top w:val="single" w:sz="8" w:color="CFF0FC"/>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800" w:type="dxa"/>
            <w:vAlign w:val="bottom"/>
            <w:tcBorders>
              <w:top w:val="single" w:sz="8" w:color="CFF0FC"/>
            </w:tcBorders>
          </w:tcPr>
          <w:p>
            <w:pPr>
              <w:spacing w:after="0"/>
              <w:rPr>
                <w:sz w:val="16"/>
                <w:szCs w:val="16"/>
                <w:color w:val="auto"/>
              </w:rPr>
            </w:pPr>
          </w:p>
        </w:tc>
        <w:tc>
          <w:tcPr>
            <w:tcW w:w="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72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w w:val="98"/>
              </w:rPr>
              <w:t>Nth Degree Investment</w:t>
            </w: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Membership Units (6,088,000</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6,088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(6,088 )</w:t>
            </w: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Group, LLC</w:t>
            </w:r>
          </w:p>
        </w:tc>
        <w:tc>
          <w:tcPr>
            <w:tcW w:w="60" w:type="dxa"/>
            <w:vAlign w:val="bottom"/>
            <w:shd w:val="clear" w:color="auto" w:fill="CFF0FC"/>
          </w:tcPr>
          <w:p>
            <w:pPr>
              <w:spacing w:after="0"/>
              <w:rPr>
                <w:sz w:val="14"/>
                <w:szCs w:val="14"/>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Units)</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6,088</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(6,088 )</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72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First Lien Debt (6.5% Cash (1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month LIBOR + 5.0%, 1.5%</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60" w:type="dxa"/>
            <w:vAlign w:val="bottom"/>
            <w:gridSpan w:val="3"/>
          </w:tcPr>
          <w:p>
            <w:pPr>
              <w:ind w:left="20"/>
              <w:spacing w:after="0"/>
              <w:rPr>
                <w:sz w:val="20"/>
                <w:szCs w:val="20"/>
                <w:color w:val="auto"/>
              </w:rPr>
            </w:pPr>
            <w:r>
              <w:rPr>
                <w:rFonts w:ascii="Arial" w:cs="Arial" w:eastAsia="Arial" w:hAnsi="Arial"/>
                <w:sz w:val="13"/>
                <w:szCs w:val="13"/>
                <w:color w:val="auto"/>
              </w:rPr>
              <w:t>RAM Payment, LLC</w:t>
            </w:r>
          </w:p>
        </w:tc>
        <w:tc>
          <w:tcPr>
            <w:tcW w:w="60" w:type="dxa"/>
            <w:vAlign w:val="bottom"/>
          </w:tcPr>
          <w:p>
            <w:pPr>
              <w:spacing w:after="0"/>
              <w:rPr>
                <w:sz w:val="14"/>
                <w:szCs w:val="14"/>
                <w:color w:val="auto"/>
              </w:rPr>
            </w:pPr>
          </w:p>
        </w:tc>
        <w:tc>
          <w:tcPr>
            <w:tcW w:w="1800" w:type="dxa"/>
            <w:vAlign w:val="bottom"/>
          </w:tcPr>
          <w:p>
            <w:pPr>
              <w:ind w:left="20"/>
              <w:spacing w:after="0"/>
              <w:rPr>
                <w:sz w:val="20"/>
                <w:szCs w:val="20"/>
                <w:color w:val="auto"/>
              </w:rPr>
            </w:pPr>
            <w:r>
              <w:rPr>
                <w:rFonts w:ascii="Arial" w:cs="Arial" w:eastAsia="Arial" w:hAnsi="Arial"/>
                <w:sz w:val="13"/>
                <w:szCs w:val="13"/>
                <w:color w:val="auto"/>
              </w:rPr>
              <w:t>Floor), Due 1/4/24)</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2,451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3,069</w:t>
            </w: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(618 )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2,451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800" w:type="dxa"/>
            <w:vAlign w:val="bottom"/>
            <w:shd w:val="clear" w:color="auto" w:fill="CFF0FC"/>
          </w:tcPr>
          <w:p>
            <w:pPr>
              <w:ind w:left="20"/>
              <w:spacing w:after="0"/>
              <w:rPr>
                <w:sz w:val="20"/>
                <w:szCs w:val="20"/>
                <w:color w:val="auto"/>
              </w:rPr>
            </w:pPr>
            <w:r>
              <w:rPr>
                <w:rFonts w:ascii="Arial" w:cs="Arial" w:eastAsia="Arial" w:hAnsi="Arial"/>
                <w:sz w:val="13"/>
                <w:szCs w:val="13"/>
                <w:color w:val="auto"/>
                <w:w w:val="94"/>
              </w:rPr>
              <w:t>First Lien Debt (9.8% Cash, Due</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RAM Payment, LLC</w:t>
            </w:r>
          </w:p>
        </w:tc>
        <w:tc>
          <w:tcPr>
            <w:tcW w:w="1860" w:type="dxa"/>
            <w:vAlign w:val="bottom"/>
            <w:gridSpan w:val="2"/>
            <w:shd w:val="clear" w:color="auto" w:fill="CFF0FC"/>
          </w:tcPr>
          <w:p>
            <w:pPr>
              <w:ind w:left="80"/>
              <w:spacing w:after="0"/>
              <w:rPr>
                <w:sz w:val="20"/>
                <w:szCs w:val="20"/>
                <w:color w:val="auto"/>
              </w:rPr>
            </w:pPr>
            <w:r>
              <w:rPr>
                <w:rFonts w:ascii="Arial" w:cs="Arial" w:eastAsia="Arial" w:hAnsi="Arial"/>
                <w:sz w:val="13"/>
                <w:szCs w:val="13"/>
                <w:color w:val="auto"/>
              </w:rPr>
              <w:t>1/4/24)</w:t>
            </w:r>
          </w:p>
        </w:tc>
        <w:tc>
          <w:tcPr>
            <w:tcW w:w="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832</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9,019</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(2,372 )</w:t>
            </w:r>
          </w:p>
        </w:tc>
        <w:tc>
          <w:tcPr>
            <w:tcW w:w="10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(1 )</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6,646</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-5568315</wp:posOffset>
            </wp:positionV>
            <wp:extent cx="76835"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-5568315</wp:posOffset>
            </wp:positionV>
            <wp:extent cx="76835"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-5568315</wp:posOffset>
            </wp:positionV>
            <wp:extent cx="17145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-5568315</wp:posOffset>
            </wp:positionV>
            <wp:extent cx="128905"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-5568315</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-5568315</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-5568315</wp:posOffset>
            </wp:positionV>
            <wp:extent cx="26035"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-5320030</wp:posOffset>
            </wp:positionV>
            <wp:extent cx="76835"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-5320030</wp:posOffset>
            </wp:positionV>
            <wp:extent cx="76835"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-5320030</wp:posOffset>
            </wp:positionV>
            <wp:extent cx="17145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-5320030</wp:posOffset>
            </wp:positionV>
            <wp:extent cx="128905"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-5320030</wp:posOffset>
            </wp:positionV>
            <wp:extent cx="6858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-5320030</wp:posOffset>
            </wp:positionV>
            <wp:extent cx="6858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-5320030</wp:posOffset>
            </wp:positionV>
            <wp:extent cx="26035"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-4522470</wp:posOffset>
            </wp:positionV>
            <wp:extent cx="76835"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-4522470</wp:posOffset>
            </wp:positionV>
            <wp:extent cx="76835"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-4522470</wp:posOffset>
            </wp:positionV>
            <wp:extent cx="17145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-4522470</wp:posOffset>
            </wp:positionV>
            <wp:extent cx="128905"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-4522470</wp:posOffset>
            </wp:positionV>
            <wp:extent cx="6858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-4522470</wp:posOffset>
            </wp:positionV>
            <wp:extent cx="6858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-4522470</wp:posOffset>
            </wp:positionV>
            <wp:extent cx="26035"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-3828415</wp:posOffset>
            </wp:positionV>
            <wp:extent cx="76835"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-3828415</wp:posOffset>
            </wp:positionV>
            <wp:extent cx="76835"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-3828415</wp:posOffset>
            </wp:positionV>
            <wp:extent cx="17145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-3828415</wp:posOffset>
            </wp:positionV>
            <wp:extent cx="128905"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-3828415</wp:posOffset>
            </wp:positionV>
            <wp:extent cx="6858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-3828415</wp:posOffset>
            </wp:positionV>
            <wp:extent cx="6858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-3828415</wp:posOffset>
            </wp:positionV>
            <wp:extent cx="26035"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-3236595</wp:posOffset>
            </wp:positionV>
            <wp:extent cx="76835"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-3236595</wp:posOffset>
            </wp:positionV>
            <wp:extent cx="76835"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-3236595</wp:posOffset>
            </wp:positionV>
            <wp:extent cx="17145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-3236595</wp:posOffset>
            </wp:positionV>
            <wp:extent cx="128905"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-3236595</wp:posOffset>
            </wp:positionV>
            <wp:extent cx="6858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-3236595</wp:posOffset>
            </wp:positionV>
            <wp:extent cx="6858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-3236595</wp:posOffset>
            </wp:positionV>
            <wp:extent cx="26035"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-2096770</wp:posOffset>
            </wp:positionV>
            <wp:extent cx="76835"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-2096770</wp:posOffset>
            </wp:positionV>
            <wp:extent cx="76835"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-2096770</wp:posOffset>
            </wp:positionV>
            <wp:extent cx="17145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-2096770</wp:posOffset>
            </wp:positionV>
            <wp:extent cx="128905"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-2096770</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-2096770</wp:posOffset>
            </wp:positionV>
            <wp:extent cx="6858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-2096770</wp:posOffset>
            </wp:positionV>
            <wp:extent cx="26035"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-1144905</wp:posOffset>
            </wp:positionV>
            <wp:extent cx="76835"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-1144905</wp:posOffset>
            </wp:positionV>
            <wp:extent cx="76835"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-1144905</wp:posOffset>
            </wp:positionV>
            <wp:extent cx="17145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-1144905</wp:posOffset>
            </wp:positionV>
            <wp:extent cx="128905"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-1144905</wp:posOffset>
            </wp:positionV>
            <wp:extent cx="6858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-1144905</wp:posOffset>
            </wp:positionV>
            <wp:extent cx="6858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-1144905</wp:posOffset>
            </wp:positionV>
            <wp:extent cx="26035"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-802005</wp:posOffset>
            </wp:positionV>
            <wp:extent cx="76835"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-802005</wp:posOffset>
            </wp:positionV>
            <wp:extent cx="76835"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-802005</wp:posOffset>
            </wp:positionV>
            <wp:extent cx="17145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-802005</wp:posOffset>
            </wp:positionV>
            <wp:extent cx="128905"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-802005</wp:posOffset>
            </wp:positionV>
            <wp:extent cx="6858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-802005</wp:posOffset>
            </wp:positionV>
            <wp:extent cx="6858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-802005</wp:posOffset>
            </wp:positionV>
            <wp:extent cx="26035"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0"/>
        </w:trPr>
        <w:tc>
          <w:tcPr>
            <w:tcW w:w="1380" w:type="dxa"/>
            <w:vAlign w:val="bottom"/>
            <w:gridSpan w:val="6"/>
            <w:vMerge w:val="restart"/>
          </w:tcPr>
          <w:p>
            <w:pPr>
              <w:ind w:left="20"/>
              <w:spacing w:after="0"/>
              <w:rPr>
                <w:sz w:val="20"/>
                <w:szCs w:val="20"/>
                <w:color w:val="auto"/>
              </w:rPr>
            </w:pPr>
            <w:r>
              <w:rPr>
                <w:rFonts w:ascii="Arial" w:cs="Arial" w:eastAsia="Arial" w:hAnsi="Arial"/>
                <w:sz w:val="13"/>
                <w:szCs w:val="13"/>
                <w:color w:val="auto"/>
              </w:rPr>
              <w:t xml:space="preserve">RAM Payment, LLC </w:t>
            </w:r>
            <w:r>
              <w:rPr>
                <w:rFonts w:ascii="Arial" w:cs="Arial" w:eastAsia="Arial" w:hAnsi="Arial"/>
                <w:sz w:val="16"/>
                <w:szCs w:val="16"/>
                <w:color w:val="auto"/>
                <w:vertAlign w:val="superscript"/>
              </w:rPr>
              <w:t>(5)</w:t>
            </w:r>
          </w:p>
        </w:tc>
        <w:tc>
          <w:tcPr>
            <w:tcW w:w="1820" w:type="dxa"/>
            <w:vAlign w:val="bottom"/>
          </w:tcPr>
          <w:p>
            <w:pPr>
              <w:ind w:left="60"/>
              <w:spacing w:after="0"/>
              <w:rPr>
                <w:sz w:val="20"/>
                <w:szCs w:val="20"/>
                <w:color w:val="auto"/>
              </w:rPr>
            </w:pPr>
            <w:r>
              <w:rPr>
                <w:rFonts w:ascii="Arial" w:cs="Arial" w:eastAsia="Arial" w:hAnsi="Arial"/>
                <w:sz w:val="13"/>
                <w:szCs w:val="13"/>
                <w:color w:val="auto"/>
              </w:rPr>
              <w:t>Preferred Units (86,000 units,</w:t>
            </w: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1,725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69</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1,080</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2,874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1380" w:type="dxa"/>
            <w:vAlign w:val="bottom"/>
            <w:gridSpan w:val="6"/>
            <w:vMerge w:val="continue"/>
          </w:tcPr>
          <w:p>
            <w:pPr>
              <w:spacing w:after="0"/>
              <w:rPr>
                <w:sz w:val="14"/>
                <w:szCs w:val="14"/>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8.0% PIK Dividend)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10,744</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3,138</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(2,990 )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1,079</w:t>
            </w: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11,971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6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182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w w:val="93"/>
              </w:rPr>
              <w:t>Sierra Hamilton Holdings</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w w:val="98"/>
              </w:rPr>
              <w:t>Second Lien Debt (15.0% PIK,</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Corporation</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Due 9/12/23)</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453</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(423 )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441</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gridSpan w:val="6"/>
          </w:tcPr>
          <w:p>
            <w:pPr>
              <w:ind w:left="20"/>
              <w:spacing w:after="0"/>
              <w:rPr>
                <w:sz w:val="20"/>
                <w:szCs w:val="20"/>
                <w:color w:val="auto"/>
              </w:rPr>
            </w:pPr>
            <w:r>
              <w:rPr>
                <w:rFonts w:ascii="Arial" w:cs="Arial" w:eastAsia="Arial" w:hAnsi="Arial"/>
                <w:sz w:val="13"/>
                <w:szCs w:val="13"/>
                <w:color w:val="auto"/>
                <w:w w:val="93"/>
              </w:rPr>
              <w:t>Sierra Hamilton Holdings</w:t>
            </w:r>
          </w:p>
        </w:tc>
        <w:tc>
          <w:tcPr>
            <w:tcW w:w="1820" w:type="dxa"/>
            <w:vAlign w:val="bottom"/>
          </w:tcPr>
          <w:p>
            <w:pPr>
              <w:ind w:left="60"/>
              <w:spacing w:after="0"/>
              <w:rPr>
                <w:sz w:val="20"/>
                <w:szCs w:val="20"/>
                <w:color w:val="auto"/>
              </w:rPr>
            </w:pPr>
            <w:r>
              <w:rPr>
                <w:rFonts w:ascii="Arial" w:cs="Arial" w:eastAsia="Arial" w:hAnsi="Arial"/>
                <w:sz w:val="13"/>
                <w:szCs w:val="13"/>
                <w:color w:val="auto"/>
              </w:rPr>
              <w:t>Common Stock (15,068,000</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5,160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(4,183 )</w:t>
            </w:r>
          </w:p>
        </w:tc>
        <w:tc>
          <w:tcPr>
            <w:tcW w:w="3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977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gridSpan w:val="6"/>
          </w:tcPr>
          <w:p>
            <w:pPr>
              <w:ind w:left="20"/>
              <w:spacing w:after="0"/>
              <w:rPr>
                <w:sz w:val="20"/>
                <w:szCs w:val="20"/>
                <w:color w:val="auto"/>
              </w:rPr>
            </w:pPr>
            <w:r>
              <w:rPr>
                <w:rFonts w:ascii="Arial" w:cs="Arial" w:eastAsia="Arial" w:hAnsi="Arial"/>
                <w:sz w:val="13"/>
                <w:szCs w:val="13"/>
                <w:color w:val="auto"/>
              </w:rPr>
              <w:t>Corporation</w:t>
            </w:r>
          </w:p>
        </w:tc>
        <w:tc>
          <w:tcPr>
            <w:tcW w:w="1820" w:type="dxa"/>
            <w:vAlign w:val="bottom"/>
          </w:tcPr>
          <w:p>
            <w:pPr>
              <w:ind w:left="60"/>
              <w:spacing w:after="0"/>
              <w:rPr>
                <w:sz w:val="20"/>
                <w:szCs w:val="20"/>
                <w:color w:val="auto"/>
              </w:rPr>
            </w:pPr>
            <w:r>
              <w:rPr>
                <w:rFonts w:ascii="Arial" w:cs="Arial" w:eastAsia="Arial" w:hAnsi="Arial"/>
                <w:sz w:val="13"/>
                <w:szCs w:val="13"/>
                <w:color w:val="auto"/>
              </w:rPr>
              <w:t>shares)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5,908</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(423 )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(4,183 )</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1,418</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6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182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V12 Holdings, Inc.</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Second Lien Debt</w:t>
            </w:r>
          </w:p>
        </w:tc>
        <w:tc>
          <w:tcPr>
            <w:tcW w:w="40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708</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(276 )</w:t>
            </w:r>
          </w:p>
        </w:tc>
        <w:tc>
          <w:tcPr>
            <w:tcW w:w="1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110</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(52 )</w:t>
            </w:r>
          </w:p>
        </w:tc>
        <w:tc>
          <w:tcPr>
            <w:tcW w:w="30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490</w:t>
            </w: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708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(276 )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(52 )</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490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i w:val="1"/>
                <w:iCs w:val="1"/>
                <w:color w:val="auto"/>
                <w:w w:val="87"/>
              </w:rPr>
              <w:t>Total Affiliate</w:t>
            </w:r>
          </w:p>
        </w:tc>
        <w:tc>
          <w:tcPr>
            <w:tcW w:w="620" w:type="dxa"/>
            <w:vAlign w:val="bottom"/>
            <w:gridSpan w:val="2"/>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6,675</w:t>
            </w: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98,763</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5,978</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(7,224 )</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460" w:type="dxa"/>
            <w:vAlign w:val="bottom"/>
            <w:vMerge w:val="restart"/>
          </w:tcPr>
          <w:p>
            <w:pPr>
              <w:jc w:val="right"/>
              <w:spacing w:after="0"/>
              <w:rPr>
                <w:sz w:val="20"/>
                <w:szCs w:val="20"/>
                <w:color w:val="auto"/>
              </w:rPr>
            </w:pPr>
            <w:r>
              <w:rPr>
                <w:rFonts w:ascii="Arial" w:cs="Arial" w:eastAsia="Arial" w:hAnsi="Arial"/>
                <w:sz w:val="13"/>
                <w:szCs w:val="13"/>
                <w:color w:val="auto"/>
              </w:rPr>
              <w:t>1,451</w:t>
            </w:r>
          </w:p>
        </w:tc>
        <w:tc>
          <w:tcPr>
            <w:tcW w:w="120" w:type="dxa"/>
            <w:vAlign w:val="bottom"/>
          </w:tcPr>
          <w:p>
            <w:pPr>
              <w:spacing w:after="0"/>
              <w:rPr>
                <w:sz w:val="12"/>
                <w:szCs w:val="12"/>
                <w:color w:val="auto"/>
              </w:rPr>
            </w:pP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(5,543 )</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93,425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gridSpan w:val="6"/>
          </w:tcPr>
          <w:p>
            <w:pPr>
              <w:ind w:left="20"/>
              <w:spacing w:after="0" w:line="142" w:lineRule="exact"/>
              <w:rPr>
                <w:sz w:val="20"/>
                <w:szCs w:val="20"/>
                <w:color w:val="auto"/>
              </w:rPr>
            </w:pPr>
            <w:r>
              <w:rPr>
                <w:rFonts w:ascii="Arial" w:cs="Arial" w:eastAsia="Arial" w:hAnsi="Arial"/>
                <w:sz w:val="13"/>
                <w:szCs w:val="13"/>
                <w:b w:val="1"/>
                <w:bCs w:val="1"/>
                <w:i w:val="1"/>
                <w:iCs w:val="1"/>
                <w:color w:val="auto"/>
              </w:rPr>
              <w:t>investments</w:t>
            </w: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380" w:type="dxa"/>
            <w:vAlign w:val="bottom"/>
            <w:gridSpan w:val="6"/>
          </w:tcPr>
          <w:p>
            <w:pPr>
              <w:ind w:left="20"/>
              <w:spacing w:after="0"/>
              <w:rPr>
                <w:sz w:val="20"/>
                <w:szCs w:val="20"/>
                <w:color w:val="auto"/>
              </w:rPr>
            </w:pPr>
            <w:r>
              <w:rPr>
                <w:rFonts w:ascii="Arial" w:cs="Arial" w:eastAsia="Arial" w:hAnsi="Arial"/>
                <w:sz w:val="13"/>
                <w:szCs w:val="13"/>
                <w:b w:val="1"/>
                <w:bCs w:val="1"/>
                <w:i w:val="1"/>
                <w:iCs w:val="1"/>
                <w:color w:val="auto"/>
              </w:rPr>
              <w:t>Control investments</w:t>
            </w: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w w:val="91"/>
              </w:rPr>
              <w:t>Second Lien Debt (7.0% Cash (1</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Capitala Senior Loan</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month LIBOR + 6.0%), Due</w:t>
            </w: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Fund II, LLC</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9/3/24)</w:t>
            </w:r>
          </w:p>
        </w:tc>
        <w:tc>
          <w:tcPr>
            <w:tcW w:w="400" w:type="dxa"/>
            <w:vAlign w:val="bottom"/>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   $</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380" w:type="dxa"/>
            <w:vAlign w:val="bottom"/>
            <w:gridSpan w:val="6"/>
          </w:tcPr>
          <w:p>
            <w:pPr>
              <w:ind w:left="20"/>
              <w:spacing w:after="0"/>
              <w:rPr>
                <w:sz w:val="20"/>
                <w:szCs w:val="20"/>
                <w:color w:val="auto"/>
              </w:rPr>
            </w:pPr>
            <w:r>
              <w:rPr>
                <w:rFonts w:ascii="Arial" w:cs="Arial" w:eastAsia="Arial" w:hAnsi="Arial"/>
                <w:sz w:val="13"/>
                <w:szCs w:val="13"/>
                <w:color w:val="auto"/>
              </w:rPr>
              <w:t>Capitala Senior Loan</w:t>
            </w:r>
          </w:p>
        </w:tc>
        <w:tc>
          <w:tcPr>
            <w:tcW w:w="1820" w:type="dxa"/>
            <w:vAlign w:val="bottom"/>
          </w:tcPr>
          <w:p>
            <w:pPr>
              <w:ind w:left="60"/>
              <w:spacing w:after="0"/>
              <w:rPr>
                <w:sz w:val="20"/>
                <w:szCs w:val="20"/>
                <w:color w:val="auto"/>
              </w:rPr>
            </w:pPr>
            <w:r>
              <w:rPr>
                <w:rFonts w:ascii="Arial" w:cs="Arial" w:eastAsia="Arial" w:hAnsi="Arial"/>
                <w:sz w:val="13"/>
                <w:szCs w:val="13"/>
                <w:color w:val="auto"/>
              </w:rPr>
              <w:t>Membership Units (80.0%</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13,631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(13,116 )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(484 )</w:t>
            </w:r>
          </w:p>
        </w:tc>
        <w:tc>
          <w:tcPr>
            <w:tcW w:w="300" w:type="dxa"/>
            <w:vAlign w:val="bottom"/>
          </w:tcPr>
          <w:p>
            <w:pPr>
              <w:spacing w:after="0"/>
              <w:rPr>
                <w:sz w:val="15"/>
                <w:szCs w:val="15"/>
                <w:color w:val="auto"/>
              </w:rPr>
            </w:pP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(31 )</w:t>
            </w:r>
          </w:p>
        </w:tc>
        <w:tc>
          <w:tcPr>
            <w:tcW w:w="30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gridSpan w:val="6"/>
          </w:tcPr>
          <w:p>
            <w:pPr>
              <w:ind w:left="20"/>
              <w:spacing w:after="0"/>
              <w:rPr>
                <w:sz w:val="20"/>
                <w:szCs w:val="20"/>
                <w:color w:val="auto"/>
              </w:rPr>
            </w:pPr>
            <w:r>
              <w:rPr>
                <w:rFonts w:ascii="Arial" w:cs="Arial" w:eastAsia="Arial" w:hAnsi="Arial"/>
                <w:sz w:val="13"/>
                <w:szCs w:val="13"/>
                <w:color w:val="auto"/>
              </w:rPr>
              <w:t>Fund II, LLC</w:t>
            </w:r>
          </w:p>
        </w:tc>
        <w:tc>
          <w:tcPr>
            <w:tcW w:w="1820" w:type="dxa"/>
            <w:vAlign w:val="bottom"/>
          </w:tcPr>
          <w:p>
            <w:pPr>
              <w:ind w:left="60"/>
              <w:spacing w:after="0"/>
              <w:rPr>
                <w:sz w:val="20"/>
                <w:szCs w:val="20"/>
                <w:color w:val="auto"/>
              </w:rPr>
            </w:pPr>
            <w:r>
              <w:rPr>
                <w:rFonts w:ascii="Arial" w:cs="Arial" w:eastAsia="Arial" w:hAnsi="Arial"/>
                <w:sz w:val="13"/>
                <w:szCs w:val="13"/>
                <w:color w:val="auto"/>
              </w:rPr>
              <w:t>ownership)</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13,631</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(13,116 )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(484 )</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(31 )</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FF0FC"/>
            </w:tcBorders>
          </w:tcPr>
          <w:p>
            <w:pPr>
              <w:spacing w:after="0"/>
              <w:rPr>
                <w:sz w:val="16"/>
                <w:szCs w:val="16"/>
                <w:color w:val="auto"/>
              </w:rPr>
            </w:pPr>
          </w:p>
        </w:tc>
        <w:tc>
          <w:tcPr>
            <w:tcW w:w="620" w:type="dxa"/>
            <w:vAlign w:val="bottom"/>
            <w:tcBorders>
              <w:top w:val="single" w:sz="8" w:color="CFF0FC"/>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20" w:type="dxa"/>
            <w:vAlign w:val="bottom"/>
            <w:tcBorders>
              <w:top w:val="single" w:sz="8" w:color="CFF0FC"/>
            </w:tcBorders>
          </w:tcPr>
          <w:p>
            <w:pPr>
              <w:spacing w:after="0"/>
              <w:rPr>
                <w:sz w:val="16"/>
                <w:szCs w:val="16"/>
                <w:color w:val="auto"/>
              </w:rPr>
            </w:pPr>
          </w:p>
        </w:tc>
        <w:tc>
          <w:tcPr>
            <w:tcW w:w="300" w:type="dxa"/>
            <w:vAlign w:val="bottom"/>
            <w:tcBorders>
              <w:top w:val="single" w:sz="8" w:color="CFF0FC"/>
            </w:tcBorders>
          </w:tcPr>
          <w:p>
            <w:pPr>
              <w:spacing w:after="0"/>
              <w:rPr>
                <w:sz w:val="16"/>
                <w:szCs w:val="16"/>
                <w:color w:val="auto"/>
              </w:rPr>
            </w:pPr>
          </w:p>
        </w:tc>
        <w:tc>
          <w:tcPr>
            <w:tcW w:w="320" w:type="dxa"/>
            <w:vAlign w:val="bottom"/>
            <w:tcBorders>
              <w:top w:val="single" w:sz="8" w:color="CFF0FC"/>
            </w:tcBorders>
          </w:tcPr>
          <w:p>
            <w:pPr>
              <w:spacing w:after="0"/>
              <w:rPr>
                <w:sz w:val="16"/>
                <w:szCs w:val="16"/>
                <w:color w:val="auto"/>
              </w:rPr>
            </w:pPr>
          </w:p>
        </w:tc>
        <w:tc>
          <w:tcPr>
            <w:tcW w:w="1820" w:type="dxa"/>
            <w:vAlign w:val="bottom"/>
            <w:tcBorders>
              <w:top w:val="single" w:sz="8" w:color="CFF0FC"/>
            </w:tcBorders>
          </w:tcPr>
          <w:p>
            <w:pPr>
              <w:spacing w:after="0"/>
              <w:rPr>
                <w:sz w:val="16"/>
                <w:szCs w:val="16"/>
                <w:color w:val="auto"/>
              </w:rPr>
            </w:pPr>
          </w:p>
        </w:tc>
        <w:tc>
          <w:tcPr>
            <w:tcW w:w="400" w:type="dxa"/>
            <w:vAlign w:val="bottom"/>
            <w:tcBorders>
              <w:top w:val="single" w:sz="8" w:color="CFF0FC"/>
            </w:tcBorders>
          </w:tcPr>
          <w:p>
            <w:pPr>
              <w:spacing w:after="0"/>
              <w:rPr>
                <w:sz w:val="16"/>
                <w:szCs w:val="16"/>
                <w:color w:val="auto"/>
              </w:rPr>
            </w:pPr>
          </w:p>
        </w:tc>
        <w:tc>
          <w:tcPr>
            <w:tcW w:w="6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40" w:type="dxa"/>
            <w:vAlign w:val="bottom"/>
            <w:tcBorders>
              <w:top w:val="single" w:sz="8" w:color="CFF0FC"/>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w w:val="97"/>
              </w:rPr>
              <w:t>First Lien Debt (10.5% Cash (1</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month LIBOR + 8.5%, 2.0%</w:t>
            </w:r>
          </w:p>
        </w:tc>
        <w:tc>
          <w:tcPr>
            <w:tcW w:w="4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380" w:type="dxa"/>
            <w:vAlign w:val="bottom"/>
            <w:gridSpan w:val="6"/>
            <w:shd w:val="clear" w:color="auto" w:fill="CFF0FC"/>
          </w:tcPr>
          <w:p>
            <w:pPr>
              <w:ind w:left="20"/>
              <w:spacing w:after="0"/>
              <w:rPr>
                <w:sz w:val="20"/>
                <w:szCs w:val="20"/>
                <w:color w:val="auto"/>
              </w:rPr>
            </w:pPr>
            <w:r>
              <w:rPr>
                <w:rFonts w:ascii="Arial" w:cs="Arial" w:eastAsia="Arial" w:hAnsi="Arial"/>
                <w:sz w:val="13"/>
                <w:szCs w:val="13"/>
                <w:color w:val="auto"/>
              </w:rPr>
              <w:t>Vology, Inc.</w:t>
            </w: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Floor), Due 12/31/21)</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rPr>
              <w:t>3,732</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410</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3,877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(145 )</w:t>
            </w:r>
          </w:p>
        </w:tc>
        <w:tc>
          <w:tcPr>
            <w:tcW w:w="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3,732</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ind w:left="60"/>
              <w:spacing w:after="0"/>
              <w:rPr>
                <w:sz w:val="20"/>
                <w:szCs w:val="20"/>
                <w:color w:val="auto"/>
              </w:rPr>
            </w:pPr>
            <w:r>
              <w:rPr>
                <w:rFonts w:ascii="Arial" w:cs="Arial" w:eastAsia="Arial" w:hAnsi="Arial"/>
                <w:sz w:val="13"/>
                <w:szCs w:val="13"/>
                <w:color w:val="auto"/>
              </w:rPr>
              <w:t>Class A Preferred Units</w:t>
            </w: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380" w:type="dxa"/>
            <w:vAlign w:val="bottom"/>
            <w:gridSpan w:val="6"/>
          </w:tcPr>
          <w:p>
            <w:pPr>
              <w:ind w:left="20"/>
              <w:spacing w:after="0"/>
              <w:rPr>
                <w:sz w:val="20"/>
                <w:szCs w:val="20"/>
                <w:color w:val="auto"/>
              </w:rPr>
            </w:pPr>
            <w:r>
              <w:rPr>
                <w:rFonts w:ascii="Arial" w:cs="Arial" w:eastAsia="Arial" w:hAnsi="Arial"/>
                <w:sz w:val="13"/>
                <w:szCs w:val="13"/>
                <w:color w:val="auto"/>
              </w:rPr>
              <w:t>Vology, Inc.</w:t>
            </w:r>
          </w:p>
        </w:tc>
        <w:tc>
          <w:tcPr>
            <w:tcW w:w="1820" w:type="dxa"/>
            <w:vAlign w:val="bottom"/>
          </w:tcPr>
          <w:p>
            <w:pPr>
              <w:ind w:left="60"/>
              <w:spacing w:after="0"/>
              <w:rPr>
                <w:sz w:val="20"/>
                <w:szCs w:val="20"/>
                <w:color w:val="auto"/>
              </w:rPr>
            </w:pPr>
            <w:r>
              <w:rPr>
                <w:rFonts w:ascii="Arial" w:cs="Arial" w:eastAsia="Arial" w:hAnsi="Arial"/>
                <w:sz w:val="13"/>
                <w:szCs w:val="13"/>
                <w:color w:val="auto"/>
              </w:rPr>
              <w:t>(9,041,810 Units)</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5,215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(528 )</w:t>
            </w: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4,687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20" w:type="dxa"/>
            <w:vAlign w:val="bottom"/>
            <w:shd w:val="clear" w:color="auto" w:fill="CFF0FC"/>
          </w:tcPr>
          <w:p>
            <w:pPr>
              <w:ind w:left="60"/>
              <w:spacing w:after="0"/>
              <w:rPr>
                <w:sz w:val="20"/>
                <w:szCs w:val="20"/>
                <w:color w:val="auto"/>
              </w:rPr>
            </w:pPr>
            <w:r>
              <w:rPr>
                <w:rFonts w:ascii="Arial" w:cs="Arial" w:eastAsia="Arial" w:hAnsi="Arial"/>
                <w:sz w:val="13"/>
                <w:szCs w:val="13"/>
                <w:color w:val="auto"/>
              </w:rPr>
              <w:t>Membership Units (5,363,982</w:t>
            </w:r>
          </w:p>
        </w:tc>
        <w:tc>
          <w:tcPr>
            <w:tcW w:w="4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FF0FC"/>
          </w:tcPr>
          <w:p>
            <w:pPr>
              <w:spacing w:after="0"/>
              <w:rPr>
                <w:sz w:val="15"/>
                <w:szCs w:val="15"/>
                <w:color w:val="auto"/>
              </w:rPr>
            </w:pPr>
          </w:p>
        </w:tc>
        <w:tc>
          <w:tcPr>
            <w:tcW w:w="42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380" w:type="dxa"/>
            <w:vAlign w:val="bottom"/>
            <w:tcBorders>
              <w:bottom w:val="single" w:sz="8" w:color="CFF0FC"/>
            </w:tcBorders>
            <w:gridSpan w:val="6"/>
            <w:shd w:val="clear" w:color="auto" w:fill="CFF0FC"/>
          </w:tcPr>
          <w:p>
            <w:pPr>
              <w:ind w:left="20"/>
              <w:spacing w:after="0"/>
              <w:rPr>
                <w:sz w:val="20"/>
                <w:szCs w:val="20"/>
                <w:color w:val="auto"/>
              </w:rPr>
            </w:pPr>
            <w:r>
              <w:rPr>
                <w:rFonts w:ascii="Arial" w:cs="Arial" w:eastAsia="Arial" w:hAnsi="Arial"/>
                <w:sz w:val="13"/>
                <w:szCs w:val="13"/>
                <w:color w:val="auto"/>
              </w:rPr>
              <w:t>Vology, Inc.</w:t>
            </w:r>
          </w:p>
        </w:tc>
        <w:tc>
          <w:tcPr>
            <w:tcW w:w="1820" w:type="dxa"/>
            <w:vAlign w:val="bottom"/>
            <w:tcBorders>
              <w:bottom w:val="single" w:sz="8" w:color="CFF0FC"/>
            </w:tcBorders>
            <w:shd w:val="clear" w:color="auto" w:fill="CFF0FC"/>
          </w:tcPr>
          <w:p>
            <w:pPr>
              <w:ind w:left="60"/>
              <w:spacing w:after="0"/>
              <w:rPr>
                <w:sz w:val="20"/>
                <w:szCs w:val="20"/>
                <w:color w:val="auto"/>
              </w:rPr>
            </w:pPr>
            <w:r>
              <w:rPr>
                <w:rFonts w:ascii="Arial" w:cs="Arial" w:eastAsia="Arial" w:hAnsi="Arial"/>
                <w:sz w:val="13"/>
                <w:szCs w:val="13"/>
                <w:color w:val="auto"/>
              </w:rPr>
              <w:t>Units)</w:t>
            </w:r>
          </w:p>
        </w:tc>
        <w:tc>
          <w:tcPr>
            <w:tcW w:w="4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8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410</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9,092</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3"/>
                <w:szCs w:val="13"/>
                <w:color w:val="auto"/>
              </w:rPr>
              <w:t>(145 )</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00" w:type="dxa"/>
            <w:vAlign w:val="bottom"/>
          </w:tcPr>
          <w:p>
            <w:pPr>
              <w:spacing w:after="0"/>
              <w:rPr>
                <w:sz w:val="15"/>
                <w:szCs w:val="15"/>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(528 )</w:t>
            </w:r>
          </w:p>
        </w:tc>
        <w:tc>
          <w:tcPr>
            <w:tcW w:w="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8,419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8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46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i w:val="1"/>
                <w:iCs w:val="1"/>
                <w:color w:val="auto"/>
                <w:w w:val="86"/>
              </w:rPr>
              <w:t>Total Control</w:t>
            </w:r>
          </w:p>
        </w:tc>
        <w:tc>
          <w:tcPr>
            <w:tcW w:w="640" w:type="dxa"/>
            <w:vAlign w:val="bottom"/>
            <w:gridSpan w:val="3"/>
          </w:tcPr>
          <w:p>
            <w:pPr>
              <w:spacing w:after="0"/>
              <w:rPr>
                <w:sz w:val="12"/>
                <w:szCs w:val="12"/>
                <w:color w:val="auto"/>
              </w:rPr>
            </w:pP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410</w:t>
            </w:r>
          </w:p>
        </w:tc>
        <w:tc>
          <w:tcPr>
            <w:tcW w:w="42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22,723</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(13,261 )</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(484 )</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6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(559 )</w:t>
            </w:r>
          </w:p>
        </w:tc>
        <w:tc>
          <w:tcPr>
            <w:tcW w:w="300" w:type="dxa"/>
            <w:vAlign w:val="bottom"/>
            <w:vMerge w:val="restart"/>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8,419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gridSpan w:val="6"/>
          </w:tcPr>
          <w:p>
            <w:pPr>
              <w:ind w:left="20"/>
              <w:spacing w:after="0" w:line="142" w:lineRule="exact"/>
              <w:rPr>
                <w:sz w:val="20"/>
                <w:szCs w:val="20"/>
                <w:color w:val="auto"/>
              </w:rPr>
            </w:pPr>
            <w:r>
              <w:rPr>
                <w:rFonts w:ascii="Arial" w:cs="Arial" w:eastAsia="Arial" w:hAnsi="Arial"/>
                <w:sz w:val="13"/>
                <w:szCs w:val="13"/>
                <w:b w:val="1"/>
                <w:bCs w:val="1"/>
                <w:i w:val="1"/>
                <w:iCs w:val="1"/>
                <w:color w:val="auto"/>
              </w:rPr>
              <w:t>investments</w:t>
            </w:r>
          </w:p>
        </w:tc>
        <w:tc>
          <w:tcPr>
            <w:tcW w:w="1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-3699510</wp:posOffset>
            </wp:positionV>
            <wp:extent cx="76835"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-3699510</wp:posOffset>
            </wp:positionV>
            <wp:extent cx="76835"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-3699510</wp:posOffset>
            </wp:positionV>
            <wp:extent cx="18034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-3699510</wp:posOffset>
            </wp:positionV>
            <wp:extent cx="128905"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-3699510</wp:posOffset>
            </wp:positionV>
            <wp:extent cx="6858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-3699510</wp:posOffset>
            </wp:positionV>
            <wp:extent cx="6858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-3699510</wp:posOffset>
            </wp:positionV>
            <wp:extent cx="26035"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-3005455</wp:posOffset>
            </wp:positionV>
            <wp:extent cx="76835"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-3005455</wp:posOffset>
            </wp:positionV>
            <wp:extent cx="76835"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-3005455</wp:posOffset>
            </wp:positionV>
            <wp:extent cx="18034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-3005455</wp:posOffset>
            </wp:positionV>
            <wp:extent cx="128905"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-3005455</wp:posOffset>
            </wp:positionV>
            <wp:extent cx="6858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-3005455</wp:posOffset>
            </wp:positionV>
            <wp:extent cx="6858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-3005455</wp:posOffset>
            </wp:positionV>
            <wp:extent cx="26035"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-2756535</wp:posOffset>
            </wp:positionV>
            <wp:extent cx="76835"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-2756535</wp:posOffset>
            </wp:positionV>
            <wp:extent cx="76835"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-2756535</wp:posOffset>
            </wp:positionV>
            <wp:extent cx="18034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-2756535</wp:posOffset>
            </wp:positionV>
            <wp:extent cx="128905"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-2756535</wp:posOffset>
            </wp:positionV>
            <wp:extent cx="6858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-2756535</wp:posOffset>
            </wp:positionV>
            <wp:extent cx="6858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-2756535</wp:posOffset>
            </wp:positionV>
            <wp:extent cx="26035"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-1367790</wp:posOffset>
            </wp:positionV>
            <wp:extent cx="76835"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-1367790</wp:posOffset>
            </wp:positionV>
            <wp:extent cx="76835"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-1367790</wp:posOffset>
            </wp:positionV>
            <wp:extent cx="18034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-1367790</wp:posOffset>
            </wp:positionV>
            <wp:extent cx="128905"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-1367790</wp:posOffset>
            </wp:positionV>
            <wp:extent cx="6858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-1367790</wp:posOffset>
            </wp:positionV>
            <wp:extent cx="6858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-1367790</wp:posOffset>
            </wp:positionV>
            <wp:extent cx="26035"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260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-476250</wp:posOffset>
            </wp:positionV>
            <wp:extent cx="76835"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-476250</wp:posOffset>
            </wp:positionV>
            <wp:extent cx="76835"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-476250</wp:posOffset>
            </wp:positionV>
            <wp:extent cx="18034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-476250</wp:posOffset>
            </wp:positionV>
            <wp:extent cx="60325"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-476250</wp:posOffset>
            </wp:positionV>
            <wp:extent cx="6858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-476250</wp:posOffset>
            </wp:positionV>
            <wp:extent cx="6858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-476250</wp:posOffset>
            </wp:positionV>
            <wp:extent cx="26035"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26035" cy="5715"/>
                    </a:xfrm>
                    <a:prstGeom prst="rect">
                      <a:avLst/>
                    </a:prstGeom>
                    <a:noFill/>
                  </pic:spPr>
                </pic:pic>
              </a:graphicData>
            </a:graphic>
          </wp:anchor>
        </w:drawing>
      </w:r>
    </w:p>
    <w:p>
      <w:pPr>
        <w:spacing w:after="0" w:line="222" w:lineRule="exact"/>
        <w:rPr>
          <w:sz w:val="20"/>
          <w:szCs w:val="20"/>
          <w:color w:val="auto"/>
        </w:rPr>
      </w:pPr>
    </w:p>
    <w:p>
      <w:pPr>
        <w:ind w:left="460" w:right="20" w:hanging="439"/>
        <w:spacing w:after="0" w:line="28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Represents the total amount of interest, original issue discount, fees and dividends credited to income for the portion of the year an investment was included in Affiliate or Control categories, respectively.</w:t>
      </w:r>
    </w:p>
    <w:p>
      <w:pPr>
        <w:spacing w:after="0" w:line="1" w:lineRule="exact"/>
        <w:rPr>
          <w:rFonts w:ascii="Arial" w:cs="Arial" w:eastAsia="Arial" w:hAnsi="Arial"/>
          <w:sz w:val="18"/>
          <w:szCs w:val="18"/>
          <w:color w:val="auto"/>
        </w:rPr>
      </w:pPr>
    </w:p>
    <w:p>
      <w:pPr>
        <w:ind w:left="460" w:right="20" w:hanging="439"/>
        <w:spacing w:after="0" w:line="28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additions include increases in the cost basis of investments resulting from new portfolio investments, follow-on investments, accrued PIK and accretion of original issue discount. Gross additions also include transfers into Affiliate or Control classification.</w:t>
      </w:r>
    </w:p>
    <w:p>
      <w:pPr>
        <w:spacing w:after="0" w:line="1" w:lineRule="exact"/>
        <w:rPr>
          <w:rFonts w:ascii="Arial" w:cs="Arial" w:eastAsia="Arial" w:hAnsi="Arial"/>
          <w:sz w:val="18"/>
          <w:szCs w:val="18"/>
          <w:color w:val="auto"/>
        </w:rPr>
      </w:pPr>
    </w:p>
    <w:p>
      <w:pPr>
        <w:ind w:left="460" w:right="20" w:hanging="439"/>
        <w:spacing w:after="0" w:line="28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Gross reductions include decreases in the cost basis of investments resulting from principal repayments and sales. Gross reductions also include transfers out of Affiliate or Control classification.</w:t>
      </w:r>
    </w:p>
    <w:p>
      <w:pPr>
        <w:spacing w:after="0" w:line="1" w:lineRule="exact"/>
        <w:rPr>
          <w:rFonts w:ascii="Arial" w:cs="Arial" w:eastAsia="Arial" w:hAnsi="Arial"/>
          <w:sz w:val="18"/>
          <w:szCs w:val="18"/>
          <w:color w:val="auto"/>
        </w:rPr>
      </w:pPr>
    </w:p>
    <w:p>
      <w:pPr>
        <w:ind w:left="460" w:hanging="439"/>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debt investments are income producing. Equity and warrant investments are non-income producing, unless otherwise noted.</w:t>
      </w:r>
    </w:p>
    <w:p>
      <w:pPr>
        <w:spacing w:after="0" w:line="49" w:lineRule="exact"/>
        <w:rPr>
          <w:rFonts w:ascii="Arial" w:cs="Arial" w:eastAsia="Arial" w:hAnsi="Arial"/>
          <w:sz w:val="18"/>
          <w:szCs w:val="18"/>
          <w:color w:val="auto"/>
        </w:rPr>
      </w:pPr>
    </w:p>
    <w:p>
      <w:pPr>
        <w:ind w:left="460" w:hanging="439"/>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equity investment is income producing, based on rate disclosed.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Note 6. Agreements</w:t>
      </w:r>
    </w:p>
    <w:p>
      <w:pPr>
        <w:spacing w:after="0" w:line="256"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On July 1, 2021, the Company entered into an investment advisory agreement (the “Investment Advisory Agreement”) with the Investment Advisor, which was approved by the Company’s stockholders on May 27, 2021. Unless earlier terminated in accordance with its terms, the Investment Advisory Agreement will remain in effect until July 1, 2023, a period of two years from the date it first became effective and will remain in effect from year-to-year thereafter if approved annually by the Board or by a majority of our outstanding voting securities, including, in either case, by a majority of our directors who are not "interested persons" as such term is defined in Section 2(a)(19) of the 1940 Act ("Independent Directors"). Subject to the overall supervision of the Board, the Investment Advisor manages our day-to-day operations and provides investment advisory and management services to us. Under the terms of the Investment Advisory Agreement, the Investment Advisor:</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  determines the composition of our portfolio, the nature and timing of the changes to our portfolio, and the manner of implementing such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changes;</w:t>
      </w:r>
    </w:p>
    <w:p>
      <w:pPr>
        <w:spacing w:after="0" w:line="251" w:lineRule="exact"/>
        <w:rPr>
          <w:sz w:val="20"/>
          <w:szCs w:val="20"/>
          <w:color w:val="auto"/>
        </w:rPr>
      </w:pPr>
    </w:p>
    <w:p>
      <w:pPr>
        <w:ind w:left="920" w:hanging="163"/>
        <w:spacing w:after="0"/>
        <w:tabs>
          <w:tab w:leader="none" w:pos="9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identifies, evaluates, and negotiates the structure of the investments we make (including performing due diligence on our prospective portfolio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companies);</w:t>
      </w:r>
    </w:p>
    <w:p>
      <w:pPr>
        <w:spacing w:after="0" w:line="251" w:lineRule="exact"/>
        <w:rPr>
          <w:rFonts w:ascii="Arial" w:cs="Arial" w:eastAsia="Arial" w:hAnsi="Arial"/>
          <w:sz w:val="16"/>
          <w:szCs w:val="16"/>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closes and monitors the investments we make; and</w:t>
      </w:r>
    </w:p>
    <w:p>
      <w:pPr>
        <w:spacing w:after="0" w:line="252" w:lineRule="exact"/>
        <w:rPr>
          <w:rFonts w:ascii="Arial" w:cs="Arial" w:eastAsia="Arial" w:hAnsi="Arial"/>
          <w:sz w:val="18"/>
          <w:szCs w:val="18"/>
          <w:color w:val="auto"/>
        </w:rPr>
      </w:pPr>
    </w:p>
    <w:p>
      <w:pPr>
        <w:ind w:left="900" w:hanging="143"/>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provides us with other investment advisory, research, and related services as we may from time to time require.</w:t>
      </w:r>
    </w:p>
    <w:p>
      <w:pPr>
        <w:spacing w:after="0" w:line="25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Investment Advisor’s services under the Investment Advisory Agreement are not exclusive, and it is free to furnish similar services to other entities so long as its services to us are not impaired.</w:t>
      </w:r>
    </w:p>
    <w:p>
      <w:pPr>
        <w:spacing w:after="0" w:line="183"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Investment Advisory Agreement provides that, absent willful misfeasance, bad faith, or negligence in the performance of its duties or by reason of the reckless disregard of its duties and obligations, the Investment Advisor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Investment Advisor’s services under the Investment Advisory Agreement or otherwise as Investment Advisor for the Company.</w:t>
      </w:r>
    </w:p>
    <w:p>
      <w:pPr>
        <w:spacing w:after="0" w:line="18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Pursuant to the Investment Advisory Agreement, the Company has agreed to pay the Investment Advisor a fee for investment advisory and management services consisting of two components — a base management fee and an incentive fee.</w:t>
      </w:r>
    </w:p>
    <w:p>
      <w:pPr>
        <w:spacing w:after="0" w:line="183"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The base management fee is calculated at an annual rate of 1.75% of the gross assets, which are the total assets reflected on the consolidated statements of assets and liabilities and includes any borrowings for investment purposes. Although the Company does not anticipate making significant investments in derivative financial instruments, the fair value of any such investments, which will not necessarily equal their notional value, will be included in the calculation of gross assets. For services rendered under the Investment Advisory Agreement, the base management fee is payable quarterly in arrears. The base management fee is calculated based on the average value of the gross assets at the end of the two most recently completed calendar quarters, and appropriately adjusted for any share issuances or repurchases during the current calendar quarter.</w:t>
      </w:r>
    </w:p>
    <w:p>
      <w:pPr>
        <w:spacing w:after="0" w:line="2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incentive fee consists of the following two parts:</w:t>
      </w:r>
    </w:p>
    <w:p>
      <w:pPr>
        <w:spacing w:after="0" w:line="252"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6"/>
          <w:szCs w:val="16"/>
          <w:color w:val="auto"/>
        </w:rPr>
        <w:t>The first part of the incentive fee is calculated and payable quarterly in arrears based on the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diligence, and consulting fees or other fees that we receive from portfolio companies) accrued during the calendar quarter, minus our operating expenses for the quarter (including the base management fee, expenses payable under the Administration Agreement to our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that we have not yet received in cash. Pre-incentive fee net investment income does not include any realized capital gains, computed net of all realized capital losses or unrealized capital appreciation or depreciation. Pre-incentive fee net investment income, expressed as a rate of return on the value of our net assets at the end of the immediately preceding calendar quarter, is compared to a hurdle of 2.0% per quarter (8.0% annualized). The Company pays the Investment Advisor an incentive fee with respect to the pre-incentive fee net investment income in each calendar quarter as follows: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ind w:left="900" w:hanging="143"/>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incentive fee in any calendar quarter in which the pre-incentive fee net investment income does not exceed the hurdle of 2.0%;</w:t>
      </w:r>
    </w:p>
    <w:p>
      <w:pPr>
        <w:spacing w:after="0" w:line="252" w:lineRule="exact"/>
        <w:rPr>
          <w:rFonts w:ascii="Arial" w:cs="Arial" w:eastAsia="Arial" w:hAnsi="Arial"/>
          <w:sz w:val="18"/>
          <w:szCs w:val="18"/>
          <w:color w:val="auto"/>
        </w:rPr>
      </w:pPr>
    </w:p>
    <w:p>
      <w:pPr>
        <w:jc w:val="both"/>
        <w:ind w:firstLine="757"/>
        <w:spacing w:after="0" w:line="319" w:lineRule="auto"/>
        <w:tabs>
          <w:tab w:leader="none" w:pos="916" w:val="left"/>
        </w:tabs>
        <w:numPr>
          <w:ilvl w:val="0"/>
          <w:numId w:val="20"/>
        </w:numPr>
        <w:rPr>
          <w:rFonts w:ascii="Arial" w:cs="Arial" w:eastAsia="Arial" w:hAnsi="Arial"/>
          <w:sz w:val="16"/>
          <w:szCs w:val="16"/>
          <w:color w:val="auto"/>
        </w:rPr>
      </w:pPr>
      <w:r>
        <w:rPr>
          <w:rFonts w:ascii="Arial" w:cs="Arial" w:eastAsia="Arial" w:hAnsi="Arial"/>
          <w:sz w:val="16"/>
          <w:szCs w:val="16"/>
          <w:color w:val="auto"/>
        </w:rPr>
        <w:t>100% of the pre-incentive fee net investment income with respect to that portion of such pre-incentive fee net investment income, if any, that exceeds the hurdle but is less than 2.5% in any calendar quarter (10.0% annualized). The Company refers to this portion of the pre-incentive fee net investment income (which exceeds the hurdle but is less than 2.5%) as the “catch-up.” The “catch-up” is meant to provide the Investment Advisor with 20% of the pre-incentive fee net investment income as if a hurdle did not apply if this net investment income exceeds 2.5% in any calendar quarter; and</w:t>
      </w:r>
    </w:p>
    <w:p>
      <w:pPr>
        <w:spacing w:after="0" w:line="169" w:lineRule="exact"/>
        <w:rPr>
          <w:rFonts w:ascii="Arial" w:cs="Arial" w:eastAsia="Arial" w:hAnsi="Arial"/>
          <w:sz w:val="16"/>
          <w:szCs w:val="16"/>
          <w:color w:val="auto"/>
        </w:rPr>
      </w:pPr>
    </w:p>
    <w:p>
      <w:pPr>
        <w:jc w:val="both"/>
        <w:ind w:firstLine="757"/>
        <w:spacing w:after="0" w:line="279" w:lineRule="auto"/>
        <w:tabs>
          <w:tab w:leader="none" w:pos="931" w:val="left"/>
        </w:tabs>
        <w:numPr>
          <w:ilvl w:val="0"/>
          <w:numId w:val="20"/>
        </w:numPr>
        <w:rPr>
          <w:rFonts w:ascii="Arial" w:cs="Arial" w:eastAsia="Arial" w:hAnsi="Arial"/>
          <w:sz w:val="18"/>
          <w:szCs w:val="18"/>
          <w:color w:val="auto"/>
        </w:rPr>
      </w:pPr>
      <w:r>
        <w:rPr>
          <w:rFonts w:ascii="Arial" w:cs="Arial" w:eastAsia="Arial" w:hAnsi="Arial"/>
          <w:sz w:val="18"/>
          <w:szCs w:val="18"/>
          <w:color w:val="auto"/>
        </w:rPr>
        <w:t>20% of the amount of the pre-incentive fee net investment income, if any, that exceeds 2.5% in any calendar quarter (10.0% annualized) is payable to the Investment Advisor (once the hurdle is reached and the catch-up is achieved, 20% of all pre-incentive fee investment income thereafter is allocated to the Investment Advisor).</w:t>
      </w:r>
    </w:p>
    <w:p>
      <w:pPr>
        <w:spacing w:after="0" w:line="196"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The second part of the incentive fee will be determined and payable in arrears as of the end of each calendar year, commencing on December 31, 2021, and will equal 20.0% of the Company’s realized capital gains, if any, on a cumulative basis with respect to each of the investments in the Company’s portfolio from the fiscal quarter ending on or immediately prior to July 1, 2021 through the end of each calendar year beginning with the calendar year ending December 31, 2021, computed net of all realized capital losses and unrealized capital depreciation on a cumulative basis from September 30, 2021 through the end of each calendar year beginning with the calendar year ending December 31, 2021, less the aggregate amount of any previously paid capital gain fees under the Investment Advisory Agreement. Any realized capital gains, realized capital losses and unrealized capital depreciation with respect to the Company’s portfolio as of the end of the fiscal quarter ending on or immediately prior to July 1, 2021 shall be excluded from the calculations of the capital gains fee. In the event that the Investment Advisory Agreement shall terminate as of a date that is not a calendar year end, the termination date shall be treated as though it were a calendar year end for purposes of calculating and paying a capital gains fee.</w:t>
      </w:r>
    </w:p>
    <w:p>
      <w:pPr>
        <w:spacing w:after="0" w:line="184"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The Company will defer cash payment of the portion of any incentive fee otherwise earned by the Investment Advisor that would, when taken together with all other incentive fees paid to the Investment Advisor during the most recent 12 full calendar month period ending on or prior to the date such payment is to be made, exceed 20% of the sum of (a) the pre-incentive fee net investment income during such period, (b) the net unrealized appreciation or depreciation during such period and (c) the net realized capital gains or losses during such period. Any deferred incentive fees will be carried over for payment in subsequent calculation periods to the extent such payment is payable under the Investment Advisory Agreement. As of September 30, 2021 and December 31, 2020, the Company had incentive fees payable to the Investment Advisor of zero and $3.7 million related to fees earned in prior years but deferred under the incentive fee deferral mechanism.</w:t>
      </w:r>
    </w:p>
    <w:p>
      <w:pPr>
        <w:spacing w:after="0" w:line="206" w:lineRule="exact"/>
        <w:rPr>
          <w:sz w:val="20"/>
          <w:szCs w:val="20"/>
          <w:color w:val="auto"/>
        </w:rPr>
      </w:pPr>
    </w:p>
    <w:p>
      <w:pPr>
        <w:jc w:val="both"/>
        <w:ind w:firstLine="815"/>
        <w:spacing w:after="0" w:line="279" w:lineRule="auto"/>
        <w:rPr>
          <w:sz w:val="20"/>
          <w:szCs w:val="20"/>
          <w:color w:val="auto"/>
        </w:rPr>
      </w:pPr>
      <w:r>
        <w:rPr>
          <w:rFonts w:ascii="Arial" w:cs="Arial" w:eastAsia="Arial" w:hAnsi="Arial"/>
          <w:sz w:val="18"/>
          <w:szCs w:val="18"/>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For the three months ended September 30, 2021 and 2020, the Company incurred $1.1 million and $1.6 million in base management fees, respectively. The Company did not earn an incentive fee related to pre-incentive fee net investment income or capital gains for the both three months ended September 30, 2021 and 2020.</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For the nine months ended September 30, 2021 and 2020, the Company incurred $3.8 million and $5.0 million in base management fees, respectively. The Company did not earn an incentive fee related to pre-incentive fee net investment income or capital gains for the both nine months ended September 30, 2021 and 2020.</w:t>
      </w:r>
    </w:p>
    <w:p>
      <w:pPr>
        <w:spacing w:after="0" w:line="19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On July 1, 2021, the Company entered into the Administration Agreement, pursuant to which the Administrator has agreed to furnish the Company with office facilities, equipment and clerical, bookkeeping, and record keeping services at such facilities. The Administrator also performs or oversees the performance of the required administrative services, which include, among other things, being responsible for the financial records that the Company is required to maintain and preparing reports to our stockholders. In addition, the Administrator assists in determining and publishing the net asset value, oversees the preparation and filing of the tax returns and the printing and dissemination of reports to the stockholders, and generally oversees the payment of the expenses and the performance of administrative and professional services rendered to the Company by others.</w:t>
      </w:r>
    </w:p>
    <w:p>
      <w:pPr>
        <w:spacing w:after="0" w:line="176"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Payments under the Administration Agreement are equal to an amount based upon the allocable portion of the Administrator’s overhead in performing its obligations under the Administration Agreement, including rent, the fees and expenses associated with performing compliance functions, and the allocable portion of the compensation of the chief financial officer, the chief compliance officer, and their respective administrative support staff. Under the Administration Agreement, the Administrator will also provide, on the Company’s behalf, managerial assistance to those portfolio companies that request such assistance. Unless terminated earlier in accordance with its terms, the Administration Agreement will remain in effect until July 1, 2021, a period of two years from the date it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5" w:name="page36"/>
    <w:bookmarkEnd w:id="35"/>
    <w:p>
      <w:pPr>
        <w:jc w:val="both"/>
        <w:spacing w:after="0" w:line="279" w:lineRule="auto"/>
        <w:rPr>
          <w:sz w:val="20"/>
          <w:szCs w:val="20"/>
          <w:color w:val="auto"/>
        </w:rPr>
      </w:pPr>
      <w:r>
        <w:rPr>
          <w:rFonts w:ascii="Arial" w:cs="Arial" w:eastAsia="Arial" w:hAnsi="Arial"/>
          <w:sz w:val="18"/>
          <w:szCs w:val="18"/>
          <w:color w:val="auto"/>
        </w:rPr>
        <w:t>first became effective and will remain in effect from year-to-year thereafter if approved annually by the Board. To the extent that the Administrator outsources any of its functions, the Company will pay the fees associated with such functions on a direct basis without any incremental profit to our Administrator. Stockholder approval is not required to amend the Administration Agreement.</w:t>
      </w:r>
    </w:p>
    <w:p>
      <w:pPr>
        <w:spacing w:after="0" w:line="19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For the three and nine months ended September 30, 2021 and 2020, the Company accrued $0.2 million and $0.9 million, respectively, for the Company’s allocable portion of the Administrator’s overhead.</w:t>
      </w:r>
    </w:p>
    <w:p>
      <w:pPr>
        <w:spacing w:after="0" w:line="18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Administration Agreement provides that, absent willful misfeasance, bad faith, or negligence in the performance of its duties or by reason of the reckless disregard of its duties and obligations, our Administrator and its officers, managers, partners, agents, employees, controlling persons, members, and any other person or entity affiliated with it are entitled to indemnification from the Company for any damages, liabilities, costs, and expenses (including reasonable attorneys’ fees and amounts reasonably paid in settlement) arising from the rendering of our Administrator’s services under the Administration Agreement or otherwise as Administrator for the Company.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Related Party Transactions</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of September 30, 2021 and December 31, 2020, the Company had $1.2 million and $3.8 million of management and incentive fees payable. These amounts are reflected in the accompanying consolidated statements of assets and liabilities under the caption “Management and incentive fees payable.”</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On June 1, 2020, the Company purchased approximately 50% of the outstanding loans in CSLF II at par as part of the wind-down of the joint venture. The Company paid $8.3 million for the loans and assumed a $3.0 million unfunded commitment related to Rapid Fire Protection, Inc.’s revolving credit facility. On June 12, 2020, the Company wound down CSLF II. See Note 4 for details.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Borrowings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25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The Company, through its wholly owned subsidiary Fund III, historically used debenture leverage provided through the SBA to fund a portion of its investment portfolio. As of December 31, 2020, the Company had $91.0 million of SBA-guaranteed debentures outstanding. On June 10, 2021, Fund III repaid all of its remaining SBA-guaranteed debentures. As of December 31, 2020, Fund III had total assets of $186.0 million collateralizing its SBA-guaranteed debentures. On June 10, 2014, the Company received an exemptive order from the SEC exempting the Company, Fund II, and Fund III from certain provisions of the 1940 Act (including an exemptive order granting relief from the asset coverage requirements for certain indebtedness issued by Fund II and Fund III as SBICs) and from certain reporting requirements mandated by the Securities Exchange Act of 1934, as amended, with respect to Fund II and Fund III.</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On March 1, 2019, Fund II repaid its outstanding SBA-guaranteed debentures and relinquished its SBIC license. On June 10, 2021, Fund III repaid its SBA-guaranteed debentures and relinquished its SBIC license. As a result of the payoff, the Company recorded an extinguishment loss of $0.8 million during the nine-months ended September 30, 2021.</w:t>
      </w:r>
    </w:p>
    <w:p>
      <w:pPr>
        <w:spacing w:after="0" w:line="19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of September 30, 2021, there were no SBA-guaranteed debentures outstanding. The following table summarizes the historical interest expense and annual charges, deferred financing costs, average outstanding balance, and average stated interest and annual charge rate on the SBA-guaranteed debentures for the three and nine months ended September 30, 2021 and 2020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4"/>
          </w:tcPr>
          <w:p>
            <w:pPr>
              <w:ind w:left="300"/>
              <w:spacing w:after="0"/>
              <w:rPr>
                <w:sz w:val="20"/>
                <w:szCs w:val="20"/>
                <w:color w:val="auto"/>
              </w:rPr>
            </w:pPr>
            <w:r>
              <w:rPr>
                <w:rFonts w:ascii="Arial" w:cs="Arial" w:eastAsia="Arial" w:hAnsi="Arial"/>
                <w:sz w:val="18"/>
                <w:szCs w:val="18"/>
                <w:b w:val="1"/>
                <w:bCs w:val="1"/>
                <w:color w:val="auto"/>
                <w:w w:val="93"/>
              </w:rPr>
              <w:t>For the Three Months Ended</w:t>
            </w:r>
          </w:p>
        </w:tc>
        <w:tc>
          <w:tcPr>
            <w:tcW w:w="64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For the Nine Months Ended</w:t>
            </w:r>
          </w:p>
        </w:tc>
        <w:tc>
          <w:tcPr>
            <w:tcW w:w="240" w:type="dxa"/>
            <w:vAlign w:val="bottom"/>
          </w:tcPr>
          <w:p>
            <w:pPr>
              <w:spacing w:after="0"/>
              <w:rPr>
                <w:sz w:val="20"/>
                <w:szCs w:val="20"/>
                <w:color w:val="auto"/>
              </w:rPr>
            </w:pPr>
          </w:p>
        </w:tc>
      </w:tr>
      <w:tr>
        <w:trPr>
          <w:trHeight w:val="238"/>
        </w:trPr>
        <w:tc>
          <w:tcPr>
            <w:tcW w:w="3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w:t>
            </w:r>
          </w:p>
        </w:tc>
      </w:tr>
      <w:tr>
        <w:trPr>
          <w:trHeight w:val="241"/>
        </w:trPr>
        <w:tc>
          <w:tcPr>
            <w:tcW w:w="3560" w:type="dxa"/>
            <w:vAlign w:val="bottom"/>
          </w:tcPr>
          <w:p>
            <w:pPr>
              <w:spacing w:after="0"/>
              <w:rPr>
                <w:sz w:val="20"/>
                <w:szCs w:val="20"/>
                <w:color w:val="auto"/>
              </w:rPr>
            </w:pPr>
          </w:p>
        </w:tc>
        <w:tc>
          <w:tcPr>
            <w:tcW w:w="16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2"/>
              </w:rPr>
              <w:t>September 30, 2021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0"/>
              </w:rPr>
              <w:t>September 30, 2020</w:t>
            </w: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r>
      <w:tr>
        <w:trPr>
          <w:trHeight w:val="257"/>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 and annual charges</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4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w:t>
            </w:r>
          </w:p>
        </w:tc>
        <w:tc>
          <w:tcPr>
            <w:tcW w:w="3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3,808</w:t>
            </w:r>
          </w:p>
        </w:tc>
        <w:tc>
          <w:tcPr>
            <w:tcW w:w="240" w:type="dxa"/>
            <w:vAlign w:val="bottom"/>
            <w:shd w:val="clear" w:color="auto" w:fill="CFF0FC"/>
          </w:tcPr>
          <w:p>
            <w:pPr>
              <w:spacing w:after="0"/>
              <w:rPr>
                <w:sz w:val="22"/>
                <w:szCs w:val="22"/>
                <w:color w:val="auto"/>
              </w:rPr>
            </w:pPr>
          </w:p>
        </w:tc>
      </w:tr>
      <w:tr>
        <w:trPr>
          <w:trHeight w:val="250"/>
        </w:trPr>
        <w:tc>
          <w:tcPr>
            <w:tcW w:w="35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21"/>
                <w:szCs w:val="21"/>
                <w:color w:val="auto"/>
              </w:rPr>
            </w:pPr>
          </w:p>
        </w:tc>
      </w:tr>
      <w:tr>
        <w:trPr>
          <w:trHeight w:val="290"/>
        </w:trPr>
        <w:tc>
          <w:tcPr>
            <w:tcW w:w="3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and financing expenses</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FF0FC"/>
          </w:tcPr>
          <w:p>
            <w:pPr>
              <w:ind w:left="1060"/>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1,254</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4,244</w:t>
            </w:r>
          </w:p>
        </w:tc>
        <w:tc>
          <w:tcPr>
            <w:tcW w:w="240" w:type="dxa"/>
            <w:vAlign w:val="bottom"/>
            <w:tcBorders>
              <w:bottom w:val="single" w:sz="8" w:color="CFF0FC"/>
            </w:tcBorders>
            <w:shd w:val="clear" w:color="auto" w:fill="CFF0FC"/>
          </w:tcPr>
          <w:p>
            <w:pPr>
              <w:spacing w:after="0"/>
              <w:rPr>
                <w:sz w:val="24"/>
                <w:szCs w:val="24"/>
                <w:color w:val="auto"/>
              </w:rPr>
            </w:pPr>
          </w:p>
        </w:tc>
      </w:tr>
      <w:tr>
        <w:trPr>
          <w:trHeight w:val="237"/>
        </w:trPr>
        <w:tc>
          <w:tcPr>
            <w:tcW w:w="3560" w:type="dxa"/>
            <w:vAlign w:val="bottom"/>
          </w:tcPr>
          <w:p>
            <w:pPr>
              <w:ind w:left="20"/>
              <w:spacing w:after="0"/>
              <w:rPr>
                <w:sz w:val="20"/>
                <w:szCs w:val="20"/>
                <w:color w:val="auto"/>
              </w:rPr>
            </w:pPr>
            <w:r>
              <w:rPr>
                <w:rFonts w:ascii="Arial" w:cs="Arial" w:eastAsia="Arial" w:hAnsi="Arial"/>
                <w:sz w:val="18"/>
                <w:szCs w:val="18"/>
                <w:color w:val="auto"/>
              </w:rPr>
              <w:t>Average outstanding balance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130,761</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45,154</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143,540</w:t>
            </w:r>
          </w:p>
        </w:tc>
        <w:tc>
          <w:tcPr>
            <w:tcW w:w="240" w:type="dxa"/>
            <w:vAlign w:val="bottom"/>
          </w:tcPr>
          <w:p>
            <w:pPr>
              <w:spacing w:after="0"/>
              <w:rPr>
                <w:sz w:val="20"/>
                <w:szCs w:val="20"/>
                <w:color w:val="auto"/>
              </w:rPr>
            </w:pPr>
          </w:p>
        </w:tc>
      </w:tr>
      <w:tr>
        <w:trPr>
          <w:trHeight w:val="263"/>
        </w:trPr>
        <w:tc>
          <w:tcPr>
            <w:tcW w:w="35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3"/>
              </w:rPr>
              <w:t>Average stated interest and annual charge rate</w:t>
            </w:r>
          </w:p>
        </w:tc>
        <w:tc>
          <w:tcPr>
            <w:tcW w:w="40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ind w:left="106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3.45 %</w:t>
            </w:r>
          </w:p>
        </w:tc>
        <w:tc>
          <w:tcPr>
            <w:tcW w:w="14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3.14 %</w:t>
            </w:r>
          </w:p>
        </w:tc>
        <w:tc>
          <w:tcPr>
            <w:tcW w:w="14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3.52 %</w:t>
            </w:r>
          </w:p>
        </w:tc>
      </w:tr>
      <w:tr>
        <w:trPr>
          <w:trHeight w:val="675"/>
        </w:trPr>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750"/>
              <w:spacing w:after="0"/>
              <w:rPr>
                <w:sz w:val="20"/>
                <w:szCs w:val="20"/>
                <w:color w:val="auto"/>
              </w:rPr>
            </w:pPr>
            <w:r>
              <w:rPr>
                <w:rFonts w:ascii="Arial" w:cs="Arial" w:eastAsia="Arial" w:hAnsi="Arial"/>
                <w:sz w:val="18"/>
                <w:szCs w:val="18"/>
                <w:color w:val="auto"/>
              </w:rPr>
              <w:t>36</w:t>
            </w: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-864870</wp:posOffset>
            </wp:positionV>
            <wp:extent cx="26543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265430" cy="8890"/>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-847725</wp:posOffset>
            </wp:positionV>
            <wp:extent cx="26543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-864870</wp:posOffset>
            </wp:positionV>
            <wp:extent cx="2489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-847725</wp:posOffset>
            </wp:positionV>
            <wp:extent cx="24892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-864870</wp:posOffset>
            </wp:positionV>
            <wp:extent cx="2317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-847725</wp:posOffset>
            </wp:positionV>
            <wp:extent cx="23177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-864870</wp:posOffset>
            </wp:positionV>
            <wp:extent cx="15430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-847725</wp:posOffset>
            </wp:positionV>
            <wp:extent cx="15430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6" w:name="page37"/>
    <w:bookmarkEnd w:id="36"/>
    <w:p>
      <w:pPr>
        <w:jc w:val="both"/>
        <w:ind w:right="20" w:firstLine="749"/>
        <w:spacing w:after="0" w:line="293" w:lineRule="auto"/>
        <w:rPr>
          <w:sz w:val="20"/>
          <w:szCs w:val="20"/>
          <w:color w:val="auto"/>
        </w:rPr>
      </w:pPr>
      <w:r>
        <w:rPr>
          <w:rFonts w:ascii="Arial" w:cs="Arial" w:eastAsia="Arial" w:hAnsi="Arial"/>
          <w:sz w:val="18"/>
          <w:szCs w:val="18"/>
          <w:color w:val="auto"/>
        </w:rPr>
        <w:t>As of December 31, 2020, the Company’s issued and outstanding SBA-guaranteed debentures mature (or were scheduled to mature, prior to being repaid, as applicable) as follows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3"/>
          </w:tcPr>
          <w:p>
            <w:pPr>
              <w:jc w:val="center"/>
              <w:ind w:right="530"/>
              <w:spacing w:after="0"/>
              <w:rPr>
                <w:sz w:val="20"/>
                <w:szCs w:val="20"/>
                <w:color w:val="auto"/>
              </w:rPr>
            </w:pPr>
            <w:r>
              <w:rPr>
                <w:rFonts w:ascii="Arial" w:cs="Arial" w:eastAsia="Arial" w:hAnsi="Arial"/>
                <w:sz w:val="18"/>
                <w:szCs w:val="18"/>
                <w:b w:val="1"/>
                <w:bCs w:val="1"/>
                <w:color w:val="auto"/>
                <w:w w:val="94"/>
              </w:rPr>
              <w:t>SBA Annual</w:t>
            </w:r>
          </w:p>
        </w:tc>
        <w:tc>
          <w:tcPr>
            <w:tcW w:w="154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December 31,</w:t>
            </w:r>
          </w:p>
        </w:tc>
        <w:tc>
          <w:tcPr>
            <w:tcW w:w="80" w:type="dxa"/>
            <w:vAlign w:val="bottom"/>
          </w:tcPr>
          <w:p>
            <w:pPr>
              <w:spacing w:after="0"/>
              <w:rPr>
                <w:sz w:val="19"/>
                <w:szCs w:val="19"/>
                <w:color w:val="auto"/>
              </w:rPr>
            </w:pPr>
          </w:p>
        </w:tc>
      </w:tr>
      <w:tr>
        <w:trPr>
          <w:trHeight w:val="241"/>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Fixed Maturity Date</w:t>
            </w:r>
          </w:p>
        </w:tc>
        <w:tc>
          <w:tcPr>
            <w:tcW w:w="160" w:type="dxa"/>
            <w:vAlign w:val="bottom"/>
          </w:tcPr>
          <w:p>
            <w:pPr>
              <w:spacing w:after="0"/>
              <w:rPr>
                <w:sz w:val="20"/>
                <w:szCs w:val="20"/>
                <w:color w:val="auto"/>
              </w:rPr>
            </w:pPr>
          </w:p>
        </w:tc>
        <w:tc>
          <w:tcPr>
            <w:tcW w:w="16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Interest Rate</w:t>
            </w:r>
          </w:p>
        </w:tc>
        <w:tc>
          <w:tcPr>
            <w:tcW w:w="42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Charge</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57"/>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 2021</w:t>
            </w:r>
          </w:p>
        </w:tc>
        <w:tc>
          <w:tcPr>
            <w:tcW w:w="2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4.084 %</w:t>
            </w:r>
          </w:p>
        </w:tc>
        <w:tc>
          <w:tcPr>
            <w:tcW w:w="22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0.285 %   $</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FF0FC"/>
          </w:tcPr>
          <w:p>
            <w:pPr>
              <w:spacing w:after="0"/>
              <w:rPr>
                <w:sz w:val="22"/>
                <w:szCs w:val="22"/>
                <w:color w:val="auto"/>
              </w:rPr>
            </w:pPr>
          </w:p>
        </w:tc>
      </w:tr>
      <w:tr>
        <w:trPr>
          <w:trHeight w:val="250"/>
        </w:trPr>
        <w:tc>
          <w:tcPr>
            <w:tcW w:w="5160" w:type="dxa"/>
            <w:vAlign w:val="bottom"/>
          </w:tcPr>
          <w:p>
            <w:pPr>
              <w:ind w:left="20"/>
              <w:spacing w:after="0"/>
              <w:rPr>
                <w:sz w:val="20"/>
                <w:szCs w:val="20"/>
                <w:color w:val="auto"/>
              </w:rPr>
            </w:pPr>
            <w:r>
              <w:rPr>
                <w:rFonts w:ascii="Arial" w:cs="Arial" w:eastAsia="Arial" w:hAnsi="Arial"/>
                <w:sz w:val="18"/>
                <w:szCs w:val="18"/>
                <w:color w:val="auto"/>
              </w:rPr>
              <w:t>March 1, 2022</w:t>
            </w:r>
          </w:p>
        </w:tc>
        <w:tc>
          <w:tcPr>
            <w:tcW w:w="2220" w:type="dxa"/>
            <w:vAlign w:val="bottom"/>
            <w:gridSpan w:val="3"/>
          </w:tcPr>
          <w:p>
            <w:pPr>
              <w:jc w:val="right"/>
              <w:ind w:right="260"/>
              <w:spacing w:after="0"/>
              <w:rPr>
                <w:sz w:val="20"/>
                <w:szCs w:val="20"/>
                <w:color w:val="auto"/>
              </w:rPr>
            </w:pPr>
            <w:r>
              <w:rPr>
                <w:rFonts w:ascii="Arial" w:cs="Arial" w:eastAsia="Arial" w:hAnsi="Arial"/>
                <w:sz w:val="18"/>
                <w:szCs w:val="18"/>
                <w:color w:val="auto"/>
              </w:rPr>
              <w:t>2.766 %</w:t>
            </w: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0.285 %</w:t>
            </w:r>
          </w:p>
        </w:tc>
        <w:tc>
          <w:tcPr>
            <w:tcW w:w="2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r>
      <w:tr>
        <w:trPr>
          <w:trHeight w:val="263"/>
        </w:trPr>
        <w:tc>
          <w:tcPr>
            <w:tcW w:w="5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 2022</w:t>
            </w:r>
          </w:p>
        </w:tc>
        <w:tc>
          <w:tcPr>
            <w:tcW w:w="2220" w:type="dxa"/>
            <w:vAlign w:val="bottom"/>
            <w:gridSpan w:val="3"/>
            <w:shd w:val="clear" w:color="auto" w:fill="CFF0FC"/>
          </w:tcPr>
          <w:p>
            <w:pPr>
              <w:jc w:val="right"/>
              <w:ind w:right="260"/>
              <w:spacing w:after="0"/>
              <w:rPr>
                <w:sz w:val="20"/>
                <w:szCs w:val="20"/>
                <w:color w:val="auto"/>
              </w:rPr>
            </w:pPr>
            <w:r>
              <w:rPr>
                <w:rFonts w:ascii="Arial" w:cs="Arial" w:eastAsia="Arial" w:hAnsi="Arial"/>
                <w:sz w:val="18"/>
                <w:szCs w:val="18"/>
                <w:color w:val="auto"/>
              </w:rPr>
              <w:t>2.766 %</w:t>
            </w:r>
          </w:p>
        </w:tc>
        <w:tc>
          <w:tcPr>
            <w:tcW w:w="2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0.515 %</w:t>
            </w:r>
          </w:p>
        </w:tc>
        <w:tc>
          <w:tcPr>
            <w:tcW w:w="220" w:type="dxa"/>
            <w:vAlign w:val="bottom"/>
            <w:shd w:val="clear" w:color="auto" w:fill="CFF0FC"/>
          </w:tcPr>
          <w:p>
            <w:pPr>
              <w:spacing w:after="0"/>
              <w:rPr>
                <w:sz w:val="22"/>
                <w:szCs w:val="22"/>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22"/>
                <w:szCs w:val="22"/>
                <w:color w:val="auto"/>
              </w:rPr>
            </w:pPr>
          </w:p>
        </w:tc>
      </w:tr>
      <w:tr>
        <w:trPr>
          <w:trHeight w:val="257"/>
        </w:trPr>
        <w:tc>
          <w:tcPr>
            <w:tcW w:w="5160" w:type="dxa"/>
            <w:vAlign w:val="bottom"/>
          </w:tcPr>
          <w:p>
            <w:pPr>
              <w:ind w:left="20"/>
              <w:spacing w:after="0"/>
              <w:rPr>
                <w:sz w:val="20"/>
                <w:szCs w:val="20"/>
                <w:color w:val="auto"/>
              </w:rPr>
            </w:pPr>
            <w:r>
              <w:rPr>
                <w:rFonts w:ascii="Arial" w:cs="Arial" w:eastAsia="Arial" w:hAnsi="Arial"/>
                <w:sz w:val="18"/>
                <w:szCs w:val="18"/>
                <w:color w:val="auto"/>
              </w:rPr>
              <w:t>March 1, 2023</w:t>
            </w:r>
          </w:p>
        </w:tc>
        <w:tc>
          <w:tcPr>
            <w:tcW w:w="2220" w:type="dxa"/>
            <w:vAlign w:val="bottom"/>
            <w:gridSpan w:val="3"/>
          </w:tcPr>
          <w:p>
            <w:pPr>
              <w:jc w:val="right"/>
              <w:ind w:right="260"/>
              <w:spacing w:after="0"/>
              <w:rPr>
                <w:sz w:val="20"/>
                <w:szCs w:val="20"/>
                <w:color w:val="auto"/>
              </w:rPr>
            </w:pPr>
            <w:r>
              <w:rPr>
                <w:rFonts w:ascii="Arial" w:cs="Arial" w:eastAsia="Arial" w:hAnsi="Arial"/>
                <w:sz w:val="18"/>
                <w:szCs w:val="18"/>
                <w:color w:val="auto"/>
              </w:rPr>
              <w:t>2.351 %</w:t>
            </w:r>
          </w:p>
        </w:tc>
        <w:tc>
          <w:tcPr>
            <w:tcW w:w="2020" w:type="dxa"/>
            <w:vAlign w:val="bottom"/>
            <w:gridSpan w:val="2"/>
          </w:tcPr>
          <w:p>
            <w:pPr>
              <w:jc w:val="right"/>
              <w:ind w:right="240"/>
              <w:spacing w:after="0"/>
              <w:rPr>
                <w:sz w:val="20"/>
                <w:szCs w:val="20"/>
                <w:color w:val="auto"/>
              </w:rPr>
            </w:pPr>
            <w:r>
              <w:rPr>
                <w:rFonts w:ascii="Arial" w:cs="Arial" w:eastAsia="Arial" w:hAnsi="Arial"/>
                <w:sz w:val="18"/>
                <w:szCs w:val="18"/>
                <w:color w:val="auto"/>
              </w:rPr>
              <w:t>0.515 %</w:t>
            </w:r>
          </w:p>
        </w:tc>
        <w:tc>
          <w:tcPr>
            <w:tcW w:w="22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22"/>
                <w:szCs w:val="22"/>
                <w:color w:val="auto"/>
              </w:rPr>
            </w:pPr>
          </w:p>
        </w:tc>
      </w:tr>
      <w:tr>
        <w:trPr>
          <w:trHeight w:val="283"/>
        </w:trPr>
        <w:tc>
          <w:tcPr>
            <w:tcW w:w="5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2020" w:type="dxa"/>
            <w:vAlign w:val="bottom"/>
            <w:tcBorders>
              <w:bottom w:val="single" w:sz="8" w:color="CFF0FC"/>
            </w:tcBorders>
            <w:gridSpan w:val="2"/>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91,000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Notes</w:t>
      </w:r>
    </w:p>
    <w:p>
      <w:pPr>
        <w:spacing w:after="0" w:line="252" w:lineRule="exact"/>
        <w:rPr>
          <w:sz w:val="20"/>
          <w:szCs w:val="20"/>
          <w:color w:val="auto"/>
        </w:rPr>
      </w:pPr>
    </w:p>
    <w:p>
      <w:pPr>
        <w:jc w:val="both"/>
        <w:ind w:firstLine="814"/>
        <w:spacing w:after="0" w:line="292" w:lineRule="auto"/>
        <w:rPr>
          <w:sz w:val="20"/>
          <w:szCs w:val="20"/>
          <w:color w:val="auto"/>
        </w:rPr>
      </w:pPr>
      <w:r>
        <w:rPr>
          <w:rFonts w:ascii="Arial" w:cs="Arial" w:eastAsia="Arial" w:hAnsi="Arial"/>
          <w:sz w:val="17"/>
          <w:szCs w:val="17"/>
          <w:color w:val="auto"/>
        </w:rPr>
        <w:t>On May 16, 2017, the Company issued $70.0 million in aggregate principal amount of 6.0% fixed-rate notes due May 31, 2022 (the “2022 Notes”). On May 25, 2017, the Company issued an additional $5.0 million in aggregate principal amount of the 2022 Notes pursuant to a partial exercise of the underwriters’ overallotment option. The 2022 Notes will mature on May 31, 2022 and may be redeemed in whole or in part at any time or from time to time at the Company’s option on or after May 31, 2019 at a redemption price equal to 100% of the outstanding principal, plus accrued and unpaid interest. As of September 30, 2021 and December 31, 2020, the Company had $72.8 million in 2022 Notes outstanding.</w:t>
      </w:r>
    </w:p>
    <w:p>
      <w:pPr>
        <w:spacing w:after="0" w:line="188"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Notes for the three and nine months ended September 30, 2021 and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3"/>
              </w:rPr>
              <w:t>For the Three Months Ended</w:t>
            </w:r>
          </w:p>
        </w:tc>
        <w:tc>
          <w:tcPr>
            <w:tcW w:w="5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For the Nine Months Ended</w:t>
            </w:r>
          </w:p>
        </w:tc>
        <w:tc>
          <w:tcPr>
            <w:tcW w:w="240" w:type="dxa"/>
            <w:vAlign w:val="bottom"/>
          </w:tcPr>
          <w:p>
            <w:pPr>
              <w:spacing w:after="0"/>
              <w:rPr>
                <w:sz w:val="20"/>
                <w:szCs w:val="20"/>
                <w:color w:val="auto"/>
              </w:rPr>
            </w:pPr>
          </w:p>
        </w:tc>
      </w:tr>
      <w:tr>
        <w:trPr>
          <w:trHeight w:val="238"/>
        </w:trPr>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w:t>
            </w:r>
          </w:p>
        </w:tc>
      </w:tr>
      <w:tr>
        <w:trPr>
          <w:trHeight w:val="241"/>
        </w:trPr>
        <w:tc>
          <w:tcPr>
            <w:tcW w:w="374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2021</w:t>
            </w:r>
          </w:p>
        </w:tc>
        <w:tc>
          <w:tcPr>
            <w:tcW w:w="19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r>
      <w:tr>
        <w:trPr>
          <w:trHeight w:val="25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1,092</w:t>
            </w:r>
          </w:p>
        </w:tc>
        <w:tc>
          <w:tcPr>
            <w:tcW w:w="380" w:type="dxa"/>
            <w:vAlign w:val="bottom"/>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40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3,278</w:t>
            </w:r>
          </w:p>
        </w:tc>
        <w:tc>
          <w:tcPr>
            <w:tcW w:w="3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w:t>
            </w:r>
          </w:p>
        </w:tc>
        <w:tc>
          <w:tcPr>
            <w:tcW w:w="240" w:type="dxa"/>
            <w:vAlign w:val="bottom"/>
            <w:shd w:val="clear" w:color="auto" w:fill="CFF0FC"/>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21"/>
                <w:szCs w:val="21"/>
                <w:color w:val="auto"/>
              </w:rPr>
            </w:pPr>
          </w:p>
        </w:tc>
      </w:tr>
      <w:tr>
        <w:trPr>
          <w:trHeight w:val="290"/>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and financing expenses</w:t>
            </w: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1,241</w:t>
            </w:r>
          </w:p>
        </w:tc>
        <w:tc>
          <w:tcPr>
            <w:tcW w:w="3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1,250</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3,783</w:t>
            </w:r>
          </w:p>
        </w:tc>
        <w:tc>
          <w:tcPr>
            <w:tcW w:w="240" w:type="dxa"/>
            <w:vAlign w:val="bottom"/>
            <w:tcBorders>
              <w:bottom w:val="single" w:sz="8" w:color="CFF0FC"/>
            </w:tcBorders>
            <w:shd w:val="clear" w:color="auto" w:fill="CFF0FC"/>
          </w:tcPr>
          <w:p>
            <w:pPr>
              <w:spacing w:after="0"/>
              <w:rPr>
                <w:sz w:val="24"/>
                <w:szCs w:val="24"/>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Average outstanding balance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72,833</w:t>
            </w:r>
          </w:p>
        </w:tc>
        <w:tc>
          <w:tcPr>
            <w:tcW w:w="38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74,193</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72,833</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74,729</w:t>
            </w:r>
          </w:p>
        </w:tc>
        <w:tc>
          <w:tcPr>
            <w:tcW w:w="240" w:type="dxa"/>
            <w:vAlign w:val="bottom"/>
          </w:tcPr>
          <w:p>
            <w:pPr>
              <w:spacing w:after="0"/>
              <w:rPr>
                <w:sz w:val="20"/>
                <w:szCs w:val="20"/>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stated interest rate</w:t>
            </w:r>
          </w:p>
        </w:tc>
        <w:tc>
          <w:tcPr>
            <w:tcW w:w="3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6.0 %</w:t>
            </w:r>
          </w:p>
        </w:tc>
        <w:tc>
          <w:tcPr>
            <w:tcW w:w="9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6.0 %</w:t>
            </w:r>
          </w:p>
        </w:tc>
        <w:tc>
          <w:tcPr>
            <w:tcW w:w="14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6.0 %</w:t>
            </w:r>
          </w:p>
        </w:tc>
        <w:tc>
          <w:tcPr>
            <w:tcW w:w="14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-350520</wp:posOffset>
            </wp:positionV>
            <wp:extent cx="24892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-334010</wp:posOffset>
            </wp:positionV>
            <wp:extent cx="24892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-350520</wp:posOffset>
            </wp:positionV>
            <wp:extent cx="24892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-334010</wp:posOffset>
            </wp:positionV>
            <wp:extent cx="24892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24892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-350520</wp:posOffset>
            </wp:positionV>
            <wp:extent cx="23177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-334010</wp:posOffset>
            </wp:positionV>
            <wp:extent cx="231775"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-350520</wp:posOffset>
            </wp:positionV>
            <wp:extent cx="15430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-334010</wp:posOffset>
            </wp:positionV>
            <wp:extent cx="15430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25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On May 26, 2017, the Company issued $50.0 million in aggregate principal amount of 5.75% fixed-rate convertible notes due May 31, 2022 (the “2022 Convertible Notes”). On June 26, 2017, the Company issued an additional $2.1 million in aggregate principal amount of the 2022 Convertible Notes pursuant to a partial exercise of the underwriters’ overallotment option.</w:t>
      </w:r>
    </w:p>
    <w:p>
      <w:pPr>
        <w:spacing w:after="0" w:line="196" w:lineRule="exact"/>
        <w:rPr>
          <w:sz w:val="20"/>
          <w:szCs w:val="20"/>
          <w:color w:val="auto"/>
        </w:rPr>
      </w:pPr>
    </w:p>
    <w:p>
      <w:pPr>
        <w:jc w:val="both"/>
        <w:ind w:firstLine="749"/>
        <w:spacing w:after="0" w:line="308" w:lineRule="auto"/>
        <w:rPr>
          <w:sz w:val="20"/>
          <w:szCs w:val="20"/>
          <w:color w:val="auto"/>
        </w:rPr>
      </w:pPr>
      <w:r>
        <w:rPr>
          <w:rFonts w:ascii="Arial" w:cs="Arial" w:eastAsia="Arial" w:hAnsi="Arial"/>
          <w:sz w:val="16"/>
          <w:szCs w:val="16"/>
          <w:color w:val="auto"/>
        </w:rPr>
        <w:t>The 2022 Convertible Notes are convertible, at the holder’s option, into shares of the Company’s common stock at any time on or prior to the close of business on the business day immediately preceding the maturity date. The conversion rate for the 2022 Convertible Notes was initially 1.5913 shares per $25.00 principal amount of 2022 Convertible Notes (equivalent to an initial conversion price of approximately $15.71 per share of common stock). The initial conversion premium is approximately 14.0%. As a result of the Reverse Stock Split, the conversion rate for the 2022 Convertible Notes is 0.2652 shares per $25.00 principal amount of 2022 Convertible Notes (equivalent to a conversion price of approximately $94.26) effective August 21, 2020. Upon conversion, the Company will deliver shares of its common stock (and cash in lieu of fractional shares). The conversion rate is subject to adjustment if certain events occur as outlined in the supplemental indenture relating to the 2022 Convertible Notes. The Company has determined that the embedded conversion option in the 2022 Convertible Notes is not required to be separately accounted for as a derivative under U.S. GAAP.</w:t>
      </w:r>
    </w:p>
    <w:p>
      <w:pPr>
        <w:spacing w:after="0" w:line="177"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In addition, pursuant to a “fundamental change”, as defined in the supplemental indenture relating to the 2022 Convertible Notes, holders of the 2022 Convertible Notes may require the Company to repurchase for cash all or part of their 2022 Convertible Notes at a repurchase price equal to 100.0% of the principal amount of the 2022 Convertible Notes to be repurchased, plus accrued and unpaid interest through, but excluding, the repurchase date. The 2022 Convertible Notes are not redeemable prior to maturity and no “sinking fund” is provided for the 2022 Convertible Notes.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and December 31, 2020, the Company had $52.1 million in 2022 Convertible Notes outstanding.</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jc w:val="both"/>
        <w:ind w:firstLine="749"/>
        <w:spacing w:after="0" w:line="293" w:lineRule="auto"/>
        <w:rPr>
          <w:sz w:val="20"/>
          <w:szCs w:val="20"/>
          <w:color w:val="auto"/>
        </w:rPr>
      </w:pPr>
      <w:r>
        <w:rPr>
          <w:rFonts w:ascii="Arial" w:cs="Arial" w:eastAsia="Arial" w:hAnsi="Arial"/>
          <w:sz w:val="18"/>
          <w:szCs w:val="18"/>
          <w:color w:val="auto"/>
        </w:rPr>
        <w:t>The following table summarizes the interest expense, deferred financing costs, average outstanding balance, and average stated interest rate on the 2022 Convertible Notes for the three and nine months ended September 30, 2021 and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w w:val="93"/>
              </w:rPr>
              <w:t>For the Three Months Ended</w:t>
            </w:r>
          </w:p>
        </w:tc>
        <w:tc>
          <w:tcPr>
            <w:tcW w:w="56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8"/>
                <w:szCs w:val="18"/>
                <w:b w:val="1"/>
                <w:bCs w:val="1"/>
                <w:color w:val="auto"/>
              </w:rPr>
              <w:t>For the Nine Months Ended</w:t>
            </w:r>
          </w:p>
        </w:tc>
        <w:tc>
          <w:tcPr>
            <w:tcW w:w="240" w:type="dxa"/>
            <w:vAlign w:val="bottom"/>
          </w:tcPr>
          <w:p>
            <w:pPr>
              <w:spacing w:after="0"/>
              <w:rPr>
                <w:sz w:val="20"/>
                <w:szCs w:val="20"/>
                <w:color w:val="auto"/>
              </w:rPr>
            </w:pPr>
          </w:p>
        </w:tc>
      </w:tr>
      <w:tr>
        <w:trPr>
          <w:trHeight w:val="238"/>
        </w:trPr>
        <w:tc>
          <w:tcPr>
            <w:tcW w:w="3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0"/>
              </w:rPr>
              <w:t>September 30,</w:t>
            </w:r>
          </w:p>
        </w:tc>
        <w:tc>
          <w:tcPr>
            <w:tcW w:w="140" w:type="dxa"/>
            <w:vAlign w:val="bottom"/>
          </w:tcPr>
          <w:p>
            <w:pPr>
              <w:spacing w:after="0"/>
              <w:rPr>
                <w:sz w:val="20"/>
                <w:szCs w:val="20"/>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0"/>
              </w:rPr>
              <w:t>September 30,</w:t>
            </w:r>
          </w:p>
        </w:tc>
      </w:tr>
      <w:tr>
        <w:trPr>
          <w:trHeight w:val="241"/>
        </w:trPr>
        <w:tc>
          <w:tcPr>
            <w:tcW w:w="3740" w:type="dxa"/>
            <w:vAlign w:val="bottom"/>
          </w:tcPr>
          <w:p>
            <w:pPr>
              <w:spacing w:after="0"/>
              <w:rPr>
                <w:sz w:val="20"/>
                <w:szCs w:val="20"/>
                <w:color w:val="auto"/>
              </w:rPr>
            </w:pPr>
          </w:p>
        </w:tc>
        <w:tc>
          <w:tcPr>
            <w:tcW w:w="192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2021</w:t>
            </w:r>
          </w:p>
        </w:tc>
        <w:tc>
          <w:tcPr>
            <w:tcW w:w="19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 2020</w:t>
            </w: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20"/>
                <w:szCs w:val="20"/>
                <w:color w:val="auto"/>
              </w:rPr>
            </w:pPr>
          </w:p>
        </w:tc>
      </w:tr>
      <w:tr>
        <w:trPr>
          <w:trHeight w:val="257"/>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380" w:type="dxa"/>
            <w:vAlign w:val="bottom"/>
            <w:shd w:val="clear" w:color="auto" w:fill="CFF0FC"/>
          </w:tcPr>
          <w:p>
            <w:pPr>
              <w:spacing w:after="0"/>
              <w:rPr>
                <w:sz w:val="22"/>
                <w:szCs w:val="22"/>
                <w:color w:val="auto"/>
              </w:rPr>
            </w:pPr>
          </w:p>
        </w:tc>
        <w:tc>
          <w:tcPr>
            <w:tcW w:w="9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w:t>
            </w:r>
          </w:p>
        </w:tc>
        <w:tc>
          <w:tcPr>
            <w:tcW w:w="40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w:t>
            </w:r>
          </w:p>
        </w:tc>
        <w:tc>
          <w:tcPr>
            <w:tcW w:w="3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2,247</w:t>
            </w:r>
          </w:p>
        </w:tc>
        <w:tc>
          <w:tcPr>
            <w:tcW w:w="240" w:type="dxa"/>
            <w:vAlign w:val="bottom"/>
            <w:shd w:val="clear" w:color="auto" w:fill="CFF0FC"/>
          </w:tcPr>
          <w:p>
            <w:pPr>
              <w:spacing w:after="0"/>
              <w:rPr>
                <w:sz w:val="22"/>
                <w:szCs w:val="22"/>
                <w:color w:val="auto"/>
              </w:rPr>
            </w:pPr>
          </w:p>
        </w:tc>
      </w:tr>
      <w:tr>
        <w:trPr>
          <w:trHeight w:val="250"/>
        </w:trPr>
        <w:tc>
          <w:tcPr>
            <w:tcW w:w="374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38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3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240" w:type="dxa"/>
            <w:vAlign w:val="bottom"/>
          </w:tcPr>
          <w:p>
            <w:pPr>
              <w:spacing w:after="0"/>
              <w:rPr>
                <w:sz w:val="21"/>
                <w:szCs w:val="21"/>
                <w:color w:val="auto"/>
              </w:rPr>
            </w:pPr>
          </w:p>
        </w:tc>
      </w:tr>
      <w:tr>
        <w:trPr>
          <w:trHeight w:val="290"/>
        </w:trPr>
        <w:tc>
          <w:tcPr>
            <w:tcW w:w="3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interest and financing expenses</w:t>
            </w:r>
          </w:p>
        </w:tc>
        <w:tc>
          <w:tcPr>
            <w:tcW w:w="3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380" w:type="dxa"/>
            <w:vAlign w:val="bottom"/>
            <w:tcBorders>
              <w:bottom w:val="single" w:sz="8" w:color="CFF0FC"/>
            </w:tcBorders>
            <w:shd w:val="clear" w:color="auto" w:fill="CFF0FC"/>
          </w:tcPr>
          <w:p>
            <w:pPr>
              <w:spacing w:after="0"/>
              <w:rPr>
                <w:sz w:val="24"/>
                <w:szCs w:val="24"/>
                <w:color w:val="auto"/>
              </w:rPr>
            </w:pPr>
          </w:p>
        </w:tc>
        <w:tc>
          <w:tcPr>
            <w:tcW w:w="9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4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2,535</w:t>
            </w:r>
          </w:p>
        </w:tc>
        <w:tc>
          <w:tcPr>
            <w:tcW w:w="3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2,517</w:t>
            </w:r>
          </w:p>
        </w:tc>
        <w:tc>
          <w:tcPr>
            <w:tcW w:w="240" w:type="dxa"/>
            <w:vAlign w:val="bottom"/>
            <w:tcBorders>
              <w:bottom w:val="single" w:sz="8" w:color="CFF0FC"/>
            </w:tcBorders>
            <w:shd w:val="clear" w:color="auto" w:fill="CFF0FC"/>
          </w:tcPr>
          <w:p>
            <w:pPr>
              <w:spacing w:after="0"/>
              <w:rPr>
                <w:sz w:val="24"/>
                <w:szCs w:val="24"/>
                <w:color w:val="auto"/>
              </w:rPr>
            </w:pPr>
          </w:p>
        </w:tc>
      </w:tr>
      <w:tr>
        <w:trPr>
          <w:trHeight w:val="237"/>
        </w:trPr>
        <w:tc>
          <w:tcPr>
            <w:tcW w:w="3740" w:type="dxa"/>
            <w:vAlign w:val="bottom"/>
          </w:tcPr>
          <w:p>
            <w:pPr>
              <w:ind w:left="20"/>
              <w:spacing w:after="0"/>
              <w:rPr>
                <w:sz w:val="20"/>
                <w:szCs w:val="20"/>
                <w:color w:val="auto"/>
              </w:rPr>
            </w:pPr>
            <w:r>
              <w:rPr>
                <w:rFonts w:ascii="Arial" w:cs="Arial" w:eastAsia="Arial" w:hAnsi="Arial"/>
                <w:sz w:val="18"/>
                <w:szCs w:val="18"/>
                <w:color w:val="auto"/>
              </w:rPr>
              <w:t>Average outstanding balance</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52,088</w:t>
            </w:r>
          </w:p>
        </w:tc>
        <w:tc>
          <w:tcPr>
            <w:tcW w:w="38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52,088</w:t>
            </w:r>
          </w:p>
        </w:tc>
        <w:tc>
          <w:tcPr>
            <w:tcW w:w="4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52,088</w:t>
            </w:r>
          </w:p>
        </w:tc>
        <w:tc>
          <w:tcPr>
            <w:tcW w:w="3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52,088</w:t>
            </w:r>
          </w:p>
        </w:tc>
        <w:tc>
          <w:tcPr>
            <w:tcW w:w="240" w:type="dxa"/>
            <w:vAlign w:val="bottom"/>
          </w:tcPr>
          <w:p>
            <w:pPr>
              <w:spacing w:after="0"/>
              <w:rPr>
                <w:sz w:val="20"/>
                <w:szCs w:val="20"/>
                <w:color w:val="auto"/>
              </w:rPr>
            </w:pPr>
          </w:p>
        </w:tc>
      </w:tr>
      <w:tr>
        <w:trPr>
          <w:trHeight w:val="263"/>
        </w:trPr>
        <w:tc>
          <w:tcPr>
            <w:tcW w:w="3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stated interest rate</w:t>
            </w:r>
          </w:p>
        </w:tc>
        <w:tc>
          <w:tcPr>
            <w:tcW w:w="360" w:type="dxa"/>
            <w:vAlign w:val="bottom"/>
            <w:shd w:val="clear" w:color="auto" w:fill="CFF0FC"/>
          </w:tcPr>
          <w:p>
            <w:pPr>
              <w:spacing w:after="0"/>
              <w:rPr>
                <w:sz w:val="22"/>
                <w:szCs w:val="22"/>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5.75 %</w:t>
            </w:r>
          </w:p>
        </w:tc>
        <w:tc>
          <w:tcPr>
            <w:tcW w:w="9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5.75 %</w:t>
            </w:r>
          </w:p>
        </w:tc>
        <w:tc>
          <w:tcPr>
            <w:tcW w:w="140" w:type="dxa"/>
            <w:vAlign w:val="bottom"/>
            <w:shd w:val="clear" w:color="auto" w:fill="CFF0FC"/>
          </w:tcPr>
          <w:p>
            <w:pPr>
              <w:spacing w:after="0"/>
              <w:rPr>
                <w:sz w:val="22"/>
                <w:szCs w:val="22"/>
                <w:color w:val="auto"/>
              </w:rPr>
            </w:pPr>
          </w:p>
        </w:tc>
        <w:tc>
          <w:tcPr>
            <w:tcW w:w="17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5.75 %</w:t>
            </w:r>
          </w:p>
        </w:tc>
        <w:tc>
          <w:tcPr>
            <w:tcW w:w="140" w:type="dxa"/>
            <w:vAlign w:val="bottom"/>
            <w:shd w:val="clear" w:color="auto" w:fill="CFF0FC"/>
          </w:tcPr>
          <w:p>
            <w:pPr>
              <w:spacing w:after="0"/>
              <w:rPr>
                <w:sz w:val="22"/>
                <w:szCs w:val="22"/>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-350520</wp:posOffset>
            </wp:positionV>
            <wp:extent cx="24892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-334010</wp:posOffset>
            </wp:positionV>
            <wp:extent cx="24892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-350520</wp:posOffset>
            </wp:positionV>
            <wp:extent cx="24892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-334010</wp:posOffset>
            </wp:positionV>
            <wp:extent cx="24892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-350520</wp:posOffset>
            </wp:positionV>
            <wp:extent cx="23177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-334010</wp:posOffset>
            </wp:positionV>
            <wp:extent cx="231775"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-350520</wp:posOffset>
            </wp:positionV>
            <wp:extent cx="15430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-334010</wp:posOffset>
            </wp:positionV>
            <wp:extent cx="15430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Bond Repurchase Program</w:t>
      </w:r>
    </w:p>
    <w:p>
      <w:pPr>
        <w:spacing w:after="0" w:line="25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During the three and nine months ended September 30, 2021, the Company did not purchase any of the 2022 Notes or the 2022 Convertible Notes. During the three and nine months ended September 30, 2020, the Company purchased approximately $2.2 million of outstanding principal of the 2022 Notes under the Bond Repurchase Program, resulting in a realized gain of $0.2 million. During the three and nine months ended September 30, 2020, the Company did not purchase any of the 2022 Convertible Notes.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ING Credit Facility</w:t>
      </w:r>
    </w:p>
    <w:p>
      <w:pPr>
        <w:spacing w:after="0" w:line="252" w:lineRule="exact"/>
        <w:rPr>
          <w:sz w:val="20"/>
          <w:szCs w:val="20"/>
          <w:color w:val="auto"/>
        </w:rPr>
      </w:pPr>
    </w:p>
    <w:p>
      <w:pPr>
        <w:jc w:val="both"/>
        <w:ind w:firstLine="799"/>
        <w:spacing w:after="0" w:line="279"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On June 19, 2020, the Company unilaterally terminated the ING Credit Facility.</w:t>
      </w:r>
    </w:p>
    <w:p>
      <w:pPr>
        <w:spacing w:after="0" w:line="237"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7"/>
          <w:szCs w:val="17"/>
          <w:color w:val="auto"/>
        </w:rPr>
        <w:t>Borrowings under the ING Credit Facility bore interest, at the Company’s election, at a rate per annum equal to (i) the one, two, three or six month LIBOR, as applicable, plus 3.50% or (ii) 2.00% plus the highest of (A) a prime rate, (B) the Federal Funds rate plus 0.5%, and (C) three month LIBOR plus 1.0%. The Company’s ability to elect LIBOR indices with various tenors (e.g., one, two, three or six month LIBOR) on which the interest rates for borrowings under the ING Credit Facility were based, provided the Company with increased flexibility to manage interest rate risks as compared to a borrowing arrangement that did not provide for such optionality. Once a particular LIBOR had been selected, the interest rate on the applicable amount borrowed reset after the applicable tenor period and was based on the then applicable selected LIBOR (e.g., borrowings for which the Company elected the one month LIBOR reset on the one month anniversary of the period based on the then selected LIBOR). For any given borrowing under the ING Credit Facility, the Company elected what it believed to be an appropriate LIBOR taking into account the Company’s needs at the time as well as the Company’s view of future interest rate movements. The ING Credit Facility provided for the ability to step-down the pricing of the ING Credit Facility from LIBOR plus 3.50% to LIBOR plus 3.00% when certain conditions were met. The Company also paid an unused commitment fee at a rate of 0.75% per annum on the unutilized portion of the aggregate commitments under the ING Credit Facility on each day when the utilized portion of the aggregate commitments was less than 35% for such day and 0.50% per annum on the unutilized portion of the aggregate commitments under the ING Credit Facility when the utilized portion was greater than 35% for such day.</w:t>
      </w:r>
    </w:p>
    <w:p>
      <w:pPr>
        <w:spacing w:after="0" w:line="195"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The following table summarizes the interest expense, deferred financing costs, unused commitment fees, average outstanding balance, and average stated interest rate on the ING Credit Facility for the nine months ended September 30,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580" w:type="dxa"/>
            <w:vAlign w:val="bottom"/>
            <w:gridSpan w:val="3"/>
          </w:tcPr>
          <w:p>
            <w:pPr>
              <w:ind w:left="100"/>
              <w:spacing w:after="0"/>
              <w:rPr>
                <w:sz w:val="20"/>
                <w:szCs w:val="20"/>
                <w:color w:val="auto"/>
              </w:rPr>
            </w:pPr>
            <w:r>
              <w:rPr>
                <w:rFonts w:ascii="Arial" w:cs="Arial" w:eastAsia="Arial" w:hAnsi="Arial"/>
                <w:sz w:val="18"/>
                <w:szCs w:val="18"/>
                <w:b w:val="1"/>
                <w:bCs w:val="1"/>
                <w:color w:val="auto"/>
              </w:rPr>
              <w:t>For the Nine Months Ended</w:t>
            </w:r>
          </w:p>
        </w:tc>
      </w:tr>
      <w:tr>
        <w:trPr>
          <w:trHeight w:val="270"/>
        </w:trPr>
        <w:tc>
          <w:tcPr>
            <w:tcW w:w="86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tcPr>
          <w:p>
            <w:pPr>
              <w:jc w:val="right"/>
              <w:ind w:right="250"/>
              <w:spacing w:after="0" w:line="270" w:lineRule="exact"/>
              <w:rPr>
                <w:sz w:val="20"/>
                <w:szCs w:val="20"/>
                <w:color w:val="auto"/>
              </w:rPr>
            </w:pPr>
            <w:r>
              <w:rPr>
                <w:rFonts w:ascii="Arial" w:cs="Arial" w:eastAsia="Arial" w:hAnsi="Arial"/>
                <w:sz w:val="18"/>
                <w:szCs w:val="18"/>
                <w:b w:val="1"/>
                <w:bCs w:val="1"/>
                <w:color w:val="auto"/>
                <w:w w:val="93"/>
              </w:rPr>
              <w:t>September 30, 2020</w:t>
            </w:r>
            <w:r>
              <w:rPr>
                <w:rFonts w:ascii="Arial" w:cs="Arial" w:eastAsia="Arial" w:hAnsi="Arial"/>
                <w:sz w:val="24"/>
                <w:szCs w:val="24"/>
                <w:b w:val="1"/>
                <w:bCs w:val="1"/>
                <w:color w:val="auto"/>
                <w:w w:val="93"/>
                <w:vertAlign w:val="superscript"/>
              </w:rPr>
              <w:t>(1)</w:t>
            </w:r>
          </w:p>
        </w:tc>
        <w:tc>
          <w:tcPr>
            <w:tcW w:w="240" w:type="dxa"/>
            <w:vAlign w:val="bottom"/>
          </w:tcPr>
          <w:p>
            <w:pPr>
              <w:spacing w:after="0"/>
              <w:rPr>
                <w:sz w:val="23"/>
                <w:szCs w:val="23"/>
                <w:color w:val="auto"/>
              </w:rPr>
            </w:pPr>
          </w:p>
        </w:tc>
      </w:tr>
      <w:tr>
        <w:trPr>
          <w:trHeight w:val="250"/>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50"/>
        </w:trPr>
        <w:tc>
          <w:tcPr>
            <w:tcW w:w="866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2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1,379</w:t>
            </w:r>
          </w:p>
        </w:tc>
        <w:tc>
          <w:tcPr>
            <w:tcW w:w="240" w:type="dxa"/>
            <w:vAlign w:val="bottom"/>
          </w:tcPr>
          <w:p>
            <w:pPr>
              <w:spacing w:after="0"/>
              <w:rPr>
                <w:sz w:val="21"/>
                <w:szCs w:val="21"/>
                <w:color w:val="auto"/>
              </w:rPr>
            </w:pPr>
          </w:p>
        </w:tc>
      </w:tr>
      <w:tr>
        <w:trPr>
          <w:trHeight w:val="257"/>
        </w:trPr>
        <w:tc>
          <w:tcPr>
            <w:tcW w:w="8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Unused commitment fees</w:t>
            </w:r>
          </w:p>
        </w:tc>
        <w:tc>
          <w:tcPr>
            <w:tcW w:w="220" w:type="dxa"/>
            <w:vAlign w:val="bottom"/>
            <w:tcBorders>
              <w:bottom w:val="single" w:sz="8" w:color="auto"/>
            </w:tcBorders>
            <w:shd w:val="clear" w:color="auto" w:fill="CFF0FC"/>
          </w:tcPr>
          <w:p>
            <w:pPr>
              <w:spacing w:after="0"/>
              <w:rPr>
                <w:sz w:val="22"/>
                <w:szCs w:val="22"/>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866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1,590</w:t>
            </w:r>
          </w:p>
        </w:tc>
        <w:tc>
          <w:tcPr>
            <w:tcW w:w="240" w:type="dxa"/>
            <w:vAlign w:val="bottom"/>
          </w:tcPr>
          <w:p>
            <w:pPr>
              <w:spacing w:after="0"/>
              <w:rPr>
                <w:sz w:val="21"/>
                <w:szCs w:val="21"/>
                <w:color w:val="auto"/>
              </w:rPr>
            </w:pPr>
          </w:p>
        </w:tc>
      </w:tr>
      <w:tr>
        <w:trPr>
          <w:trHeight w:val="20"/>
        </w:trPr>
        <w:tc>
          <w:tcPr>
            <w:tcW w:w="8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4"/>
        </w:trPr>
        <w:tc>
          <w:tcPr>
            <w:tcW w:w="8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outstanding balance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23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Average stated interest rate</w:t>
            </w:r>
          </w:p>
        </w:tc>
        <w:tc>
          <w:tcPr>
            <w:tcW w:w="220" w:type="dxa"/>
            <w:vAlign w:val="bottom"/>
          </w:tcPr>
          <w:p>
            <w:pPr>
              <w:spacing w:after="0"/>
              <w:rPr>
                <w:sz w:val="21"/>
                <w:szCs w:val="21"/>
                <w:color w:val="auto"/>
              </w:rPr>
            </w:pPr>
          </w:p>
        </w:tc>
        <w:tc>
          <w:tcPr>
            <w:tcW w:w="2360" w:type="dxa"/>
            <w:vAlign w:val="bottom"/>
            <w:gridSpan w:val="2"/>
          </w:tcPr>
          <w:p>
            <w:pPr>
              <w:ind w:left="1920"/>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6983095</wp:posOffset>
            </wp:positionH>
            <wp:positionV relativeFrom="paragraph">
              <wp:posOffset>-510540</wp:posOffset>
            </wp:positionV>
            <wp:extent cx="154305"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63" w:lineRule="exact"/>
        <w:rPr>
          <w:sz w:val="20"/>
          <w:szCs w:val="20"/>
          <w:color w:val="auto"/>
        </w:rPr>
      </w:pPr>
    </w:p>
    <w:p>
      <w:pPr>
        <w:ind w:left="440" w:hanging="432"/>
        <w:spacing w:after="0" w:line="293" w:lineRule="auto"/>
        <w:tabs>
          <w:tab w:leader="none" w:pos="4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June 19, 2020, the ING Credit Facility was terminated. Accordingly, CSLF II did not incur interest and financing expenses on the ING Credit Facility during the three months ended September 30,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KeyBank Credit Facility</w:t>
      </w:r>
    </w:p>
    <w:p>
      <w:pPr>
        <w:spacing w:after="0" w:line="252" w:lineRule="exact"/>
        <w:rPr>
          <w:sz w:val="20"/>
          <w:szCs w:val="20"/>
          <w:color w:val="auto"/>
        </w:rPr>
      </w:pPr>
    </w:p>
    <w:p>
      <w:pPr>
        <w:jc w:val="both"/>
        <w:ind w:firstLine="749"/>
        <w:spacing w:after="0" w:line="285" w:lineRule="auto"/>
        <w:rPr>
          <w:sz w:val="20"/>
          <w:szCs w:val="20"/>
          <w:color w:val="auto"/>
        </w:rPr>
      </w:pPr>
      <w:r>
        <w:rPr>
          <w:rFonts w:ascii="Arial" w:cs="Arial" w:eastAsia="Arial" w:hAnsi="Arial"/>
          <w:sz w:val="17"/>
          <w:szCs w:val="17"/>
          <w:color w:val="auto"/>
        </w:rPr>
        <w:t>On October 30, 2020, CBL, a direct, wholly owned, consolidated subsidiary of the Company, entered into the KeyBank Credit Facility, with the Investment Advisor,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one-month LIBOR plus 3.5%, subject to a minimum interest rate of 4.25%. The Company will also pay an unused commitment fee at a rate of 1.75% per annum on the unutilized portion of the aggregate commitments under the KeyBank Credit Facility. As of September 30, 2021 and December 31, 2020, there were no outstanding draws on KeyBank Credit Facility. The KeyBank Credit Facility is secured by the investments and other assets held by CBL, the Company’s wholly owned subsidiary.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2021, assets pledged to secure the KeyBank Credit Facility had a fair value of $56.3 million.</w:t>
      </w:r>
    </w:p>
    <w:p>
      <w:pPr>
        <w:spacing w:after="0" w:line="233" w:lineRule="exact"/>
        <w:rPr>
          <w:sz w:val="20"/>
          <w:szCs w:val="20"/>
          <w:color w:val="auto"/>
        </w:rPr>
      </w:pPr>
    </w:p>
    <w:p>
      <w:pPr>
        <w:jc w:val="both"/>
        <w:ind w:right="20" w:firstLine="749"/>
        <w:spacing w:after="0" w:line="324" w:lineRule="auto"/>
        <w:rPr>
          <w:sz w:val="20"/>
          <w:szCs w:val="20"/>
          <w:color w:val="auto"/>
        </w:rPr>
      </w:pPr>
      <w:r>
        <w:rPr>
          <w:rFonts w:ascii="Arial" w:cs="Arial" w:eastAsia="Arial" w:hAnsi="Arial"/>
          <w:sz w:val="17"/>
          <w:szCs w:val="17"/>
          <w:color w:val="auto"/>
        </w:rPr>
        <w:t>The following table summarizes the interest expense, deferred financing costs, unused commitment fees, average outstanding balance, and average stated interest rate on the KeyBank Credit Facility for the three and nine months ended September 30, 2021 (dollars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8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w w:val="93"/>
              </w:rPr>
              <w:t>For the Three Months Ended</w:t>
            </w:r>
          </w:p>
        </w:tc>
        <w:tc>
          <w:tcPr>
            <w:tcW w:w="25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For the Nine Months Ended</w:t>
            </w:r>
          </w:p>
        </w:tc>
      </w:tr>
      <w:tr>
        <w:trPr>
          <w:trHeight w:val="263"/>
        </w:trPr>
        <w:tc>
          <w:tcPr>
            <w:tcW w:w="5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w w:val="97"/>
              </w:rPr>
              <w:t>September 30, 2021</w:t>
            </w:r>
          </w:p>
        </w:tc>
        <w:tc>
          <w:tcPr>
            <w:tcW w:w="260" w:type="dxa"/>
            <w:vAlign w:val="bottom"/>
          </w:tcPr>
          <w:p>
            <w:pPr>
              <w:spacing w:after="0"/>
              <w:rPr>
                <w:sz w:val="22"/>
                <w:szCs w:val="22"/>
                <w:color w:val="auto"/>
              </w:rPr>
            </w:pPr>
          </w:p>
        </w:tc>
        <w:tc>
          <w:tcPr>
            <w:tcW w:w="23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w w:val="96"/>
              </w:rPr>
              <w:t>September 30, 2021</w:t>
            </w:r>
          </w:p>
        </w:tc>
      </w:tr>
      <w:tr>
        <w:trPr>
          <w:trHeight w:val="25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4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CFF0FC"/>
          </w:tcPr>
          <w:p>
            <w:pPr>
              <w:spacing w:after="0"/>
              <w:rPr>
                <w:sz w:val="22"/>
                <w:szCs w:val="22"/>
                <w:color w:val="auto"/>
              </w:rPr>
            </w:pP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Deferred financing costs</w:t>
            </w:r>
          </w:p>
        </w:tc>
        <w:tc>
          <w:tcPr>
            <w:tcW w:w="26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21"/>
                <w:szCs w:val="21"/>
                <w:color w:val="auto"/>
              </w:rPr>
            </w:pPr>
          </w:p>
        </w:tc>
      </w:tr>
      <w:tr>
        <w:trPr>
          <w:trHeight w:val="257"/>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Unused commitment fees</w:t>
            </w:r>
          </w:p>
        </w:tc>
        <w:tc>
          <w:tcPr>
            <w:tcW w:w="260" w:type="dxa"/>
            <w:vAlign w:val="bottom"/>
            <w:tcBorders>
              <w:bottom w:val="single" w:sz="8" w:color="auto"/>
            </w:tcBorders>
            <w:shd w:val="clear" w:color="auto" w:fill="CFF0FC"/>
          </w:tcPr>
          <w:p>
            <w:pPr>
              <w:spacing w:after="0"/>
              <w:rPr>
                <w:sz w:val="22"/>
                <w:szCs w:val="22"/>
                <w:color w:val="auto"/>
              </w:rPr>
            </w:pPr>
          </w:p>
        </w:tc>
        <w:tc>
          <w:tcPr>
            <w:tcW w:w="2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4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2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5880" w:type="dxa"/>
            <w:vAlign w:val="bottom"/>
          </w:tcPr>
          <w:p>
            <w:pPr>
              <w:ind w:left="20"/>
              <w:spacing w:after="0"/>
              <w:rPr>
                <w:sz w:val="20"/>
                <w:szCs w:val="20"/>
                <w:color w:val="auto"/>
              </w:rPr>
            </w:pPr>
            <w:r>
              <w:rPr>
                <w:rFonts w:ascii="Arial" w:cs="Arial" w:eastAsia="Arial" w:hAnsi="Arial"/>
                <w:sz w:val="18"/>
                <w:szCs w:val="18"/>
                <w:color w:val="auto"/>
              </w:rPr>
              <w:t>Total interest and financing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4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240" w:type="dxa"/>
            <w:vAlign w:val="bottom"/>
          </w:tcPr>
          <w:p>
            <w:pPr>
              <w:spacing w:after="0"/>
              <w:rPr>
                <w:sz w:val="21"/>
                <w:szCs w:val="21"/>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44"/>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outstanding balance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7,554</w:t>
            </w:r>
          </w:p>
        </w:tc>
        <w:tc>
          <w:tcPr>
            <w:tcW w:w="46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4,282</w:t>
            </w:r>
          </w:p>
        </w:tc>
        <w:tc>
          <w:tcPr>
            <w:tcW w:w="240" w:type="dxa"/>
            <w:vAlign w:val="bottom"/>
            <w:shd w:val="clear" w:color="auto" w:fill="CFF0FC"/>
          </w:tcPr>
          <w:p>
            <w:pPr>
              <w:spacing w:after="0"/>
              <w:rPr>
                <w:sz w:val="21"/>
                <w:szCs w:val="21"/>
                <w:color w:val="auto"/>
              </w:rPr>
            </w:pP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Average stated interest rate</w:t>
            </w:r>
          </w:p>
        </w:tc>
        <w:tc>
          <w:tcPr>
            <w:tcW w:w="260" w:type="dxa"/>
            <w:vAlign w:val="bottom"/>
          </w:tcPr>
          <w:p>
            <w:pPr>
              <w:spacing w:after="0"/>
              <w:rPr>
                <w:sz w:val="21"/>
                <w:szCs w:val="21"/>
                <w:color w:val="auto"/>
              </w:rPr>
            </w:pPr>
          </w:p>
        </w:tc>
        <w:tc>
          <w:tcPr>
            <w:tcW w:w="2540" w:type="dxa"/>
            <w:vAlign w:val="bottom"/>
            <w:gridSpan w:val="2"/>
          </w:tcPr>
          <w:p>
            <w:pPr>
              <w:jc w:val="right"/>
              <w:ind w:right="280"/>
              <w:spacing w:after="0"/>
              <w:rPr>
                <w:sz w:val="20"/>
                <w:szCs w:val="20"/>
                <w:color w:val="auto"/>
              </w:rPr>
            </w:pPr>
            <w:r>
              <w:rPr>
                <w:rFonts w:ascii="Arial" w:cs="Arial" w:eastAsia="Arial" w:hAnsi="Arial"/>
                <w:sz w:val="18"/>
                <w:szCs w:val="18"/>
                <w:color w:val="auto"/>
              </w:rPr>
              <w:t>4.25 %</w:t>
            </w:r>
          </w:p>
        </w:tc>
        <w:tc>
          <w:tcPr>
            <w:tcW w:w="260" w:type="dxa"/>
            <w:vAlign w:val="bottom"/>
          </w:tcPr>
          <w:p>
            <w:pPr>
              <w:spacing w:after="0"/>
              <w:rPr>
                <w:sz w:val="21"/>
                <w:szCs w:val="21"/>
                <w:color w:val="auto"/>
              </w:rPr>
            </w:pPr>
          </w:p>
        </w:tc>
        <w:tc>
          <w:tcPr>
            <w:tcW w:w="2300" w:type="dxa"/>
            <w:vAlign w:val="bottom"/>
            <w:gridSpan w:val="2"/>
          </w:tcPr>
          <w:p>
            <w:pPr>
              <w:jc w:val="right"/>
              <w:ind w:right="80"/>
              <w:spacing w:after="0"/>
              <w:rPr>
                <w:sz w:val="20"/>
                <w:szCs w:val="20"/>
                <w:color w:val="auto"/>
              </w:rPr>
            </w:pPr>
            <w:r>
              <w:rPr>
                <w:rFonts w:ascii="Arial" w:cs="Arial" w:eastAsia="Arial" w:hAnsi="Arial"/>
                <w:sz w:val="18"/>
                <w:szCs w:val="18"/>
                <w:color w:val="auto"/>
              </w:rPr>
              <w:t>4.25 %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-510540</wp:posOffset>
            </wp:positionV>
            <wp:extent cx="282575"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-510540</wp:posOffset>
            </wp:positionV>
            <wp:extent cx="15430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Disclosed, But Not Carried, At Fair Value</w:t>
      </w:r>
    </w:p>
    <w:p>
      <w:pPr>
        <w:spacing w:after="0" w:line="25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following table presents the outstanding principal and fair value of the Company’s financial liabilities disclosed, but not carried, at fair value as of September 30, 2021, and the level of each financial liability within the fair value hierarchy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w w:val="94"/>
              </w:rPr>
              <w:t>Outstanding</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Principal</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r>
      <w:tr>
        <w:trPr>
          <w:trHeight w:val="256"/>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72,833</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73,503</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73,503</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22"/>
                <w:szCs w:val="22"/>
                <w:color w:val="auto"/>
              </w:rPr>
            </w:pPr>
          </w:p>
        </w:tc>
      </w:tr>
      <w:tr>
        <w:trPr>
          <w:trHeight w:val="250"/>
        </w:trPr>
        <w:tc>
          <w:tcPr>
            <w:tcW w:w="41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2022 Convertible Notes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52,088</w:t>
            </w:r>
          </w:p>
        </w:tc>
        <w:tc>
          <w:tcPr>
            <w:tcW w:w="22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54,338</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54,338</w:t>
            </w:r>
          </w:p>
        </w:tc>
        <w:tc>
          <w:tcPr>
            <w:tcW w:w="18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tcPr>
          <w:p>
            <w:pPr>
              <w:spacing w:after="0"/>
              <w:rPr>
                <w:sz w:val="21"/>
                <w:szCs w:val="21"/>
                <w:color w:val="auto"/>
              </w:rPr>
            </w:pPr>
          </w:p>
        </w:tc>
      </w:tr>
      <w:tr>
        <w:trPr>
          <w:trHeight w:val="290"/>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124,921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127,841</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127,841</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-24765</wp:posOffset>
            </wp:positionV>
            <wp:extent cx="13716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13716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-196215</wp:posOffset>
            </wp:positionV>
            <wp:extent cx="1371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-24765</wp:posOffset>
            </wp:positionV>
            <wp:extent cx="13716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1371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-196215</wp:posOffset>
            </wp:positionV>
            <wp:extent cx="137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12001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12001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1200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1200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120015"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12001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-8255</wp:posOffset>
            </wp:positionV>
            <wp:extent cx="5143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-196215</wp:posOffset>
            </wp:positionV>
            <wp:extent cx="5143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jc w:val="both"/>
        <w:ind w:right="20" w:firstLine="873"/>
        <w:spacing w:after="0" w:line="293" w:lineRule="auto"/>
        <w:rPr>
          <w:sz w:val="20"/>
          <w:szCs w:val="20"/>
          <w:color w:val="auto"/>
        </w:rPr>
      </w:pPr>
      <w:r>
        <w:rPr>
          <w:rFonts w:ascii="Arial" w:cs="Arial" w:eastAsia="Arial" w:hAnsi="Arial"/>
          <w:sz w:val="18"/>
          <w:szCs w:val="18"/>
          <w:color w:val="auto"/>
        </w:rPr>
        <w:t>The following table presents the outstanding principal and fair value of the Company’s financial liabilities disclosed, but not carried, at fair value as of December 31, 2020, and the level of each financial liability within the fair value hierarchy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Outstanding</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4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Principal</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3</w:t>
            </w:r>
          </w:p>
        </w:tc>
        <w:tc>
          <w:tcPr>
            <w:tcW w:w="80" w:type="dxa"/>
            <w:vAlign w:val="bottom"/>
          </w:tcPr>
          <w:p>
            <w:pPr>
              <w:spacing w:after="0"/>
              <w:rPr>
                <w:sz w:val="20"/>
                <w:szCs w:val="20"/>
                <w:color w:val="auto"/>
              </w:rPr>
            </w:pPr>
          </w:p>
        </w:tc>
      </w:tr>
      <w:tr>
        <w:trPr>
          <w:trHeight w:val="25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SBA-guaranteed debentures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91,000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92,189</w:t>
            </w:r>
          </w:p>
        </w:tc>
        <w:tc>
          <w:tcPr>
            <w:tcW w:w="80" w:type="dxa"/>
            <w:vAlign w:val="bottom"/>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color w:val="auto"/>
              </w:rPr>
              <w:t>2022 Notes</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72,833</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70,503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70,503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57"/>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2022 Convertible Notes</w:t>
            </w:r>
          </w:p>
        </w:tc>
        <w:tc>
          <w:tcPr>
            <w:tcW w:w="16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52,088</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51,233</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51,233</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41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215,921</w:t>
            </w:r>
          </w:p>
        </w:tc>
        <w:tc>
          <w:tcPr>
            <w:tcW w:w="2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213,925</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121,736</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92,189</w:t>
            </w:r>
          </w:p>
        </w:tc>
        <w:tc>
          <w:tcPr>
            <w:tcW w:w="80" w:type="dxa"/>
            <w:vAlign w:val="bottom"/>
          </w:tcPr>
          <w:p>
            <w:pPr>
              <w:spacing w:after="0"/>
              <w:rPr>
                <w:sz w:val="21"/>
                <w:szCs w:val="21"/>
                <w:color w:val="auto"/>
              </w:rPr>
            </w:pPr>
          </w:p>
        </w:tc>
      </w:tr>
      <w:tr>
        <w:trPr>
          <w:trHeight w:val="20"/>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2"/>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39</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-708025</wp:posOffset>
            </wp:positionV>
            <wp:extent cx="137160" cy="571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-708025</wp:posOffset>
            </wp:positionV>
            <wp:extent cx="137160" cy="571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-708025</wp:posOffset>
            </wp:positionV>
            <wp:extent cx="128905" cy="571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-708025</wp:posOffset>
            </wp:positionV>
            <wp:extent cx="120015" cy="571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-708025</wp:posOffset>
            </wp:positionV>
            <wp:extent cx="51435" cy="571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8" w:right="339" w:bottom="1440" w:gutter="0" w:footer="0" w:header="0"/>
        </w:sectPr>
      </w:pPr>
    </w:p>
    <w:bookmarkStart w:id="39" w:name="page40"/>
    <w:bookmarkEnd w:id="39"/>
    <w:p>
      <w:pPr>
        <w:jc w:val="both"/>
        <w:ind w:right="20" w:firstLine="811"/>
        <w:spacing w:after="0" w:line="293" w:lineRule="auto"/>
        <w:rPr>
          <w:sz w:val="20"/>
          <w:szCs w:val="20"/>
          <w:color w:val="auto"/>
        </w:rPr>
      </w:pPr>
      <w:r>
        <w:rPr>
          <w:rFonts w:ascii="Arial" w:cs="Arial" w:eastAsia="Arial" w:hAnsi="Arial"/>
          <w:sz w:val="18"/>
          <w:szCs w:val="18"/>
          <w:color w:val="auto"/>
        </w:rPr>
        <w:t>The estimated fair value of the Company’s SBA-guaranteed debentures was based on future contractual cash payments discounted at market interest rates to borrow from the SBA as of the measurement date.</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estimated fair value of the 2022 Notes and 2022 Convertible Notes was based on their respective closing prices as of the measurement date as they are traded on the NASDAQ Global Select Market under the ticker “CPTAL” (2022 Notes) and on the NASDAQ Capital Market under the ticker “CPTAG” (2022 Convertible Notes).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Directors’ Fees</w:t>
      </w:r>
    </w:p>
    <w:p>
      <w:pPr>
        <w:spacing w:after="0" w:line="256"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Our Independent Directors receive an annual fee of $50,000. They also receive $5,000 plus reimbursement of reasonable out-of-pocket expenses incurred in connection with attending each board meeting and $5,000 plus reimbursement of reasonable out-of-pocket expenses incurred in connection with attending each committee meeting. In addition, the chairman of the audit committee receives an annual fee of $10,000 and each chairman of any other committee receives an annual fee of $5,000 for their additional services, if any, in these capacities. For the three and nine months ended September 30, 2021, the Company recognized directors’ fees expense of $0.1 million and $0.2 million, respectively. For the three and nine months ended September 30, 2020, the Company recognized directors’ fees expense of $0.1 million and $0.3 million, respectively. No compensation is expected to be paid to directors who are “interested persons” of the Company, as such term is defined in Section 2(a)(19) of the 1940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2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 xml:space="preserve">In accordance with the provisions of ASC Topic 260 -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stockholders by the weighted average number of shares of the Company’s common stock outstanding during the period. Other potentially dilutive shares of the Company’s common stock, and the related impact to earnings, are considered when calculating diluted earnings per share. For the three and nine months ended September 30, 2021 and 2020, 0.6 million in convertible shares related to the 2022 Convertible Notes were considered anti-dilutive.</w:t>
      </w:r>
    </w:p>
    <w:p>
      <w:pPr>
        <w:spacing w:after="0" w:line="204" w:lineRule="exact"/>
        <w:rPr>
          <w:sz w:val="20"/>
          <w:szCs w:val="20"/>
          <w:color w:val="auto"/>
        </w:rPr>
      </w:pPr>
    </w:p>
    <w:p>
      <w:pPr>
        <w:jc w:val="both"/>
        <w:ind w:firstLine="749"/>
        <w:spacing w:after="0" w:line="359"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(decrease) in net assets per share resulting from operations for the three and nine months ended September 30, 2021 and 2020 (dollars in thousands, except share and per share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2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the Three Months</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For the Nine Months</w:t>
            </w:r>
          </w:p>
        </w:tc>
      </w:tr>
      <w:tr>
        <w:trPr>
          <w:trHeight w:val="241"/>
        </w:trPr>
        <w:tc>
          <w:tcPr>
            <w:tcW w:w="5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Ended</w:t>
            </w:r>
          </w:p>
        </w:tc>
        <w:tc>
          <w:tcPr>
            <w:tcW w:w="11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Ended</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w w:val="98"/>
              </w:rPr>
              <w:t>September</w:t>
            </w:r>
          </w:p>
        </w:tc>
        <w:tc>
          <w:tcPr>
            <w:tcW w:w="160" w:type="dxa"/>
            <w:vAlign w:val="bottom"/>
          </w:tcPr>
          <w:p>
            <w:pPr>
              <w:spacing w:after="0"/>
              <w:rPr>
                <w:sz w:val="18"/>
                <w:szCs w:val="18"/>
                <w:color w:val="auto"/>
              </w:rPr>
            </w:pPr>
          </w:p>
        </w:tc>
        <w:tc>
          <w:tcPr>
            <w:tcW w:w="1120" w:type="dxa"/>
            <w:vAlign w:val="bottom"/>
          </w:tcPr>
          <w:p>
            <w:pPr>
              <w:jc w:val="right"/>
              <w:ind w:right="130"/>
              <w:spacing w:after="0"/>
              <w:rPr>
                <w:sz w:val="20"/>
                <w:szCs w:val="20"/>
                <w:color w:val="auto"/>
              </w:rPr>
            </w:pPr>
            <w:r>
              <w:rPr>
                <w:rFonts w:ascii="Arial" w:cs="Arial" w:eastAsia="Arial" w:hAnsi="Arial"/>
                <w:sz w:val="18"/>
                <w:szCs w:val="18"/>
                <w:b w:val="1"/>
                <w:bCs w:val="1"/>
                <w:color w:val="auto"/>
                <w:w w:val="94"/>
              </w:rPr>
              <w:t>September</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September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September</w:t>
            </w:r>
          </w:p>
        </w:tc>
      </w:tr>
      <w:tr>
        <w:trPr>
          <w:trHeight w:val="270"/>
        </w:trPr>
        <w:tc>
          <w:tcPr>
            <w:tcW w:w="5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30, 2021</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0"/>
              <w:spacing w:after="0" w:line="270" w:lineRule="exact"/>
              <w:rPr>
                <w:sz w:val="20"/>
                <w:szCs w:val="20"/>
                <w:color w:val="auto"/>
              </w:rPr>
            </w:pPr>
            <w:r>
              <w:rPr>
                <w:rFonts w:ascii="Arial" w:cs="Arial" w:eastAsia="Arial" w:hAnsi="Arial"/>
                <w:sz w:val="18"/>
                <w:szCs w:val="18"/>
                <w:b w:val="1"/>
                <w:bCs w:val="1"/>
                <w:color w:val="auto"/>
                <w:w w:val="90"/>
              </w:rPr>
              <w:t xml:space="preserve">30, 2020 </w:t>
            </w:r>
            <w:r>
              <w:rPr>
                <w:rFonts w:ascii="Arial" w:cs="Arial" w:eastAsia="Arial" w:hAnsi="Arial"/>
                <w:sz w:val="24"/>
                <w:szCs w:val="24"/>
                <w:b w:val="1"/>
                <w:bCs w:val="1"/>
                <w:color w:val="auto"/>
                <w:w w:val="90"/>
                <w:vertAlign w:val="superscript"/>
              </w:rPr>
              <w:t>(1)</w:t>
            </w: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30, 2021</w:t>
            </w:r>
          </w:p>
        </w:tc>
        <w:tc>
          <w:tcPr>
            <w:tcW w:w="2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0"/>
              <w:spacing w:after="0" w:line="270" w:lineRule="exact"/>
              <w:rPr>
                <w:sz w:val="20"/>
                <w:szCs w:val="20"/>
                <w:color w:val="auto"/>
              </w:rPr>
            </w:pPr>
            <w:r>
              <w:rPr>
                <w:rFonts w:ascii="Arial" w:cs="Arial" w:eastAsia="Arial" w:hAnsi="Arial"/>
                <w:sz w:val="18"/>
                <w:szCs w:val="18"/>
                <w:b w:val="1"/>
                <w:bCs w:val="1"/>
                <w:color w:val="auto"/>
                <w:w w:val="88"/>
              </w:rPr>
              <w:t xml:space="preserve">30, 2020 </w:t>
            </w:r>
            <w:r>
              <w:rPr>
                <w:rFonts w:ascii="Arial" w:cs="Arial" w:eastAsia="Arial" w:hAnsi="Arial"/>
                <w:sz w:val="24"/>
                <w:szCs w:val="24"/>
                <w:b w:val="1"/>
                <w:bCs w:val="1"/>
                <w:color w:val="auto"/>
                <w:w w:val="88"/>
                <w:vertAlign w:val="superscript"/>
              </w:rPr>
              <w:t>(1)</w:t>
            </w:r>
          </w:p>
        </w:tc>
        <w:tc>
          <w:tcPr>
            <w:tcW w:w="100" w:type="dxa"/>
            <w:vAlign w:val="bottom"/>
          </w:tcPr>
          <w:p>
            <w:pPr>
              <w:spacing w:after="0"/>
              <w:rPr>
                <w:sz w:val="23"/>
                <w:szCs w:val="23"/>
                <w:color w:val="auto"/>
              </w:rPr>
            </w:pPr>
          </w:p>
        </w:tc>
      </w:tr>
      <w:tr>
        <w:trPr>
          <w:trHeight w:val="236"/>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net assets resulting from</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4"/>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(3,486 )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(35,985 )</w:t>
            </w:r>
          </w:p>
        </w:tc>
      </w:tr>
      <w:tr>
        <w:trPr>
          <w:trHeight w:val="220"/>
        </w:trPr>
        <w:tc>
          <w:tcPr>
            <w:tcW w:w="5120" w:type="dxa"/>
            <w:vAlign w:val="bottom"/>
          </w:tcPr>
          <w:p>
            <w:pPr>
              <w:ind w:left="20"/>
              <w:spacing w:after="0"/>
              <w:rPr>
                <w:sz w:val="20"/>
                <w:szCs w:val="20"/>
                <w:color w:val="auto"/>
              </w:rPr>
            </w:pPr>
            <w:r>
              <w:rPr>
                <w:rFonts w:ascii="Arial" w:cs="Arial" w:eastAsia="Arial" w:hAnsi="Arial"/>
                <w:sz w:val="18"/>
                <w:szCs w:val="18"/>
                <w:color w:val="auto"/>
              </w:rPr>
              <w:t>Weighted average common stock outstanding –</w:t>
            </w: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6"/>
        </w:trPr>
        <w:tc>
          <w:tcPr>
            <w:tcW w:w="5120" w:type="dxa"/>
            <w:vAlign w:val="bottom"/>
          </w:tcPr>
          <w:p>
            <w:pPr>
              <w:ind w:left="20"/>
              <w:spacing w:after="0" w:line="266" w:lineRule="exact"/>
              <w:rPr>
                <w:sz w:val="20"/>
                <w:szCs w:val="20"/>
                <w:color w:val="auto"/>
              </w:rPr>
            </w:pPr>
            <w:r>
              <w:rPr>
                <w:rFonts w:ascii="Arial" w:cs="Arial" w:eastAsia="Arial" w:hAnsi="Arial"/>
                <w:sz w:val="18"/>
                <w:szCs w:val="18"/>
                <w:color w:val="auto"/>
              </w:rPr>
              <w:t>basic and diluted</w:t>
            </w:r>
            <w:r>
              <w:rPr>
                <w:rFonts w:ascii="Arial" w:cs="Arial" w:eastAsia="Arial" w:hAnsi="Arial"/>
                <w:sz w:val="24"/>
                <w:szCs w:val="24"/>
                <w:color w:val="auto"/>
                <w:vertAlign w:val="superscript"/>
              </w:rPr>
              <w:t>(1)</w:t>
            </w:r>
          </w:p>
        </w:tc>
        <w:tc>
          <w:tcPr>
            <w:tcW w:w="2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2,711,068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2,711,068</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2,711,068</w:t>
            </w: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2,708,532</w:t>
            </w:r>
          </w:p>
        </w:tc>
        <w:tc>
          <w:tcPr>
            <w:tcW w:w="100" w:type="dxa"/>
            <w:vAlign w:val="bottom"/>
          </w:tcPr>
          <w:p>
            <w:pPr>
              <w:spacing w:after="0"/>
              <w:rPr>
                <w:sz w:val="23"/>
                <w:szCs w:val="23"/>
                <w:color w:val="auto"/>
              </w:rPr>
            </w:pPr>
          </w:p>
        </w:tc>
      </w:tr>
      <w:tr>
        <w:trPr>
          <w:trHeight w:val="220"/>
        </w:trPr>
        <w:tc>
          <w:tcPr>
            <w:tcW w:w="5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(decrease) increase in net assets per share</w:t>
            </w: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6"/>
        </w:trPr>
        <w:tc>
          <w:tcPr>
            <w:tcW w:w="5120" w:type="dxa"/>
            <w:vAlign w:val="bottom"/>
            <w:shd w:val="clear" w:color="auto" w:fill="CFF0FC"/>
          </w:tcPr>
          <w:p>
            <w:pPr>
              <w:ind w:left="20"/>
              <w:spacing w:after="0" w:line="266" w:lineRule="exact"/>
              <w:rPr>
                <w:sz w:val="20"/>
                <w:szCs w:val="20"/>
                <w:color w:val="auto"/>
              </w:rPr>
            </w:pPr>
            <w:r>
              <w:rPr>
                <w:rFonts w:ascii="Arial" w:cs="Arial" w:eastAsia="Arial" w:hAnsi="Arial"/>
                <w:sz w:val="18"/>
                <w:szCs w:val="18"/>
                <w:color w:val="auto"/>
              </w:rPr>
              <w:t xml:space="preserve">resulting from operations – basic and diluted </w:t>
            </w:r>
            <w:r>
              <w:rPr>
                <w:rFonts w:ascii="Arial" w:cs="Arial" w:eastAsia="Arial" w:hAnsi="Arial"/>
                <w:sz w:val="24"/>
                <w:szCs w:val="24"/>
                <w:color w:val="auto"/>
                <w:vertAlign w:val="superscript"/>
              </w:rPr>
              <w:t>(1)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(1.29 )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(13.29 )</w:t>
            </w:r>
          </w:p>
        </w:tc>
      </w:tr>
    </w:tbl>
    <w:p>
      <w:pPr>
        <w:spacing w:after="0" w:line="269" w:lineRule="exact"/>
        <w:rPr>
          <w:sz w:val="20"/>
          <w:szCs w:val="20"/>
          <w:color w:val="auto"/>
        </w:rPr>
      </w:pPr>
    </w:p>
    <w:p>
      <w:pPr>
        <w:ind w:left="440" w:hanging="432"/>
        <w:spacing w:after="0" w:line="359" w:lineRule="auto"/>
        <w:tabs>
          <w:tab w:leader="none" w:pos="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Basic and diluted shares of the Company’s common stock and basic and diluted earnings per share have been adjusted for the three and nine months ended September 30, 2020 to reflect the one-for-six reverse stock split effected on August 21, 2020 on a retroactive basis, as described in Note 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Distributions</w:t>
      </w:r>
    </w:p>
    <w:p>
      <w:pPr>
        <w:spacing w:after="0" w:line="25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Company’s distributions are recorded on the record date. Stockholders have the option to receive payment of the distribution in cash, shares of the Company’s common stock, or a combination of cash and common stock.</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Company’s Board determined not to declare a distribution for the first, second or third quarter of 2021 due to the impact of the COVID-19 pandemic on the Company’s expected net investment income.</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nine months ended September 30, 2020, the Company estimated that total distributions of $4.1 million were comprised of approximately $0.5 million from ordinary income and $3.6 million from return of capital. There were no distributions for the three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0" w:name="page41"/>
    <w:bookmarkEnd w:id="40"/>
    <w:p>
      <w:pPr>
        <w:spacing w:after="0" w:line="293" w:lineRule="auto"/>
        <w:rPr>
          <w:sz w:val="20"/>
          <w:szCs w:val="20"/>
          <w:color w:val="auto"/>
        </w:rPr>
      </w:pPr>
      <w:r>
        <w:rPr>
          <w:rFonts w:ascii="Arial" w:cs="Arial" w:eastAsia="Arial" w:hAnsi="Arial"/>
          <w:sz w:val="18"/>
          <w:szCs w:val="18"/>
          <w:color w:val="auto"/>
        </w:rPr>
        <w:t>months ended September 30, 2020. There were no distributions for the three and nine months ended September 30, 2021. Distributions may be subject to reclassification based on future dividends and operating results and will not be determined until the end of the year.</w:t>
      </w:r>
    </w:p>
    <w:p>
      <w:pPr>
        <w:spacing w:after="0" w:line="183"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following table summarizes the Company’s distribution declarations for the nine months ended September 30, 2020 (dollars in thousands, except share and per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b w:val="1"/>
                <w:bCs w:val="1"/>
                <w:color w:val="auto"/>
              </w:rPr>
              <w:t>DRIP</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339"/>
              <w:spacing w:after="0"/>
              <w:rPr>
                <w:sz w:val="20"/>
                <w:szCs w:val="20"/>
                <w:color w:val="auto"/>
              </w:rPr>
            </w:pPr>
            <w:r>
              <w:rPr>
                <w:rFonts w:ascii="Arial" w:cs="Arial" w:eastAsia="Arial" w:hAnsi="Arial"/>
                <w:sz w:val="16"/>
                <w:szCs w:val="16"/>
                <w:b w:val="1"/>
                <w:bCs w:val="1"/>
                <w:color w:val="auto"/>
              </w:rPr>
              <w:t>DRIP</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259"/>
              <w:spacing w:after="0" w:line="175" w:lineRule="exact"/>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359"/>
              <w:spacing w:after="0" w:line="175" w:lineRule="exact"/>
              <w:rPr>
                <w:sz w:val="20"/>
                <w:szCs w:val="20"/>
                <w:color w:val="auto"/>
              </w:rPr>
            </w:pPr>
            <w:r>
              <w:rPr>
                <w:rFonts w:ascii="Arial" w:cs="Arial" w:eastAsia="Arial" w:hAnsi="Arial"/>
                <w:sz w:val="16"/>
                <w:szCs w:val="16"/>
                <w:b w:val="1"/>
                <w:bCs w:val="1"/>
                <w:color w:val="auto"/>
              </w:rPr>
              <w:t>Cash</w:t>
            </w:r>
          </w:p>
        </w:tc>
        <w:tc>
          <w:tcPr>
            <w:tcW w:w="180" w:type="dxa"/>
            <w:vAlign w:val="bottom"/>
          </w:tcPr>
          <w:p>
            <w:pPr>
              <w:spacing w:after="0"/>
              <w:rPr>
                <w:sz w:val="15"/>
                <w:szCs w:val="15"/>
                <w:color w:val="auto"/>
              </w:rPr>
            </w:pPr>
          </w:p>
        </w:tc>
        <w:tc>
          <w:tcPr>
            <w:tcW w:w="124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w w:val="89"/>
              </w:rPr>
              <w:t>Shares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Share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60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Date Declared</w:t>
            </w:r>
          </w:p>
        </w:tc>
        <w:tc>
          <w:tcPr>
            <w:tcW w:w="140" w:type="dxa"/>
            <w:vAlign w:val="bottom"/>
          </w:tcPr>
          <w:p>
            <w:pPr>
              <w:spacing w:after="0"/>
              <w:rPr>
                <w:sz w:val="22"/>
                <w:szCs w:val="22"/>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Record Date</w:t>
            </w:r>
          </w:p>
        </w:tc>
        <w:tc>
          <w:tcPr>
            <w:tcW w:w="140" w:type="dxa"/>
            <w:vAlign w:val="bottom"/>
          </w:tcPr>
          <w:p>
            <w:pPr>
              <w:spacing w:after="0"/>
              <w:rPr>
                <w:sz w:val="22"/>
                <w:szCs w:val="22"/>
                <w:color w:val="auto"/>
              </w:rPr>
            </w:pPr>
          </w:p>
        </w:tc>
        <w:tc>
          <w:tcPr>
            <w:tcW w:w="130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Payment Date</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3"/>
              </w:rPr>
              <w:t>Per Share</w:t>
            </w:r>
            <w:r>
              <w:rPr>
                <w:rFonts w:ascii="Arial" w:cs="Arial" w:eastAsia="Arial" w:hAnsi="Arial"/>
                <w:sz w:val="21"/>
                <w:szCs w:val="21"/>
                <w:b w:val="1"/>
                <w:bCs w:val="1"/>
                <w:color w:val="auto"/>
                <w:w w:val="93"/>
                <w:vertAlign w:val="superscript"/>
              </w:rPr>
              <w:t>(1)</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7"/>
              </w:rPr>
              <w:t>Distribution</w:t>
            </w:r>
          </w:p>
        </w:tc>
        <w:tc>
          <w:tcPr>
            <w:tcW w:w="180" w:type="dxa"/>
            <w:vAlign w:val="bottom"/>
          </w:tcPr>
          <w:p>
            <w:pPr>
              <w:spacing w:after="0"/>
              <w:rPr>
                <w:sz w:val="22"/>
                <w:szCs w:val="22"/>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Issued</w:t>
            </w:r>
            <w:r>
              <w:rPr>
                <w:rFonts w:ascii="Arial" w:cs="Arial" w:eastAsia="Arial" w:hAnsi="Arial"/>
                <w:sz w:val="21"/>
                <w:szCs w:val="21"/>
                <w:b w:val="1"/>
                <w:bCs w:val="1"/>
                <w:color w:val="auto"/>
                <w:w w:val="82"/>
                <w:vertAlign w:val="superscript"/>
              </w:rPr>
              <w:t>(1)</w:t>
            </w:r>
          </w:p>
        </w:tc>
        <w:tc>
          <w:tcPr>
            <w:tcW w:w="1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Value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60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2, 2020</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20"/>
                <w:szCs w:val="20"/>
                <w:color w:val="auto"/>
              </w:rPr>
            </w:pPr>
            <w:r>
              <w:rPr>
                <w:rFonts w:ascii="Arial" w:cs="Arial" w:eastAsia="Arial" w:hAnsi="Arial"/>
                <w:sz w:val="16"/>
                <w:szCs w:val="16"/>
                <w:color w:val="auto"/>
              </w:rPr>
              <w:t>January 24, 2020</w:t>
            </w: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ind w:left="20"/>
              <w:spacing w:after="0"/>
              <w:rPr>
                <w:sz w:val="20"/>
                <w:szCs w:val="20"/>
                <w:color w:val="auto"/>
              </w:rPr>
            </w:pPr>
            <w:r>
              <w:rPr>
                <w:rFonts w:ascii="Arial" w:cs="Arial" w:eastAsia="Arial" w:hAnsi="Arial"/>
                <w:sz w:val="16"/>
                <w:szCs w:val="16"/>
                <w:color w:val="auto"/>
              </w:rPr>
              <w:t>January 30, 2020</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1,231</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2,432</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600" w:type="dxa"/>
            <w:vAlign w:val="bottom"/>
          </w:tcPr>
          <w:p>
            <w:pPr>
              <w:ind w:left="20"/>
              <w:spacing w:after="0"/>
              <w:rPr>
                <w:sz w:val="20"/>
                <w:szCs w:val="20"/>
                <w:color w:val="auto"/>
              </w:rPr>
            </w:pPr>
            <w:r>
              <w:rPr>
                <w:rFonts w:ascii="Arial" w:cs="Arial" w:eastAsia="Arial" w:hAnsi="Arial"/>
                <w:sz w:val="16"/>
                <w:szCs w:val="16"/>
                <w:color w:val="auto"/>
              </w:rPr>
              <w:t>January 2, 2020</w:t>
            </w:r>
          </w:p>
        </w:tc>
        <w:tc>
          <w:tcPr>
            <w:tcW w:w="140" w:type="dxa"/>
            <w:vAlign w:val="bottom"/>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6"/>
                <w:szCs w:val="16"/>
                <w:color w:val="auto"/>
                <w:w w:val="97"/>
              </w:rPr>
              <w:t>February 20, 2020</w:t>
            </w:r>
          </w:p>
        </w:tc>
        <w:tc>
          <w:tcPr>
            <w:tcW w:w="14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16"/>
                <w:szCs w:val="16"/>
                <w:color w:val="auto"/>
                <w:w w:val="96"/>
              </w:rPr>
              <w:t>February 27, 2020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0.50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1,229</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2,760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January 2, 2020</w:t>
            </w: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March 23, 2020</w:t>
            </w: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March 30, 2020</w:t>
            </w: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1,259</w:t>
            </w:r>
          </w:p>
        </w:tc>
        <w:tc>
          <w:tcPr>
            <w:tcW w:w="18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5,261</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600" w:type="dxa"/>
            <w:vAlign w:val="bottom"/>
          </w:tcPr>
          <w:p>
            <w:pPr>
              <w:ind w:left="200"/>
              <w:spacing w:after="0"/>
              <w:rPr>
                <w:sz w:val="20"/>
                <w:szCs w:val="20"/>
                <w:color w:val="auto"/>
              </w:rPr>
            </w:pPr>
            <w:r>
              <w:rPr>
                <w:rFonts w:ascii="Arial" w:cs="Arial" w:eastAsia="Arial" w:hAnsi="Arial"/>
                <w:sz w:val="16"/>
                <w:szCs w:val="16"/>
                <w:color w:val="auto"/>
              </w:rPr>
              <w:t>Total Distributions Declared and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1.50</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3,719</w:t>
            </w:r>
          </w:p>
        </w:tc>
        <w:tc>
          <w:tcPr>
            <w:tcW w:w="1420" w:type="dxa"/>
            <w:vAlign w:val="bottom"/>
            <w:gridSpan w:val="2"/>
            <w:vMerge w:val="restart"/>
          </w:tcPr>
          <w:p>
            <w:pPr>
              <w:jc w:val="right"/>
              <w:spacing w:after="0"/>
              <w:rPr>
                <w:sz w:val="20"/>
                <w:szCs w:val="20"/>
                <w:color w:val="auto"/>
              </w:rPr>
            </w:pPr>
            <w:r>
              <w:rPr>
                <w:rFonts w:ascii="Arial" w:cs="Arial" w:eastAsia="Arial" w:hAnsi="Arial"/>
                <w:sz w:val="16"/>
                <w:szCs w:val="16"/>
                <w:color w:val="auto"/>
              </w:rPr>
              <w:t>10,453</w:t>
            </w: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334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600" w:type="dxa"/>
            <w:vAlign w:val="bottom"/>
          </w:tcPr>
          <w:p>
            <w:pPr>
              <w:ind w:left="200"/>
              <w:spacing w:after="0"/>
              <w:rPr>
                <w:sz w:val="20"/>
                <w:szCs w:val="20"/>
                <w:color w:val="auto"/>
              </w:rPr>
            </w:pPr>
            <w:r>
              <w:rPr>
                <w:rFonts w:ascii="Arial" w:cs="Arial" w:eastAsia="Arial" w:hAnsi="Arial"/>
                <w:sz w:val="16"/>
                <w:szCs w:val="16"/>
                <w:color w:val="auto"/>
              </w:rPr>
              <w:t>Distributed</w:t>
            </w: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-279400</wp:posOffset>
            </wp:positionV>
            <wp:extent cx="137160"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-279400</wp:posOffset>
            </wp:positionV>
            <wp:extent cx="12001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-279400</wp:posOffset>
            </wp:positionV>
            <wp:extent cx="120015" cy="571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-279400</wp:posOffset>
            </wp:positionV>
            <wp:extent cx="43180" cy="571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49" w:lineRule="exact"/>
        <w:rPr>
          <w:sz w:val="20"/>
          <w:szCs w:val="20"/>
          <w:color w:val="auto"/>
        </w:rPr>
      </w:pPr>
    </w:p>
    <w:p>
      <w:pPr>
        <w:ind w:left="440" w:hanging="432"/>
        <w:spacing w:after="0" w:line="293" w:lineRule="auto"/>
        <w:tabs>
          <w:tab w:leader="none" w:pos="4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Shares and amount per share have been adjusted for the three and nine months ended September 30, 2020 to reflect the one-for-six reverse stock split effected on August 21, 2020 on a retroactive basis, as described in Note 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256"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The following is a schedule of financial highlights for the nine months ended September 30, 2021 and 2020 (dollars in thousands, except share and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For the Nine Months Ended</w:t>
            </w:r>
          </w:p>
        </w:tc>
        <w:tc>
          <w:tcPr>
            <w:tcW w:w="360" w:type="dxa"/>
            <w:vAlign w:val="bottom"/>
          </w:tcPr>
          <w:p>
            <w:pPr>
              <w:spacing w:after="0"/>
              <w:rPr>
                <w:sz w:val="20"/>
                <w:szCs w:val="20"/>
                <w:color w:val="auto"/>
              </w:rPr>
            </w:pPr>
          </w:p>
        </w:tc>
      </w:tr>
      <w:tr>
        <w:trPr>
          <w:trHeight w:val="238"/>
        </w:trPr>
        <w:tc>
          <w:tcPr>
            <w:tcW w:w="7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0"/>
                <w:szCs w:val="20"/>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w w:val="94"/>
              </w:rPr>
              <w:t>September 30,</w:t>
            </w:r>
          </w:p>
        </w:tc>
      </w:tr>
      <w:tr>
        <w:trPr>
          <w:trHeight w:val="241"/>
        </w:trPr>
        <w:tc>
          <w:tcPr>
            <w:tcW w:w="7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20"/>
                <w:szCs w:val="20"/>
                <w:color w:val="auto"/>
              </w:rPr>
            </w:pPr>
          </w:p>
        </w:tc>
      </w:tr>
      <w:tr>
        <w:trPr>
          <w:trHeight w:val="257"/>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4"/>
                <w:szCs w:val="24"/>
                <w:b w:val="1"/>
                <w:bCs w:val="1"/>
                <w:color w:val="auto"/>
                <w:vertAlign w:val="superscript"/>
              </w:rPr>
              <w:t>(1)</w:t>
            </w:r>
            <w:r>
              <w:rPr>
                <w:rFonts w:ascii="Arial" w:cs="Arial" w:eastAsia="Arial" w:hAnsi="Arial"/>
                <w:sz w:val="18"/>
                <w:szCs w:val="18"/>
                <w:b w:val="1"/>
                <w:bCs w:val="1"/>
                <w:color w:val="auto"/>
              </w:rPr>
              <w:t>:</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Net asset value at beginning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40.19</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54.84</w:t>
            </w:r>
          </w:p>
        </w:tc>
        <w:tc>
          <w:tcPr>
            <w:tcW w:w="360" w:type="dxa"/>
            <w:vAlign w:val="bottom"/>
          </w:tcPr>
          <w:p>
            <w:pPr>
              <w:spacing w:after="0"/>
              <w:rPr>
                <w:sz w:val="21"/>
                <w:szCs w:val="21"/>
                <w:color w:val="auto"/>
              </w:rPr>
            </w:pPr>
          </w:p>
        </w:tc>
      </w:tr>
      <w:tr>
        <w:trPr>
          <w:trHeight w:val="263"/>
        </w:trPr>
        <w:tc>
          <w:tcPr>
            <w:tcW w:w="718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Net investment (loss) income</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460"/>
              <w:spacing w:after="0"/>
              <w:rPr>
                <w:sz w:val="20"/>
                <w:szCs w:val="20"/>
                <w:color w:val="auto"/>
              </w:rPr>
            </w:pPr>
            <w:r>
              <w:rPr>
                <w:rFonts w:ascii="Arial" w:cs="Arial" w:eastAsia="Arial" w:hAnsi="Arial"/>
                <w:sz w:val="18"/>
                <w:szCs w:val="18"/>
                <w:color w:val="auto"/>
              </w:rPr>
              <w:t>(0.83 )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360" w:type="dxa"/>
            <w:vAlign w:val="bottom"/>
            <w:shd w:val="clear" w:color="auto" w:fill="CFF0FC"/>
          </w:tcPr>
          <w:p>
            <w:pPr>
              <w:spacing w:after="0"/>
              <w:rPr>
                <w:sz w:val="22"/>
                <w:szCs w:val="22"/>
                <w:color w:val="auto"/>
              </w:rPr>
            </w:pPr>
          </w:p>
        </w:tc>
      </w:tr>
      <w:tr>
        <w:trPr>
          <w:trHeight w:val="257"/>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Net realized gain (loss) on investments</w:t>
            </w:r>
            <w:r>
              <w:rPr>
                <w:rFonts w:ascii="Arial" w:cs="Arial" w:eastAsia="Arial" w:hAnsi="Arial"/>
                <w:sz w:val="24"/>
                <w:szCs w:val="24"/>
                <w:color w:val="auto"/>
                <w:vertAlign w:val="superscript"/>
              </w:rPr>
              <w:t>(2)</w:t>
            </w:r>
          </w:p>
        </w:tc>
        <w:tc>
          <w:tcPr>
            <w:tcW w:w="16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0.13</w:t>
            </w: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(9.10 )</w:t>
            </w:r>
          </w:p>
        </w:tc>
      </w:tr>
      <w:tr>
        <w:trPr>
          <w:trHeight w:val="256"/>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Net unrealized appreciation (depreciation) on investments</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(4.28 )</w:t>
            </w:r>
          </w:p>
        </w:tc>
      </w:tr>
      <w:tr>
        <w:trPr>
          <w:trHeight w:val="257"/>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Net realized (loss) gain on extinguishment of debt</w:t>
            </w:r>
            <w:r>
              <w:rPr>
                <w:rFonts w:ascii="Arial" w:cs="Arial" w:eastAsia="Arial" w:hAnsi="Arial"/>
                <w:sz w:val="24"/>
                <w:szCs w:val="24"/>
                <w:color w:val="auto"/>
                <w:vertAlign w:val="superscript"/>
              </w:rPr>
              <w:t>(2)</w:t>
            </w:r>
          </w:p>
        </w:tc>
        <w:tc>
          <w:tcPr>
            <w:tcW w:w="160" w:type="dxa"/>
            <w:vAlign w:val="bottom"/>
          </w:tcPr>
          <w:p>
            <w:pPr>
              <w:spacing w:after="0"/>
              <w:rPr>
                <w:sz w:val="22"/>
                <w:szCs w:val="22"/>
                <w:color w:val="auto"/>
              </w:rPr>
            </w:pPr>
          </w:p>
        </w:tc>
        <w:tc>
          <w:tcPr>
            <w:tcW w:w="1920" w:type="dxa"/>
            <w:vAlign w:val="bottom"/>
            <w:gridSpan w:val="2"/>
          </w:tcPr>
          <w:p>
            <w:pPr>
              <w:jc w:val="right"/>
              <w:ind w:right="460"/>
              <w:spacing w:after="0"/>
              <w:rPr>
                <w:sz w:val="20"/>
                <w:szCs w:val="20"/>
                <w:color w:val="auto"/>
              </w:rPr>
            </w:pPr>
            <w:r>
              <w:rPr>
                <w:rFonts w:ascii="Arial" w:cs="Arial" w:eastAsia="Arial" w:hAnsi="Arial"/>
                <w:sz w:val="18"/>
                <w:szCs w:val="18"/>
                <w:color w:val="auto"/>
              </w:rPr>
              <w:t>(0.30 )</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0.06</w:t>
            </w:r>
          </w:p>
        </w:tc>
        <w:tc>
          <w:tcPr>
            <w:tcW w:w="360" w:type="dxa"/>
            <w:vAlign w:val="bottom"/>
          </w:tcPr>
          <w:p>
            <w:pPr>
              <w:spacing w:after="0"/>
              <w:rPr>
                <w:sz w:val="22"/>
                <w:szCs w:val="22"/>
                <w:color w:val="auto"/>
              </w:rPr>
            </w:pPr>
          </w:p>
        </w:tc>
      </w:tr>
      <w:tr>
        <w:trPr>
          <w:trHeight w:val="256"/>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Distributions – return of capital</w:t>
            </w:r>
            <w:r>
              <w:rPr>
                <w:rFonts w:ascii="Arial" w:cs="Arial" w:eastAsia="Arial" w:hAnsi="Arial"/>
                <w:sz w:val="24"/>
                <w:szCs w:val="24"/>
                <w:color w:val="auto"/>
                <w:vertAlign w:val="superscript"/>
              </w:rPr>
              <w:t>(3)</w:t>
            </w:r>
          </w:p>
        </w:tc>
        <w:tc>
          <w:tcPr>
            <w:tcW w:w="16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(1.34 )</w:t>
            </w:r>
          </w:p>
        </w:tc>
      </w:tr>
      <w:tr>
        <w:trPr>
          <w:trHeight w:val="257"/>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Distributions – net investment income</w:t>
            </w:r>
            <w:r>
              <w:rPr>
                <w:rFonts w:ascii="Arial" w:cs="Arial" w:eastAsia="Arial" w:hAnsi="Arial"/>
                <w:sz w:val="24"/>
                <w:szCs w:val="24"/>
                <w:color w:val="auto"/>
                <w:vertAlign w:val="superscript"/>
              </w:rPr>
              <w:t>(3)</w:t>
            </w:r>
          </w:p>
        </w:tc>
        <w:tc>
          <w:tcPr>
            <w:tcW w:w="160" w:type="dxa"/>
            <w:vAlign w:val="bottom"/>
          </w:tcPr>
          <w:p>
            <w:pPr>
              <w:spacing w:after="0"/>
              <w:rPr>
                <w:sz w:val="22"/>
                <w:szCs w:val="22"/>
                <w:color w:val="auto"/>
              </w:rPr>
            </w:pPr>
          </w:p>
        </w:tc>
        <w:tc>
          <w:tcPr>
            <w:tcW w:w="19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(0.16 )</w:t>
            </w:r>
          </w:p>
        </w:tc>
      </w:tr>
      <w:tr>
        <w:trPr>
          <w:trHeight w:val="256"/>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Other</w:t>
            </w:r>
            <w:r>
              <w:rPr>
                <w:rFonts w:ascii="Arial" w:cs="Arial" w:eastAsia="Arial" w:hAnsi="Arial"/>
                <w:sz w:val="24"/>
                <w:szCs w:val="24"/>
                <w:color w:val="auto"/>
                <w:vertAlign w:val="superscript"/>
              </w:rPr>
              <w:t>(4)</w:t>
            </w:r>
          </w:p>
        </w:tc>
        <w:tc>
          <w:tcPr>
            <w:tcW w:w="16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(0.07 )</w:t>
            </w:r>
          </w:p>
        </w:tc>
      </w:tr>
      <w:tr>
        <w:trPr>
          <w:trHeight w:val="244"/>
        </w:trPr>
        <w:tc>
          <w:tcPr>
            <w:tcW w:w="71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Net asset value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40.67</w:t>
            </w:r>
          </w:p>
        </w:tc>
        <w:tc>
          <w:tcPr>
            <w:tcW w:w="54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39.99</w:t>
            </w:r>
          </w:p>
        </w:tc>
        <w:tc>
          <w:tcPr>
            <w:tcW w:w="360" w:type="dxa"/>
            <w:vAlign w:val="bottom"/>
            <w:tcBorders>
              <w:top w:val="single" w:sz="8" w:color="CFF0FC"/>
            </w:tcBorders>
          </w:tcPr>
          <w:p>
            <w:pPr>
              <w:spacing w:after="0"/>
              <w:rPr>
                <w:sz w:val="21"/>
                <w:szCs w:val="21"/>
                <w:color w:val="auto"/>
              </w:rPr>
            </w:pPr>
          </w:p>
        </w:tc>
      </w:tr>
      <w:tr>
        <w:trPr>
          <w:trHeight w:val="25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assets at end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110,261</w:t>
            </w: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108,409</w:t>
            </w:r>
          </w:p>
        </w:tc>
        <w:tc>
          <w:tcPr>
            <w:tcW w:w="360" w:type="dxa"/>
            <w:vAlign w:val="bottom"/>
            <w:shd w:val="clear" w:color="auto" w:fill="CFF0FC"/>
          </w:tcPr>
          <w:p>
            <w:pPr>
              <w:spacing w:after="0"/>
              <w:rPr>
                <w:sz w:val="22"/>
                <w:szCs w:val="22"/>
                <w:color w:val="auto"/>
              </w:rPr>
            </w:pP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Shares outstanding at end of period</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2,711,068</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2,711,068</w:t>
            </w:r>
          </w:p>
        </w:tc>
        <w:tc>
          <w:tcPr>
            <w:tcW w:w="360" w:type="dxa"/>
            <w:vAlign w:val="bottom"/>
          </w:tcPr>
          <w:p>
            <w:pPr>
              <w:spacing w:after="0"/>
              <w:rPr>
                <w:sz w:val="21"/>
                <w:szCs w:val="21"/>
                <w:color w:val="auto"/>
              </w:rPr>
            </w:pPr>
          </w:p>
        </w:tc>
      </w:tr>
      <w:tr>
        <w:trPr>
          <w:trHeight w:val="263"/>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share market value at end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w:t>
            </w: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360" w:type="dxa"/>
            <w:vAlign w:val="bottom"/>
            <w:shd w:val="clear" w:color="auto" w:fill="CFF0FC"/>
          </w:tcPr>
          <w:p>
            <w:pPr>
              <w:spacing w:after="0"/>
              <w:rPr>
                <w:sz w:val="22"/>
                <w:szCs w:val="22"/>
                <w:color w:val="auto"/>
              </w:rPr>
            </w:pPr>
          </w:p>
        </w:tc>
      </w:tr>
      <w:tr>
        <w:trPr>
          <w:trHeight w:val="257"/>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Total return based on market value</w:t>
            </w:r>
            <w:r>
              <w:rPr>
                <w:rFonts w:ascii="Arial" w:cs="Arial" w:eastAsia="Arial" w:hAnsi="Arial"/>
                <w:sz w:val="24"/>
                <w:szCs w:val="24"/>
                <w:color w:val="auto"/>
                <w:vertAlign w:val="superscript"/>
              </w:rPr>
              <w:t>(5)</w:t>
            </w:r>
          </w:p>
        </w:tc>
        <w:tc>
          <w:tcPr>
            <w:tcW w:w="160" w:type="dxa"/>
            <w:vAlign w:val="bottom"/>
          </w:tcPr>
          <w:p>
            <w:pPr>
              <w:spacing w:after="0"/>
              <w:rPr>
                <w:sz w:val="22"/>
                <w:szCs w:val="22"/>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78.35 %</w:t>
            </w:r>
          </w:p>
        </w:tc>
        <w:tc>
          <w:tcPr>
            <w:tcW w:w="180" w:type="dxa"/>
            <w:vAlign w:val="bottom"/>
          </w:tcPr>
          <w:p>
            <w:pPr>
              <w:spacing w:after="0"/>
              <w:rPr>
                <w:sz w:val="22"/>
                <w:szCs w:val="22"/>
                <w:color w:val="auto"/>
              </w:rPr>
            </w:pPr>
          </w:p>
        </w:tc>
        <w:tc>
          <w:tcPr>
            <w:tcW w:w="1800" w:type="dxa"/>
            <w:vAlign w:val="bottom"/>
            <w:gridSpan w:val="2"/>
          </w:tcPr>
          <w:p>
            <w:pPr>
              <w:jc w:val="right"/>
              <w:ind w:right="120"/>
              <w:spacing w:after="0"/>
              <w:rPr>
                <w:sz w:val="20"/>
                <w:szCs w:val="20"/>
                <w:color w:val="auto"/>
              </w:rPr>
            </w:pPr>
            <w:r>
              <w:rPr>
                <w:rFonts w:ascii="Arial" w:cs="Arial" w:eastAsia="Arial" w:hAnsi="Arial"/>
                <w:sz w:val="18"/>
                <w:szCs w:val="18"/>
                <w:color w:val="auto"/>
              </w:rPr>
              <w:t>(81.13 )%</w:t>
            </w:r>
          </w:p>
        </w:tc>
      </w:tr>
      <w:tr>
        <w:trPr>
          <w:trHeight w:val="256"/>
        </w:trPr>
        <w:tc>
          <w:tcPr>
            <w:tcW w:w="7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Ratio/Supplemental data:</w:t>
            </w:r>
          </w:p>
        </w:tc>
        <w:tc>
          <w:tcPr>
            <w:tcW w:w="1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7"/>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Ratio of net investment (loss) income to average net assets</w:t>
            </w:r>
            <w:r>
              <w:rPr>
                <w:rFonts w:ascii="Arial" w:cs="Arial" w:eastAsia="Arial" w:hAnsi="Arial"/>
                <w:sz w:val="24"/>
                <w:szCs w:val="24"/>
                <w:color w:val="auto"/>
                <w:vertAlign w:val="superscript"/>
              </w:rPr>
              <w:t>(6)</w:t>
            </w:r>
          </w:p>
        </w:tc>
        <w:tc>
          <w:tcPr>
            <w:tcW w:w="160" w:type="dxa"/>
            <w:vAlign w:val="bottom"/>
          </w:tcPr>
          <w:p>
            <w:pPr>
              <w:spacing w:after="0"/>
              <w:rPr>
                <w:sz w:val="22"/>
                <w:szCs w:val="22"/>
                <w:color w:val="auto"/>
              </w:rPr>
            </w:pPr>
          </w:p>
        </w:tc>
        <w:tc>
          <w:tcPr>
            <w:tcW w:w="1920" w:type="dxa"/>
            <w:vAlign w:val="bottom"/>
            <w:gridSpan w:val="2"/>
          </w:tcPr>
          <w:p>
            <w:pPr>
              <w:jc w:val="right"/>
              <w:ind w:right="300"/>
              <w:spacing w:after="0"/>
              <w:rPr>
                <w:sz w:val="20"/>
                <w:szCs w:val="20"/>
                <w:color w:val="auto"/>
              </w:rPr>
            </w:pPr>
            <w:r>
              <w:rPr>
                <w:rFonts w:ascii="Arial" w:cs="Arial" w:eastAsia="Arial" w:hAnsi="Arial"/>
                <w:sz w:val="18"/>
                <w:szCs w:val="18"/>
                <w:color w:val="auto"/>
              </w:rPr>
              <w:t>(2.66 )%</w:t>
            </w:r>
          </w:p>
        </w:tc>
        <w:tc>
          <w:tcPr>
            <w:tcW w:w="180" w:type="dxa"/>
            <w:vAlign w:val="bottom"/>
          </w:tcPr>
          <w:p>
            <w:pPr>
              <w:spacing w:after="0"/>
              <w:rPr>
                <w:sz w:val="22"/>
                <w:szCs w:val="22"/>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0.14 %</w:t>
            </w:r>
          </w:p>
        </w:tc>
      </w:tr>
      <w:tr>
        <w:trPr>
          <w:trHeight w:val="257"/>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Ratio of interest and financing expenses to average net assets</w:t>
            </w:r>
            <w:r>
              <w:rPr>
                <w:rFonts w:ascii="Arial" w:cs="Arial" w:eastAsia="Arial" w:hAnsi="Arial"/>
                <w:sz w:val="24"/>
                <w:szCs w:val="24"/>
                <w:color w:val="auto"/>
                <w:vertAlign w:val="superscript"/>
              </w:rPr>
              <w:t>(6)</w:t>
            </w:r>
          </w:p>
        </w:tc>
        <w:tc>
          <w:tcPr>
            <w:tcW w:w="16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9.49 %</w:t>
            </w:r>
          </w:p>
        </w:tc>
        <w:tc>
          <w:tcPr>
            <w:tcW w:w="1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13.99 %</w:t>
            </w:r>
          </w:p>
        </w:tc>
      </w:tr>
      <w:tr>
        <w:trPr>
          <w:trHeight w:val="256"/>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Ratio of other operating expenses to average net assets</w:t>
            </w:r>
            <w:r>
              <w:rPr>
                <w:rFonts w:ascii="Arial" w:cs="Arial" w:eastAsia="Arial" w:hAnsi="Arial"/>
                <w:sz w:val="24"/>
                <w:szCs w:val="24"/>
                <w:color w:val="auto"/>
                <w:vertAlign w:val="superscript"/>
              </w:rPr>
              <w:t>(6)</w:t>
            </w:r>
          </w:p>
        </w:tc>
        <w:tc>
          <w:tcPr>
            <w:tcW w:w="160" w:type="dxa"/>
            <w:vAlign w:val="bottom"/>
          </w:tcPr>
          <w:p>
            <w:pPr>
              <w:spacing w:after="0"/>
              <w:rPr>
                <w:sz w:val="22"/>
                <w:szCs w:val="22"/>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8.88 %</w:t>
            </w:r>
          </w:p>
        </w:tc>
        <w:tc>
          <w:tcPr>
            <w:tcW w:w="180" w:type="dxa"/>
            <w:vAlign w:val="bottom"/>
          </w:tcPr>
          <w:p>
            <w:pPr>
              <w:spacing w:after="0"/>
              <w:rPr>
                <w:sz w:val="22"/>
                <w:szCs w:val="22"/>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9.81 %</w:t>
            </w:r>
          </w:p>
        </w:tc>
      </w:tr>
      <w:tr>
        <w:trPr>
          <w:trHeight w:val="257"/>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4"/>
                <w:szCs w:val="24"/>
                <w:color w:val="auto"/>
                <w:vertAlign w:val="superscript"/>
              </w:rPr>
              <w:t>(6)</w:t>
            </w:r>
          </w:p>
        </w:tc>
        <w:tc>
          <w:tcPr>
            <w:tcW w:w="160" w:type="dxa"/>
            <w:vAlign w:val="bottom"/>
            <w:shd w:val="clear" w:color="auto" w:fill="CFF0FC"/>
          </w:tcPr>
          <w:p>
            <w:pPr>
              <w:spacing w:after="0"/>
              <w:rPr>
                <w:sz w:val="22"/>
                <w:szCs w:val="22"/>
                <w:color w:val="auto"/>
              </w:rPr>
            </w:pPr>
          </w:p>
        </w:tc>
        <w:tc>
          <w:tcPr>
            <w:tcW w:w="192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18.37 %</w:t>
            </w:r>
          </w:p>
        </w:tc>
        <w:tc>
          <w:tcPr>
            <w:tcW w:w="180" w:type="dxa"/>
            <w:vAlign w:val="bottom"/>
            <w:shd w:val="clear" w:color="auto" w:fill="CFF0FC"/>
          </w:tcPr>
          <w:p>
            <w:pPr>
              <w:spacing w:after="0"/>
              <w:rPr>
                <w:sz w:val="22"/>
                <w:szCs w:val="22"/>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23.80 %</w:t>
            </w:r>
          </w:p>
        </w:tc>
      </w:tr>
      <w:tr>
        <w:trPr>
          <w:trHeight w:val="256"/>
        </w:trPr>
        <w:tc>
          <w:tcPr>
            <w:tcW w:w="7180" w:type="dxa"/>
            <w:vAlign w:val="bottom"/>
          </w:tcPr>
          <w:p>
            <w:pPr>
              <w:ind w:left="20"/>
              <w:spacing w:after="0" w:line="257"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4"/>
                <w:szCs w:val="24"/>
                <w:color w:val="auto"/>
                <w:vertAlign w:val="superscript"/>
              </w:rPr>
              <w:t>(7)</w:t>
            </w:r>
          </w:p>
        </w:tc>
        <w:tc>
          <w:tcPr>
            <w:tcW w:w="160" w:type="dxa"/>
            <w:vAlign w:val="bottom"/>
          </w:tcPr>
          <w:p>
            <w:pPr>
              <w:spacing w:after="0"/>
              <w:rPr>
                <w:sz w:val="22"/>
                <w:szCs w:val="22"/>
                <w:color w:val="auto"/>
              </w:rPr>
            </w:pPr>
          </w:p>
        </w:tc>
        <w:tc>
          <w:tcPr>
            <w:tcW w:w="1920" w:type="dxa"/>
            <w:vAlign w:val="bottom"/>
            <w:gridSpan w:val="2"/>
          </w:tcPr>
          <w:p>
            <w:pPr>
              <w:jc w:val="right"/>
              <w:ind w:right="360"/>
              <w:spacing w:after="0"/>
              <w:rPr>
                <w:sz w:val="20"/>
                <w:szCs w:val="20"/>
                <w:color w:val="auto"/>
              </w:rPr>
            </w:pPr>
            <w:r>
              <w:rPr>
                <w:rFonts w:ascii="Arial" w:cs="Arial" w:eastAsia="Arial" w:hAnsi="Arial"/>
                <w:sz w:val="18"/>
                <w:szCs w:val="18"/>
                <w:color w:val="auto"/>
              </w:rPr>
              <w:t>18.10 %</w:t>
            </w:r>
          </w:p>
        </w:tc>
        <w:tc>
          <w:tcPr>
            <w:tcW w:w="180" w:type="dxa"/>
            <w:vAlign w:val="bottom"/>
          </w:tcPr>
          <w:p>
            <w:pPr>
              <w:spacing w:after="0"/>
              <w:rPr>
                <w:sz w:val="22"/>
                <w:szCs w:val="22"/>
                <w:color w:val="auto"/>
              </w:rPr>
            </w:pPr>
          </w:p>
        </w:tc>
        <w:tc>
          <w:tcPr>
            <w:tcW w:w="1800" w:type="dxa"/>
            <w:vAlign w:val="bottom"/>
            <w:gridSpan w:val="2"/>
          </w:tcPr>
          <w:p>
            <w:pPr>
              <w:jc w:val="right"/>
              <w:ind w:right="180"/>
              <w:spacing w:after="0"/>
              <w:rPr>
                <w:sz w:val="20"/>
                <w:szCs w:val="20"/>
                <w:color w:val="auto"/>
              </w:rPr>
            </w:pPr>
            <w:r>
              <w:rPr>
                <w:rFonts w:ascii="Arial" w:cs="Arial" w:eastAsia="Arial" w:hAnsi="Arial"/>
                <w:sz w:val="18"/>
                <w:szCs w:val="18"/>
                <w:color w:val="auto"/>
              </w:rPr>
              <w:t>6.74 %</w:t>
            </w:r>
          </w:p>
        </w:tc>
      </w:tr>
      <w:tr>
        <w:trPr>
          <w:trHeight w:val="257"/>
        </w:trPr>
        <w:tc>
          <w:tcPr>
            <w:tcW w:w="718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color w:val="auto"/>
              </w:rPr>
              <w:t>Average debt outstanding</w:t>
            </w:r>
            <w:r>
              <w:rPr>
                <w:rFonts w:ascii="Arial" w:cs="Arial" w:eastAsia="Arial" w:hAnsi="Arial"/>
                <w:sz w:val="24"/>
                <w:szCs w:val="24"/>
                <w:color w:val="auto"/>
                <w:vertAlign w:val="superscript"/>
              </w:rPr>
              <w:t>(8)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174,357</w:t>
            </w: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270,357</w:t>
            </w:r>
          </w:p>
        </w:tc>
        <w:tc>
          <w:tcPr>
            <w:tcW w:w="360" w:type="dxa"/>
            <w:vAlign w:val="bottom"/>
            <w:shd w:val="clear" w:color="auto" w:fill="CFF0FC"/>
          </w:tcPr>
          <w:p>
            <w:pPr>
              <w:spacing w:after="0"/>
              <w:rPr>
                <w:sz w:val="22"/>
                <w:szCs w:val="22"/>
                <w:color w:val="auto"/>
              </w:rPr>
            </w:pPr>
          </w:p>
        </w:tc>
      </w:tr>
      <w:tr>
        <w:trPr>
          <w:trHeight w:val="250"/>
        </w:trPr>
        <w:tc>
          <w:tcPr>
            <w:tcW w:w="7180" w:type="dxa"/>
            <w:vAlign w:val="bottom"/>
          </w:tcPr>
          <w:p>
            <w:pPr>
              <w:ind w:left="20"/>
              <w:spacing w:after="0"/>
              <w:rPr>
                <w:sz w:val="20"/>
                <w:szCs w:val="20"/>
                <w:color w:val="auto"/>
              </w:rPr>
            </w:pPr>
            <w:r>
              <w:rPr>
                <w:rFonts w:ascii="Arial" w:cs="Arial" w:eastAsia="Arial" w:hAnsi="Arial"/>
                <w:sz w:val="18"/>
                <w:szCs w:val="18"/>
                <w:color w:val="auto"/>
              </w:rPr>
              <w:t>Average debt outstanding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64.31</w:t>
            </w:r>
          </w:p>
        </w:tc>
        <w:tc>
          <w:tcPr>
            <w:tcW w:w="5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99.72</w:t>
            </w:r>
          </w:p>
        </w:tc>
        <w:tc>
          <w:tcPr>
            <w:tcW w:w="360" w:type="dxa"/>
            <w:vAlign w:val="bottom"/>
          </w:tcPr>
          <w:p>
            <w:pPr>
              <w:spacing w:after="0"/>
              <w:rPr>
                <w:sz w:val="21"/>
                <w:szCs w:val="21"/>
                <w:color w:val="auto"/>
              </w:rPr>
            </w:pPr>
          </w:p>
        </w:tc>
      </w:tr>
      <w:tr>
        <w:trPr>
          <w:trHeight w:val="263"/>
        </w:trPr>
        <w:tc>
          <w:tcPr>
            <w:tcW w:w="718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Asset coverage ratio per unit</w:t>
            </w:r>
            <w:r>
              <w:rPr>
                <w:rFonts w:ascii="Arial" w:cs="Arial" w:eastAsia="Arial" w:hAnsi="Arial"/>
                <w:sz w:val="24"/>
                <w:szCs w:val="24"/>
                <w:color w:val="auto"/>
                <w:vertAlign w:val="superscript"/>
              </w:rPr>
              <w:t>(9)</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1,883</w:t>
            </w: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w:t>
            </w:r>
          </w:p>
        </w:tc>
        <w:tc>
          <w:tcPr>
            <w:tcW w:w="36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-2293620</wp:posOffset>
            </wp:positionV>
            <wp:extent cx="334010" cy="571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401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-2293620</wp:posOffset>
            </wp:positionV>
            <wp:extent cx="22288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22885" cy="5715"/>
                    </a:xfrm>
                    <a:prstGeom prst="rect">
                      <a:avLst/>
                    </a:prstGeom>
                    <a:noFill/>
                  </pic:spPr>
                </pic:pic>
              </a:graphicData>
            </a:graphic>
          </wp:anchor>
        </w:drawing>
      </w:r>
    </w:p>
    <w:p>
      <w:pPr>
        <w:spacing w:after="0" w:line="222" w:lineRule="exact"/>
        <w:rPr>
          <w:sz w:val="20"/>
          <w:szCs w:val="20"/>
          <w:color w:val="auto"/>
        </w:rPr>
      </w:pPr>
    </w:p>
    <w:p>
      <w:pPr>
        <w:ind w:left="460" w:right="20" w:hanging="439"/>
        <w:spacing w:after="0" w:line="293"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Shares and per share data has been adjusted for the nine months ended September 30, 2020 to reflect the one-for-six reverse stock split effected on August 21, 2020 on a retroactive basis, as described in Note 1.</w:t>
      </w:r>
    </w:p>
    <w:p>
      <w:pPr>
        <w:spacing w:after="0" w:line="237" w:lineRule="exact"/>
        <w:rPr>
          <w:rFonts w:ascii="Arial" w:cs="Arial" w:eastAsia="Arial" w:hAnsi="Arial"/>
          <w:sz w:val="18"/>
          <w:szCs w:val="18"/>
          <w:color w:val="auto"/>
        </w:rPr>
      </w:pPr>
    </w:p>
    <w:p>
      <w:pPr>
        <w:ind w:left="460" w:hanging="439"/>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daily weighted average balance of shares of the Company’s common stock outstanding during the period.</w:t>
      </w:r>
    </w:p>
    <w:p>
      <w:pPr>
        <w:spacing w:after="0" w:line="279" w:lineRule="exact"/>
        <w:rPr>
          <w:rFonts w:ascii="Arial" w:cs="Arial" w:eastAsia="Arial" w:hAnsi="Arial"/>
          <w:sz w:val="18"/>
          <w:szCs w:val="18"/>
          <w:color w:val="auto"/>
        </w:rPr>
      </w:pPr>
    </w:p>
    <w:p>
      <w:pPr>
        <w:ind w:left="460" w:hanging="439"/>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Distributions may be subject to reclassification based on future dividends and operating results and will not be determined until the end of the year.</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jc w:val="both"/>
        <w:ind w:left="460" w:right="20" w:hanging="439"/>
        <w:spacing w:after="0" w:line="303"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Includes the impact of different share amounts used in calculating per share data based on weighted average shares of the Company’s common stock outstanding during the period and certain per share data based on shares of the Company’s common stock outstanding as of a period end or transaction date. Also includes the impact of shares of the Company’s common stock issued under the Company’s DRIP.</w:t>
      </w:r>
    </w:p>
    <w:p>
      <w:pPr>
        <w:spacing w:after="0" w:line="245" w:lineRule="exact"/>
        <w:rPr>
          <w:rFonts w:ascii="Arial" w:cs="Arial" w:eastAsia="Arial" w:hAnsi="Arial"/>
          <w:sz w:val="17"/>
          <w:szCs w:val="17"/>
          <w:color w:val="auto"/>
        </w:rPr>
      </w:pPr>
    </w:p>
    <w:p>
      <w:pPr>
        <w:jc w:val="both"/>
        <w:ind w:left="460" w:right="20" w:hanging="439"/>
        <w:spacing w:after="0" w:line="275"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shares of the Company’s common stock at the current market value on the first day and a sale at the current market value on the last day of the period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225" w:lineRule="exact"/>
        <w:rPr>
          <w:rFonts w:ascii="Arial" w:cs="Arial" w:eastAsia="Arial" w:hAnsi="Arial"/>
          <w:sz w:val="18"/>
          <w:szCs w:val="18"/>
          <w:color w:val="auto"/>
        </w:rPr>
      </w:pPr>
    </w:p>
    <w:p>
      <w:pPr>
        <w:ind w:left="460" w:hanging="439"/>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Ratio is annualized.</w:t>
      </w:r>
    </w:p>
    <w:p>
      <w:pPr>
        <w:spacing w:after="0" w:line="279" w:lineRule="exact"/>
        <w:rPr>
          <w:rFonts w:ascii="Arial" w:cs="Arial" w:eastAsia="Arial" w:hAnsi="Arial"/>
          <w:sz w:val="18"/>
          <w:szCs w:val="18"/>
          <w:color w:val="auto"/>
        </w:rPr>
      </w:pPr>
    </w:p>
    <w:p>
      <w:pPr>
        <w:ind w:left="460" w:right="20" w:hanging="439"/>
        <w:spacing w:after="0" w:line="293"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 Portfolio turnover rates that cover less than a full period are not annualized.</w:t>
      </w:r>
    </w:p>
    <w:p>
      <w:pPr>
        <w:spacing w:after="0" w:line="210" w:lineRule="exact"/>
        <w:rPr>
          <w:rFonts w:ascii="Arial" w:cs="Arial" w:eastAsia="Arial" w:hAnsi="Arial"/>
          <w:sz w:val="18"/>
          <w:szCs w:val="18"/>
          <w:color w:val="auto"/>
        </w:rPr>
      </w:pPr>
    </w:p>
    <w:p>
      <w:pPr>
        <w:ind w:left="460" w:hanging="439"/>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the daily weighted average balance of debt outstanding during the period.</w:t>
      </w:r>
    </w:p>
    <w:p>
      <w:pPr>
        <w:spacing w:after="0" w:line="279" w:lineRule="exact"/>
        <w:rPr>
          <w:rFonts w:ascii="Arial" w:cs="Arial" w:eastAsia="Arial" w:hAnsi="Arial"/>
          <w:sz w:val="18"/>
          <w:szCs w:val="18"/>
          <w:color w:val="auto"/>
        </w:rPr>
      </w:pPr>
    </w:p>
    <w:p>
      <w:pPr>
        <w:jc w:val="both"/>
        <w:ind w:left="460" w:right="20" w:hanging="439"/>
        <w:spacing w:after="0" w:line="292" w:lineRule="auto"/>
        <w:tabs>
          <w:tab w:leader="none" w:pos="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Asset coverage per unit is the ratio of the carrying value of our total consolidated assets, less all liabilities and indebtedness not represented by senior securities, to the aggregate amount of senior securities representing indebtedness. We have excluded our SBA-guaranteed debentures from the asset coverage calculation as of September 30, 2020 pursuant to the exemptive relief granted by the SEC in June 2014 that permits us to exclude such debentures from the definition of senior securities in the 150% asset coverage ratio we are required to maintain under the 1940 Act. Asset coverage per unit is expressed in terms of dollar amounts per $1,000 of indebtedness.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56" w:lineRule="exact"/>
        <w:rPr>
          <w:sz w:val="20"/>
          <w:szCs w:val="20"/>
          <w:color w:val="auto"/>
        </w:rPr>
      </w:pPr>
    </w:p>
    <w:p>
      <w:pPr>
        <w:jc w:val="both"/>
        <w:ind w:firstLine="749"/>
        <w:spacing w:after="0" w:line="319" w:lineRule="auto"/>
        <w:rPr>
          <w:sz w:val="20"/>
          <w:szCs w:val="20"/>
          <w:color w:val="auto"/>
        </w:rPr>
      </w:pPr>
      <w:r>
        <w:rPr>
          <w:rFonts w:ascii="Arial" w:cs="Arial" w:eastAsia="Arial" w:hAnsi="Arial"/>
          <w:sz w:val="16"/>
          <w:szCs w:val="16"/>
          <w:color w:val="auto"/>
        </w:rPr>
        <w:t>As previously disclosed, on October 29, 2021, the Company issued $50,000,000 in aggregate principal amount of its 5.25% Notes due 2026 (the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w:t>
      </w:r>
    </w:p>
    <w:p>
      <w:pPr>
        <w:spacing w:after="0" w:line="169" w:lineRule="exact"/>
        <w:rPr>
          <w:sz w:val="20"/>
          <w:szCs w:val="20"/>
          <w:color w:val="auto"/>
        </w:rPr>
      </w:pPr>
    </w:p>
    <w:p>
      <w:pPr>
        <w:ind w:right="20" w:firstLine="630"/>
        <w:spacing w:after="0" w:line="272" w:lineRule="auto"/>
        <w:rPr>
          <w:sz w:val="20"/>
          <w:szCs w:val="20"/>
          <w:color w:val="auto"/>
        </w:rPr>
      </w:pPr>
      <w:r>
        <w:rPr>
          <w:rFonts w:ascii="Arial" w:cs="Arial" w:eastAsia="Arial" w:hAnsi="Arial"/>
          <w:sz w:val="18"/>
          <w:szCs w:val="18"/>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204" w:lineRule="exact"/>
        <w:rPr>
          <w:sz w:val="20"/>
          <w:szCs w:val="20"/>
          <w:color w:val="auto"/>
        </w:rPr>
      </w:pPr>
    </w:p>
    <w:p>
      <w:pPr>
        <w:ind w:right="60" w:firstLine="630"/>
        <w:spacing w:after="0" w:line="296" w:lineRule="auto"/>
        <w:rPr>
          <w:sz w:val="20"/>
          <w:szCs w:val="20"/>
          <w:color w:val="auto"/>
        </w:rPr>
      </w:pPr>
      <w:r>
        <w:rPr>
          <w:rFonts w:ascii="Arial" w:cs="Arial" w:eastAsia="Arial" w:hAnsi="Arial"/>
          <w:sz w:val="17"/>
          <w:szCs w:val="17"/>
          <w:color w:val="auto"/>
        </w:rPr>
        <w:t>On November 1, 2021, the Company notified the Trustee for the Company’s 2022 Notes, of the Company’s election to redeem the $50,000,000 aggregate principal amount of the 2022 Notes outstanding, and instructed the Trustee to provide notice of such redemption to the holders of the 2022 Notes in accordance with the terms of the indenture governing the 2022 Notes. The Company expects the redemption to be completed on December 6, 2021. Following the redemption, $22,833,200 aggregate principal amount of the 2022 Notes will remain outstanding.</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other subsequent events that occurred during such period that would be required to be recognized in the consolidated financial statements as of September 30, 2021.</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following discussion and analysis should be read in conjunction with our consolidated financial statements and related notes and other financial information appearing elsewhere in this Quarterly Report on Form 10-Q.</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Except as otherwise specified, references to “we,” “us,” “our,” “Logan Ridge,” or the “Company”, refer to Logan Ridge Finance Corporation.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that involve substantial risks and uncertainties. These forward-looking statements are not historical facts, but rather are based on current expectations, estimates and projections about the Company, our current and prospective portfolio investments, our industry, our beliefs, and our assumptions. Words such as “anticipates,” “expects,” “intends,” “plans,” “will,” “may,” “continue,” “believes,” “seeks,” “estimates,” “would,” “could,” “should,” “targets,” “projects,” and variations of these words and similar expressions are intended to identify forward-looking statements.</w:t>
      </w:r>
    </w:p>
    <w:p>
      <w:pPr>
        <w:spacing w:after="0" w:line="17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Some of the statements in this Quarterly Report on Form 10-Q constitute forward-looking statements, which relate to future events or our performance or financial condition. The forward-looking statements contained in this Quarterly Report on Form 10-Q involve risks and uncertainties, including statements as to:</w:t>
      </w:r>
    </w:p>
    <w:p>
      <w:pPr>
        <w:spacing w:after="0" w:line="304"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our future operating results and the impact of the COVID-19 pandemic thereon;</w:t>
      </w:r>
    </w:p>
    <w:p>
      <w:pPr>
        <w:spacing w:after="0" w:line="131"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231F20"/>
        </w:rPr>
        <w:t>our business prospects and the prospects of our portfolio companies, including our and their ability to achieve our respective objectives as a result of the current COVID-19 pandemic;</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impact of investments that we expect to make;</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our contractual arrangements and relationships with third parties;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dependence of our future success on the general economy and its impact on the industries in which we invest;</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our expected financings and investments;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adequacy of our cash resources and working capital;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7"/>
          <w:szCs w:val="17"/>
          <w:color w:val="231F20"/>
        </w:rPr>
        <w:t>the timing of cash flows, if any, from the operations of our portfolio companies and the impact of the COVID-19 pandemic thereon.</w:t>
      </w:r>
    </w:p>
    <w:p>
      <w:pPr>
        <w:spacing w:after="0" w:line="26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96" w:lineRule="exact"/>
        <w:rPr>
          <w:sz w:val="20"/>
          <w:szCs w:val="20"/>
          <w:color w:val="auto"/>
        </w:rPr>
      </w:pPr>
    </w:p>
    <w:p>
      <w:pPr>
        <w:ind w:left="1080" w:right="20"/>
        <w:spacing w:after="0" w:line="293" w:lineRule="auto"/>
        <w:rPr>
          <w:sz w:val="20"/>
          <w:szCs w:val="20"/>
          <w:color w:val="auto"/>
        </w:rPr>
      </w:pPr>
      <w:r>
        <w:rPr>
          <w:rFonts w:ascii="Arial" w:cs="Arial" w:eastAsia="Arial" w:hAnsi="Arial"/>
          <w:sz w:val="18"/>
          <w:szCs w:val="18"/>
          <w:color w:val="231F20"/>
        </w:rPr>
        <w:t>an economic downturn, due to the COVID-19 pandemic or otherwise, could impair our portfolio companies’ ability to continue to operate or repay their borrowings, which could lead to the loss of some or all of our investments in such portfolio companies;</w:t>
      </w:r>
    </w:p>
    <w:p>
      <w:pPr>
        <w:spacing w:after="0" w:line="62" w:lineRule="exact"/>
        <w:rPr>
          <w:sz w:val="20"/>
          <w:szCs w:val="20"/>
          <w:color w:val="auto"/>
        </w:rPr>
      </w:pPr>
    </w:p>
    <w:p>
      <w:pPr>
        <w:ind w:left="1080"/>
        <w:spacing w:after="0" w:line="293" w:lineRule="auto"/>
        <w:rPr>
          <w:sz w:val="20"/>
          <w:szCs w:val="20"/>
          <w:color w:val="auto"/>
        </w:rPr>
      </w:pPr>
      <w:r>
        <w:rPr>
          <w:rFonts w:ascii="Arial" w:cs="Arial" w:eastAsia="Arial" w:hAnsi="Arial"/>
          <w:sz w:val="18"/>
          <w:szCs w:val="18"/>
          <w:color w:val="231F20"/>
        </w:rPr>
        <w:t>a contraction of available credit and/or an inability to access the equity markets could impair our lending and investment activities and the impact of the COVID-19 pandemic thereon;</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interest rate volatility could adversely affect our results, particularly if we use leverage as part of our investment strategy; and</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risks, uncertainties and other factors we identify in “Risk Factors” and elsewhere in this Quarterly Report on Form 10-Q.</w:t>
      </w:r>
    </w:p>
    <w:p>
      <w:pPr>
        <w:spacing w:after="0" w:line="29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and elsewhere in our Annual Report 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8"/>
          <w:szCs w:val="18"/>
          <w:color w:val="auto"/>
        </w:rPr>
        <w:t>Form 10-K for the fiscal year ended December 31, 2020 and in this Quarterly Report on Form 10-Q. You should not place undue reliance on these forward-looking statements, which apply only as of the date of this Quarterly Report on Form 10-Q. We undertake no obligation to revise or update any forward-looking statements, whether as a result of new information, future events, or otherwise, unless required by law or U.S. Securities and Exchange Commission (“SEC”) rule or regulation.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We are a Maryland corporation that has elected to be regulated as a business development company (‘‘BDC’’) under the Investment Company Act of 1940, as amended (the ‘‘1940 Act’’). Our investment objective is to generate both current income and capital appreciation through debt and equity investments. We are managed by Mount Logan Management LLC (the ‘‘Investment Advisor’’), and BC Partners Management LLC (the ‘‘Administrator’’) provides the administrative services necessary for us to operate.</w:t>
      </w:r>
    </w:p>
    <w:p>
      <w:pPr>
        <w:spacing w:after="0" w:line="199"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We provide capital to lower and traditional middle-market companies in the United States (‘‘U.S.’’), with a non-exclusive emphasis on the Southeast, Southwest, and Mid-Atlantic regions. We invest primarily in companies with a history of earnings growth and positive cash flow, proven management teams, products or services with competitive advantages, and industry-appropriate margins. We primarily invest in companies with between $4.5 million and $30.0 million in trailing twelve-month earnings before interest, tax, depreciation, and amortization (‘‘EBITDA’’).</w:t>
      </w:r>
    </w:p>
    <w:p>
      <w:pPr>
        <w:spacing w:after="0" w:line="183"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We invest in first lien loans and, to a lesser extent, second lien loans and equity securities issued by lower middle-market and traditional middle-market companies.</w:t>
      </w:r>
    </w:p>
    <w:p>
      <w:pPr>
        <w:spacing w:after="0" w:line="183"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As a BDC, we are required to comply with certain regulatory requirements. For instance, we generally must invest at least 70% of our total assets in “qualifying assets,” including securities of private or thinly traded public U.S. companies, cash, cash equivalents, U.S. government securities and high-quality debt investments that mature in one year or less. In addition, we are only allowed to borrow money such that our asset coverage, as defined in the 1940 Act, equals at least 150%, if certain requirements are met, after such borrowing, with certain limited exceptions. As of September 30, 2021, our asset coverage ratio was 188.3%. To maintain our regulated investment company (“RIC”) status, we must meet specified source-of-income and asset diversification requirements. To maintain our RIC tax treatment under subchapter M of the Internal Revenue Code of 1986, as amended (the “Code”) for U.S. federal income tax purposes, we must distribute at least 90% of our net ordinary income and realized net short-term capital gains in excess of realized net long-term capital losses, if any, for the taxable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History</w:t>
      </w:r>
    </w:p>
    <w:p>
      <w:pPr>
        <w:spacing w:after="0" w:line="25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We commenced operations on May 24, 2013 and completed our initial public offering (“IPO”) on September 30, 2013. The Company was formed for the purpose of (i) acquiring, through a series of transactions, an investment portfolio from the following entities: CapitalSouth Partners Fund I Limited Partnership (“Fund I”); CapitalSouth Partners Fund II Limited Partnership (“Fund II”); CapitalSouth Partners Fund III, L.P. (“Fund III Parent”); CapitalSouth Fund III, L.P. (f/k/a CapitalSouth Partners SBIC Fund III, L.P.) (“Fund III”) and CapitalSouth Partners Florida Sidecar Fund I, L.P. (“Florida Sidecar” and, collectively with Fund I, Fund II, Fund III and Fund III Parent, the “Legacy Funds”); (ii) raising capital in the IPO and (iii) continuing and expanding the business of the Legacy Funds by making additional debt and equity investments in lower middle-market and traditional middle-market companies.</w:t>
      </w:r>
    </w:p>
    <w:p>
      <w:pPr>
        <w:spacing w:after="0" w:line="206" w:lineRule="exact"/>
        <w:rPr>
          <w:sz w:val="20"/>
          <w:szCs w:val="20"/>
          <w:color w:val="auto"/>
        </w:rPr>
      </w:pPr>
    </w:p>
    <w:p>
      <w:pPr>
        <w:jc w:val="both"/>
        <w:ind w:firstLine="749"/>
        <w:spacing w:after="0" w:line="299" w:lineRule="auto"/>
        <w:rPr>
          <w:sz w:val="20"/>
          <w:szCs w:val="20"/>
          <w:color w:val="auto"/>
        </w:rPr>
      </w:pPr>
      <w:r>
        <w:rPr>
          <w:rFonts w:ascii="Arial" w:cs="Arial" w:eastAsia="Arial" w:hAnsi="Arial"/>
          <w:sz w:val="16"/>
          <w:szCs w:val="16"/>
          <w:color w:val="auto"/>
        </w:rPr>
        <w:t>On September 24, 2013, the Company acquired 100% of the limited partnership interests in Fund II, Fund III, and Florida Sidecar and each of their respective general partners, as well as certain assets from Fund I and Fund III Parent, in exchange for an aggregate of 8,974,420 shares of the Company’s common stock (the “Formation Transactions”). Fund II, Fund III, and Florida Sidecar became the Company’s wholly owned subsidiaries. Fund</w:t>
      </w:r>
    </w:p>
    <w:p>
      <w:pPr>
        <w:spacing w:after="0" w:line="2" w:lineRule="exact"/>
        <w:rPr>
          <w:sz w:val="20"/>
          <w:szCs w:val="20"/>
          <w:color w:val="auto"/>
        </w:rPr>
      </w:pPr>
    </w:p>
    <w:p>
      <w:pPr>
        <w:jc w:val="both"/>
        <w:ind w:firstLine="8"/>
        <w:spacing w:after="0" w:line="309" w:lineRule="auto"/>
        <w:tabs>
          <w:tab w:leader="none" w:pos="19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and Fund III retained their small business investment company (“SBIC”) licenses issued by the U.S. Small Business Administration (“SBA”), and continued to hold their existing investments at the time of IPO and have continued to make new investments after the IPO. The IPO consisted of the sale of 4,000,000 shares of the Company’s common stock at a price of $20.00 per share resulting in net proceeds to the Company of $74.25 million, after deducting underwriting fees and commissions totaling $4.0 million and offering expenses totaling $1.75 million. The other costs of the IPO were borne by the limited partners of the Legacy Funds. During the fourth quarter of 2017, Florida Sidecar transferred all of its assets to the Company and was legally dissolved as a standalone partnership. On March 1, 2019, Fund II repaid its outstanding debentures guaranteed by the SBA (“SBA-guaranteed debentures”) and relinquished its SBIC license. On June 10, 2021, Fund III repaid its SBA-guaranteed debentures and relinquished its SBIC license.</w:t>
      </w:r>
    </w:p>
    <w:p>
      <w:pPr>
        <w:spacing w:after="0" w:line="177" w:lineRule="exact"/>
        <w:rPr>
          <w:sz w:val="20"/>
          <w:szCs w:val="20"/>
          <w:color w:val="auto"/>
        </w:rPr>
      </w:pPr>
    </w:p>
    <w:p>
      <w:pPr>
        <w:jc w:val="both"/>
        <w:ind w:firstLine="749"/>
        <w:spacing w:after="0" w:line="319" w:lineRule="auto"/>
        <w:rPr>
          <w:sz w:val="20"/>
          <w:szCs w:val="20"/>
          <w:color w:val="auto"/>
        </w:rPr>
      </w:pPr>
      <w:r>
        <w:rPr>
          <w:rFonts w:ascii="Arial" w:cs="Arial" w:eastAsia="Arial" w:hAnsi="Arial"/>
          <w:sz w:val="16"/>
          <w:szCs w:val="16"/>
          <w:color w:val="auto"/>
        </w:rPr>
        <w:t>At the time of the Formation Transactions, our portfolio consisted of: (1) approximately $326.3 million in investments; (2) an aggregate of approximately $67.1 million in cash, interest receivable and other assets; and (3) liabilities of approximately $202.2 million of SBA-guaranteed debentures payable. Fund III, our subsidiary, is licensed under the Small Business Investment Act, of 1958, as amended, and has elected to be regulated as BDC under the 1940 Act. Fund II, our subsidiary, was licensed under the SBIC Act until March 1, 2019 and has elected to be regulated as a BDC under the 1940 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both"/>
        <w:ind w:firstLine="749"/>
        <w:spacing w:after="0" w:line="279" w:lineRule="auto"/>
        <w:rPr>
          <w:sz w:val="20"/>
          <w:szCs w:val="20"/>
          <w:color w:val="auto"/>
        </w:rPr>
      </w:pPr>
      <w:r>
        <w:rPr>
          <w:rFonts w:ascii="Arial" w:cs="Arial" w:eastAsia="Arial" w:hAnsi="Arial"/>
          <w:sz w:val="18"/>
          <w:szCs w:val="18"/>
          <w:color w:val="auto"/>
        </w:rPr>
        <w:t>The Company has formed and expects to continue to form certain consolidated taxable subsidiaries (the ‘‘Taxable Subsidiaries’’), which are taxed as corporations for U.S. federal income tax purposes. The Taxable Subsidiaries allow the Company to make equity investments in companies organized as pass-through entities while continuing to satisfy the requirements of a RIC under the Code.</w:t>
      </w:r>
    </w:p>
    <w:p>
      <w:pPr>
        <w:spacing w:after="0" w:line="19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231F20"/>
        </w:rPr>
        <w:t>Capitala Business Lending, LLC (“CBL”), a wholly-owned subsidiary of ours, was established on October 30, 2020, for the sole purpose of holding certain investments pledged as collateral under a senior secured revolving credit agreement with KeyBank National Association (the “KeyBank Credit Facility”). See “Financial Condition, Liquidity and Capital Resources” for more details. The financial statements of CBL are consolidated with those of Logan Ridge Finance Corporation.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5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On July 30, 2020, the Company’s board of directors (the “Board”) approved a one-for-six reverse stock split of shares of the Company’s common stock. Accordingly, on August 3, 2020, the Company filed Articles of Amendment (the “Articles of Amendment”) to its Articles of Amendment and Restatement with the State Department of Assessments and Taxation of the State of Maryland to effectuate a one-for-six reverse stock split (the “Reverse Stock Split”) of the Company’s shares of common stock, par value $0.01 per share (the “Shares”). The Reverse Stock Split became effective at 5:00 p.m. Eastern Time on August 21, 2020 (the “Effective Time”). At the Effective Time, every six (6) issued and outstanding Shares were converted into one (1) Share. The Articles of Amendment also provided that there was no change in the par value of $0.01 per Share as a result of the Reverse Stock Split.</w:t>
      </w:r>
    </w:p>
    <w:p>
      <w:pPr>
        <w:spacing w:after="0" w:line="17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No fractional shares of common stock were issued in connection with the Reverse Stock Split and fractional shares of common stock were eliminated by paying cash for the fair value of a fractional portion of Shares. The Reverse Stock Split applied to all of the Company’s outstanding Shares and therefore did not affect any shareholder’s relative ownership percentage.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Retroactive Adjustments for Reverse Stock Split</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share amount and per share amount of our common stock in the consolidated financial statements and notes have been retroactively adjusted for the Reverse Stock Split effected on August 21, 2020 for the three and nine months ended September 30, 2020. See Note 1 for more information regarding the Reverse Stock Split.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Definitive Agreement</w:t>
      </w:r>
    </w:p>
    <w:p>
      <w:pPr>
        <w:spacing w:after="0" w:line="256"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On April 20, 2021, Capitala Investment Advisors, LLC (“Capitala”), the Company’s former investment adviser, entered into a definitive agreement (the “Definitive Agreement”) with the Investment Advisor and Mount Logan Capital Inc. (“MLC”), both affiliates of BC Partners Advisors L.P. (“BC Partners”) for U.S. regulatory purposes, whereby Mount Logan acquired certain assets related to Capitala’s business of providing investment management services to the Company (the “Transaction”), through which the Investment Advisor became the Company’s investment adviser pursuant to an investment advisory agreement (the “Investment Advisory Agreement”) with the Company. At a special meeting of the Company’s stockholders (the “Special Meeting”) held on May 27, 2021, the Company’s stockholders approved the Investment Advisory Agreement. The transactions contemplated by the Definitive Agreement closed on July 1, 2021 (the “Closing”).</w:t>
      </w:r>
    </w:p>
    <w:p>
      <w:pPr>
        <w:spacing w:after="0" w:line="20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part of the Transaction, the Investment Advisor entered into a two-year contractual fee waiver (the “Fee Waiver”) with the Company to waive, to the extent necessary, any capital gains fee under the Investment Advisory Agreement that exceeds what would have been paid to Capitala in the aggregate over such two-year period under the prior advisory agreement.</w:t>
      </w:r>
    </w:p>
    <w:p>
      <w:pPr>
        <w:spacing w:after="0" w:line="19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On the date of the Closing, the Company changed its name from Capitala Finance Corp. to Logan Ridge Finance Corporation and on July 2, 2021, the Company’s common stock began trading on the NASDAQ Global Select Market under the symbol “LRFC.”</w:t>
      </w:r>
    </w:p>
    <w:p>
      <w:pPr>
        <w:spacing w:after="0" w:line="1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On July 1, 2021, in connection with the Closing, the Company’s then-current interested directors and the Company’s then-current independent directors resigned as members of the Board and Ted Goldthorpe, the Chairman and Chief Executive Officer of the Company, along with Alexander Duka, George Grunebaum, and Robert Warshauer, were appointed as members of the Board (the “Directors”). The Directors were appointed by the Board to fill the vacancies created by the resignations described above and the Directors were appointed to the class of directors as determined by the Board in accordance with the Company’s organizational documents. The Company’s stockholders will have the opportunity to vote for each of the Directors when his class of directors is up for reelection.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5" w:name="page46"/>
    <w:bookmarkEnd w:id="45"/>
    <w:p>
      <w:pPr>
        <w:jc w:val="both"/>
        <w:ind w:firstLine="749"/>
        <w:spacing w:after="0" w:line="279" w:lineRule="auto"/>
        <w:rPr>
          <w:sz w:val="20"/>
          <w:szCs w:val="20"/>
          <w:color w:val="auto"/>
        </w:rPr>
      </w:pPr>
      <w:r>
        <w:rPr>
          <w:rFonts w:ascii="Arial" w:cs="Arial" w:eastAsia="Arial" w:hAnsi="Arial"/>
          <w:sz w:val="18"/>
          <w:szCs w:val="18"/>
          <w:color w:val="auto"/>
        </w:rPr>
        <w:t>All of the Company’s then-current officers resigned at the Closing and the Board appointed Ted Goldthorpe as the Company’s Chief Executive Officer and President, Jason Roos as the Company’s Chief Financial Officer, Treasurer and Secretary, Patrick Schafer as the Company’s Chief Investment Officer and David Held as the Company’s Chief Compliance Officer.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 xml:space="preserve">The Company is considered an investment company as defined in Accounting Standards Codification (“ASC”) Topic 946 — </w:t>
      </w:r>
      <w:r>
        <w:rPr>
          <w:rFonts w:ascii="Arial" w:cs="Arial" w:eastAsia="Arial" w:hAnsi="Arial"/>
          <w:sz w:val="16"/>
          <w:szCs w:val="16"/>
          <w:i w:val="1"/>
          <w:iCs w:val="1"/>
          <w:color w:val="auto"/>
        </w:rPr>
        <w:t>Financial Services</w:t>
      </w:r>
    </w:p>
    <w:p>
      <w:pPr>
        <w:spacing w:after="0" w:line="46" w:lineRule="exact"/>
        <w:rPr>
          <w:sz w:val="20"/>
          <w:szCs w:val="20"/>
          <w:color w:val="auto"/>
        </w:rPr>
      </w:pPr>
    </w:p>
    <w:p>
      <w:pPr>
        <w:jc w:val="both"/>
        <w:spacing w:after="0" w:line="292" w:lineRule="auto"/>
        <w:rPr>
          <w:sz w:val="20"/>
          <w:szCs w:val="20"/>
          <w:color w:val="auto"/>
        </w:rPr>
      </w:pPr>
      <w:r>
        <w:rPr>
          <w:rFonts w:ascii="Arial" w:cs="Arial" w:eastAsia="Arial" w:hAnsi="Arial"/>
          <w:sz w:val="17"/>
          <w:szCs w:val="17"/>
          <w:i w:val="1"/>
          <w:iCs w:val="1"/>
          <w:color w:val="auto"/>
        </w:rPr>
        <w:t xml:space="preserve">— Investment Companies </w:t>
      </w:r>
      <w:r>
        <w:rPr>
          <w:rFonts w:ascii="Arial" w:cs="Arial" w:eastAsia="Arial" w:hAnsi="Arial"/>
          <w:sz w:val="17"/>
          <w:szCs w:val="17"/>
          <w:color w:val="auto"/>
        </w:rPr>
        <w:t>(“ASC 946”)</w:t>
      </w:r>
      <w:r>
        <w:rPr>
          <w:rFonts w:ascii="Arial" w:cs="Arial" w:eastAsia="Arial" w:hAnsi="Arial"/>
          <w:sz w:val="17"/>
          <w:szCs w:val="17"/>
          <w:i w:val="1"/>
          <w:iCs w:val="1"/>
          <w:color w:val="auto"/>
        </w:rPr>
        <w:t xml:space="preserve">. </w:t>
      </w:r>
      <w:r>
        <w:rPr>
          <w:rFonts w:ascii="Arial" w:cs="Arial" w:eastAsia="Arial" w:hAnsi="Arial"/>
          <w:sz w:val="17"/>
          <w:szCs w:val="17"/>
          <w:color w:val="auto"/>
        </w:rPr>
        <w:t>The accompanying unaudited consolidated financial statements have been prepared on the accrual basis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in conformity with U.S. generally accepted accounting principles (“U.S. GAAP”) for interim financial information and pursuant to the requirements for reporting on Form 10-Q and Article 6 and Article 10 of Regulation S-X. Accordingly, certain disclosures accompanying our annual consolidated financial statements prepared in accordance with U.S. GAAP have been omitted. The consolidated financial statements of the Company include the accounts of the Company and its wholly owned subsidiaries, including Fund II, Fund III, CBL, and the Taxable Subsidiaries.</w:t>
      </w:r>
    </w:p>
    <w:p>
      <w:pPr>
        <w:spacing w:after="0" w:line="187"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Company’s financial statements as of September 30, 2021 and December 31, 2020 and for the periods ended September 30, 2021 and 2020 are presented on a consolidated basis. The effects of all intercompany transactions between the Company and its subsidiaries (Fund II, Fund III, CBL, and the Taxable Subsidiaries) have been eliminated in consolidation. All financial data and information included in these consolidated financial statements have been presented on the basis described above. In the opinion of management, the consolidated financial statements reflect all adjustments that are necessary for the fair presentation of financial results as of and for the periods presented.</w:t>
      </w:r>
    </w:p>
    <w:p>
      <w:pPr>
        <w:spacing w:after="0" w:line="228"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The current period’s results of operations are not necessarily indicative of results that ultimately may be achieved for the year. Additionally, the unaudited consolidated financial statements and notes should be read in conjunction with the audited consolidated financial statements and notes thereto appearing in the Company’s Annual Report on Form 10-K for the year ended December 31, 2020, filed with the SEC on March 8,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56"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As provided under ASC 946, the Company will generally not consolidate its investment in a company other than an investment company subsidiary or a controlled operating company whose business consists of providing services to the Company. Accordingly, the Company consolidated the results of the Company’s wholly owned investment company subsidiaries (Fund II, Fund III, CBL, and the Taxable Subsidiaries) in its consolidated financial statements. The Company did not consolidate its interest in Capitala Senior Loan Fund II, LLC (‘‘CSLF II’’) during the periods it was in existence because the investment was not considered a substantially wholly owned investment company subsidiary. Further, CSLF II was a joint venture for which shared power existed relating to the decisions that most significantly impact the economic performance of the entity. See Note 4 to the consolidated financial statements for a description of the Company’s investment in CSLF II.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We generate revenue primarily from the periodic cash interest we collect on our debt investments. In addition, most of our debt investments offer the opportunity to participate in a borrower’s equity performance through warrant participation, direct equity ownership, or otherwise, which we expect to result in revenue in the form of dividends and/or capital gains. Further, we may generate revenue in the form of commitment fees, origination fees, amendment fees, diligence fees, monitoring fees, fees for providing managerial assistance and possibly consulting fees and performance-based fees. These fees will be recognized as they are earned.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Our primary operating expenses include the payment of investment advisory fees to our Investment Advisor, our allocable portion of overhead and other expenses incurred by our Administrator in performing its obligations under an administration agreement between us and the Administrator (the “Administration Agreement”) and other operating expenses as detailed below. Our investment advisory fee will compensate our Investment Advisor for its work in identifying, evaluating, negotiating, closing, monitoring, and servicing our investments. We will bear all other expenses of our operations and transactions, including (without limitation):</w:t>
      </w:r>
    </w:p>
    <w:p>
      <w:pPr>
        <w:spacing w:after="0" w:line="204"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cost of our organization;</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cost of calculating our net asset value, including the cost of any third-party valuation services;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the cost of effecting sales and repurchases of our shares and other securities;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interest payable on debt, if any, to finance our investments;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jc w:val="both"/>
        <w:ind w:left="1080"/>
        <w:spacing w:after="0" w:line="279" w:lineRule="auto"/>
        <w:rPr>
          <w:sz w:val="20"/>
          <w:szCs w:val="20"/>
          <w:color w:val="auto"/>
        </w:rPr>
      </w:pPr>
      <w:r>
        <w:rPr>
          <w:rFonts w:ascii="Arial" w:cs="Arial" w:eastAsia="Arial" w:hAnsi="Arial"/>
          <w:sz w:val="18"/>
          <w:szCs w:val="18"/>
          <w:color w:val="231F20"/>
        </w:rPr>
        <w:t>fees payable to third parties relating to, or associated with, making investments (such as legal, accounting, and travel expenses incurred in connection with making investments), including fees and expenses associated with performing due diligence reviews of prospective investments and advisory fees;</w:t>
      </w:r>
    </w:p>
    <w:p>
      <w:pPr>
        <w:spacing w:after="0" w:line="75"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transfer agent and custodial fees;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fees and expenses associated with marketing efforts;</w:t>
      </w:r>
    </w:p>
    <w:p>
      <w:pPr>
        <w:spacing w:after="0" w:line="131" w:lineRule="exact"/>
        <w:rPr>
          <w:sz w:val="20"/>
          <w:szCs w:val="20"/>
          <w:color w:val="auto"/>
        </w:rPr>
      </w:pPr>
    </w:p>
    <w:p>
      <w:pPr>
        <w:jc w:val="both"/>
        <w:ind w:left="1080"/>
        <w:spacing w:after="0" w:line="293" w:lineRule="auto"/>
        <w:rPr>
          <w:sz w:val="20"/>
          <w:szCs w:val="20"/>
          <w:color w:val="auto"/>
        </w:rPr>
      </w:pPr>
      <w:r>
        <w:rPr>
          <w:rFonts w:ascii="Arial" w:cs="Arial" w:eastAsia="Arial" w:hAnsi="Arial"/>
          <w:sz w:val="18"/>
          <w:szCs w:val="18"/>
          <w:color w:val="231F20"/>
        </w:rPr>
        <w:t>costs associated with our reporting and compliance obligations under the 1940 Act, the Securities Exchange Act of 1934, as amended (the “Exchange Act”), other applicable federal and state securities laws and ongoing stock exchange listing fees;</w:t>
      </w:r>
    </w:p>
    <w:p>
      <w:pPr>
        <w:spacing w:after="0" w:line="62"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federal, state and local taxes;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independent directors’ fees and expenses;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brokerage commissions;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costs of proxy statements, stockholders’ reports and other communications with stockholders;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fidelity bond, directors’ and officers’ liability insurance, errors and omissions liability insurance and other insurance premiums;</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direct costs and expenses of administration, including printing, mailing, telephone and staff;</w:t>
      </w:r>
    </w:p>
    <w:p>
      <w:pPr>
        <w:spacing w:after="0" w:line="131" w:lineRule="exact"/>
        <w:rPr>
          <w:sz w:val="20"/>
          <w:szCs w:val="20"/>
          <w:color w:val="auto"/>
        </w:rPr>
      </w:pPr>
    </w:p>
    <w:p>
      <w:pPr>
        <w:ind w:left="1080"/>
        <w:spacing w:after="0"/>
        <w:rPr>
          <w:sz w:val="20"/>
          <w:szCs w:val="20"/>
          <w:color w:val="auto"/>
        </w:rPr>
      </w:pPr>
      <w:r>
        <w:rPr>
          <w:rFonts w:ascii="Arial" w:cs="Arial" w:eastAsia="Arial" w:hAnsi="Arial"/>
          <w:sz w:val="18"/>
          <w:szCs w:val="18"/>
          <w:color w:val="231F20"/>
        </w:rPr>
        <w:t>fees and expenses associated with independent audits and outside legal costs; and</w:t>
      </w:r>
    </w:p>
    <w:p>
      <w:pPr>
        <w:spacing w:after="0" w:line="131" w:lineRule="exact"/>
        <w:rPr>
          <w:sz w:val="20"/>
          <w:szCs w:val="20"/>
          <w:color w:val="auto"/>
        </w:rPr>
      </w:pPr>
    </w:p>
    <w:p>
      <w:pPr>
        <w:jc w:val="both"/>
        <w:ind w:left="1080"/>
        <w:spacing w:after="0" w:line="272" w:lineRule="auto"/>
        <w:rPr>
          <w:sz w:val="20"/>
          <w:szCs w:val="20"/>
          <w:color w:val="auto"/>
        </w:rPr>
      </w:pPr>
      <w:r>
        <w:rPr>
          <w:rFonts w:ascii="Arial" w:cs="Arial" w:eastAsia="Arial" w:hAnsi="Arial"/>
          <w:sz w:val="18"/>
          <w:szCs w:val="18"/>
          <w:color w:val="231F20"/>
        </w:rPr>
        <w:t>all other expenses incurred by either our Administrator or us in connection with administering our business, including payments under the Administration Agreement that will be based upon our allocable portion of overhead and other expenses incurred by our Administrator in performing its obligations under the Administration Agreement, including rent, the fees and expenses associated with performing compliance functions, and our allocable portion of any costs of compensation and related expenses of our chief compliance officer, our chief financial officer, and their respective administrative support staff.</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56"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In the preparation of our consolidated financial statements and related disclosures, we have adopted various accounting policies that govern the application of U.S. GAAP. Our significant accounting policies are described in Note 2 to the consolidated financial statements. While all of these policies are important to understanding our consolidated financial statements, certain accounting policies and estimates are considered critical due to their impact on the reported amounts of assets and liabilities at the date of the consolidated financial statements and the reported amounts of revenues and expenses for the periods covered by such consolidated financial statements. We have identified investment valuation, revenue recognition, and income taxes as our most critical accounting estimates. We continuously evaluate our estimates, including those related to the matters described below. Because of the nature of the judgments and assumptions we make, actual results could materially differ from those estimates under different assumptions or conditions. A discussion of our critical accounting policies follows.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5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 xml:space="preserve">The Company applies fair value accounting to all of its financial instruments in accordance with the 1940 Act and ASC Topic 820 — </w:t>
      </w:r>
      <w:r>
        <w:rPr>
          <w:rFonts w:ascii="Arial" w:cs="Arial" w:eastAsia="Arial" w:hAnsi="Arial"/>
          <w:sz w:val="17"/>
          <w:szCs w:val="17"/>
          <w:i w:val="1"/>
          <w:iCs w:val="1"/>
          <w:color w:val="auto"/>
        </w:rPr>
        <w:t>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Measurements and Disclosures </w:t>
      </w:r>
      <w:r>
        <w:rPr>
          <w:rFonts w:ascii="Arial" w:cs="Arial" w:eastAsia="Arial" w:hAnsi="Arial"/>
          <w:sz w:val="17"/>
          <w:szCs w:val="17"/>
          <w:color w:val="auto"/>
        </w:rPr>
        <w:t>(“ASC 820”). ASC 820 defines fair value, establishes a framework used to measure fair value and requires disclosures for</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measurements. In accordance with ASC 820, the Company has categorized its financial instruments carried at fair value, based on the priority of the valuation technique, into a three-level fair value hierarchy as discussed in Note 4 to our consolidated financial statements.</w:t>
      </w:r>
    </w:p>
    <w:p>
      <w:pPr>
        <w:spacing w:after="0" w:line="183"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In determining fair value, the Board uses various valuation approaches, and engages a third-party independent valuation firm, which provides positive assurance on the investments it reviews. In accordance with U.S. GAAP, a fair value hierarchy for inputs is used in measuring fair value that maximizes the use of observable inputs and minimizes the use of unobservable inputs by requiring that the most observable inputs be used when available.</w:t>
      </w:r>
    </w:p>
    <w:p>
      <w:pPr>
        <w:spacing w:after="0" w:line="161"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Observable inputs are those that market participants would use in pricing the asset or liability based on market data obtained from sources independent of the Board. Unobservable inputs reflect the Board’s assumptions about the inputs market participants would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7" w:name="page48"/>
    <w:bookmarkEnd w:id="47"/>
    <w:p>
      <w:pPr>
        <w:spacing w:after="0" w:line="293" w:lineRule="auto"/>
        <w:rPr>
          <w:sz w:val="20"/>
          <w:szCs w:val="20"/>
          <w:color w:val="auto"/>
        </w:rPr>
      </w:pPr>
      <w:r>
        <w:rPr>
          <w:rFonts w:ascii="Arial" w:cs="Arial" w:eastAsia="Arial" w:hAnsi="Arial"/>
          <w:sz w:val="18"/>
          <w:szCs w:val="18"/>
          <w:color w:val="auto"/>
        </w:rPr>
        <w:t>use in pricing the asset or liability developed based upon the best information available in the circumstances. The fair value hierarchy is categorized into three levels based on the inputs as follows:</w:t>
      </w:r>
    </w:p>
    <w:p>
      <w:pPr>
        <w:spacing w:after="0" w:line="179" w:lineRule="exact"/>
        <w:rPr>
          <w:sz w:val="20"/>
          <w:szCs w:val="20"/>
          <w:color w:val="auto"/>
        </w:rPr>
      </w:pPr>
    </w:p>
    <w:p>
      <w:pPr>
        <w:jc w:val="both"/>
        <w:ind w:left="760" w:right="20"/>
        <w:spacing w:after="0" w:line="332"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 Valuations based on unadjusted quoted prices in active markets for identical assets or liabilities that the Company has the ability to</w:t>
      </w:r>
      <w:r>
        <w:rPr>
          <w:rFonts w:ascii="Arial" w:cs="Arial" w:eastAsia="Arial" w:hAnsi="Arial"/>
          <w:sz w:val="16"/>
          <w:szCs w:val="16"/>
          <w:b w:val="1"/>
          <w:bCs w:val="1"/>
          <w:color w:val="auto"/>
        </w:rPr>
        <w:t xml:space="preserve"> </w:t>
      </w:r>
      <w:r>
        <w:rPr>
          <w:rFonts w:ascii="Arial" w:cs="Arial" w:eastAsia="Arial" w:hAnsi="Arial"/>
          <w:sz w:val="16"/>
          <w:szCs w:val="16"/>
          <w:color w:val="auto"/>
        </w:rPr>
        <w:t>access. Valuation adjustments and block discounts are not applied to Level 1 securities. Since valuations are based on quoted prices that are readily and regularly available in an active market, valuation of these securities does not entail a significant degree of judgment.</w:t>
      </w:r>
    </w:p>
    <w:p>
      <w:pPr>
        <w:spacing w:after="0" w:line="154" w:lineRule="exact"/>
        <w:rPr>
          <w:sz w:val="20"/>
          <w:szCs w:val="20"/>
          <w:color w:val="auto"/>
        </w:rPr>
      </w:pPr>
    </w:p>
    <w:p>
      <w:pPr>
        <w:jc w:val="both"/>
        <w:ind w:left="760" w:right="20"/>
        <w:spacing w:after="0" w:line="297"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Valuations based on quoted prices in markets that are not active or for which all significant inputs are observable, either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Valuations based on inputs that are unobservable and significant to the overall fair value measurement.</w:t>
      </w:r>
    </w:p>
    <w:p>
      <w:pPr>
        <w:spacing w:after="0" w:line="256"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The availability of valuation techniques and observable inputs can vary from security to security and is affected by a wide variety of factors including the type of security, whether the security is new and not yet established in the marketplace, and other characteristics particular to the transaction. To the extent that valuation is based on models or inputs that are less observable or unobservable in the market, the determination of fair value requires more judgment. Those estimated values do not necessarily represent the amounts that may be ultimately realized due to the occurrence of future circumstances that cannot be reasonably determined. Because of the inherent uncertainty of valuation, those estimated values may be materially higher or lower than the values that would have been used had a market for the securities existed. Accordingly, the degree of judgment exercised by the Company in determining fair value is greatest for securities categorized in Level 3. In certain cases, the inputs used to measure fair value may fall into different levels of the fair value hierarchy. In such cases, for disclosure purposes, the level in the fair value hierarchy within which the fair value measurement in its entirety falls is determined based on the lowest level input that is significant to the fair value measurement.</w:t>
      </w:r>
    </w:p>
    <w:p>
      <w:pPr>
        <w:spacing w:after="0" w:line="1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Fair value is a market-based measure considered from the perspective of a market participant rather than an entity-specific measure. Therefore, even when market assumptions are not readily available, the Company’s own assumptions are set to reflect those that market participants would use in pricing the asset or liability at the measurement date. We use prices and inputs that are current as of the measurement date, including periods of market dislocation. In periods of market dislocation, the observability of prices and inputs may be reduced for many securities. This condition could cause a security to be reclassified to a lower level within the fair value hierarchy.</w:t>
      </w:r>
    </w:p>
    <w:p>
      <w:pPr>
        <w:spacing w:after="0" w:line="204" w:lineRule="exact"/>
        <w:rPr>
          <w:sz w:val="20"/>
          <w:szCs w:val="20"/>
          <w:color w:val="auto"/>
        </w:rPr>
      </w:pPr>
    </w:p>
    <w:p>
      <w:pPr>
        <w:jc w:val="both"/>
        <w:ind w:right="20" w:firstLine="749"/>
        <w:spacing w:after="0" w:line="303" w:lineRule="auto"/>
        <w:rPr>
          <w:sz w:val="20"/>
          <w:szCs w:val="20"/>
          <w:color w:val="auto"/>
        </w:rPr>
      </w:pPr>
      <w:r>
        <w:rPr>
          <w:rFonts w:ascii="Arial" w:cs="Arial" w:eastAsia="Arial" w:hAnsi="Arial"/>
          <w:sz w:val="17"/>
          <w:szCs w:val="17"/>
          <w:color w:val="auto"/>
        </w:rPr>
        <w:t>In estimating the fair value of portfolio investments, the Company starts with the cost basis of the investment, which includes original issue discount and payment-in-kind (“PIK”) income, if any. The transaction price is typically the best estimate of fair value at inception. When evidence supports a subsequent change to the carrying value from the original transaction price, adjustments are made to reflect the expected fair value.</w:t>
      </w:r>
    </w:p>
    <w:p>
      <w:pPr>
        <w:spacing w:after="0" w:line="178"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As a practical expedient, the Company used net asset value (“NAV”) as the fair value for its equity investment in CSLF II. CSLF II recorded its underlying investments at fair value on a quarterly basis in accordance with the 1940 Act and ASC 820.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Techniques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Value Waterfall Approach</w:t>
      </w:r>
    </w:p>
    <w:p>
      <w:pPr>
        <w:spacing w:after="0" w:line="25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8"/>
          <w:szCs w:val="18"/>
          <w:color w:val="auto"/>
        </w:rPr>
        <w:t>The enterprise value waterfall approach determines an enterprise value based on EBITDA multiples of publicly traded companies that are considered similar to the subject portfolio company. The Company considers a variety of items in determining a reasonable pricing multiple, including, but not limited to, operating results, budgeted projections, growth, size, risk, profitability, leverage, management depth, diversification, market position, supplier or customer dependence, asset utilization, liquidity metrics, and access to capital markets. EBITDA of the portfolio company is adjusted for non-recurring items in order to reflect a normalized level of earnings that is representative of future earnings. In certain instances, the Company may also utilize revenue multiples to determine enterprise value. When available, the Company may assign a pricing multiple or value its investments based on the value of recent investment transactions in the subject portfolio company or offers to purchase the portfolio company. The enterprise value is adjusted for financial instruments with seniority to the Company’s ownership and for the effect of any instrument which may dilute the Company’s investment in the portfolio company. The adjusted enterprise value is then apportioned based on the seniority and privileges of the Company’s investments within the portfolio company.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Approach</w:t>
      </w:r>
    </w:p>
    <w:p>
      <w:pPr>
        <w:spacing w:after="0" w:line="25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income approach utilizes a discounted cash flow methodology in which the Company estimates fair value based on the present value of expected cash flows discounted at a market rate of interest. The determination of a discount rate, or required rate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both"/>
        <w:spacing w:after="0" w:line="290" w:lineRule="auto"/>
        <w:rPr>
          <w:sz w:val="20"/>
          <w:szCs w:val="20"/>
          <w:color w:val="auto"/>
        </w:rPr>
      </w:pPr>
      <w:r>
        <w:rPr>
          <w:rFonts w:ascii="Arial" w:cs="Arial" w:eastAsia="Arial" w:hAnsi="Arial"/>
          <w:sz w:val="17"/>
          <w:szCs w:val="17"/>
          <w:color w:val="auto"/>
        </w:rPr>
        <w:t>return, takes into account the portfolio company’s fundamentals and perceived credit risk. Because the majority of the Company’s portfolio companies do not have a public credit rating, determining a discount rate often involves assigning an implied credit rating based on the portfolio company’s operating metrics compared to average metrics of similar publicly rated debt. Operating metrics include, but are not limited to, EBITDA, interest coverage, leverage ratio, return on capital, and debt to equity ratios. The implied credit rating is used to assign a base discount rate range based on publicly available yields on similarly rated debt securities. The Company may apply a premium to the discount rate utilized in determining fair value when performance metrics and other qualitative information indicate that there is an additional level of uncertainty about collectability of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Approach</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asset approach values an investment based on the value of the underlying collateral securing the investment.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revenue recognition policies are as follows:</w:t>
      </w:r>
    </w:p>
    <w:p>
      <w:pPr>
        <w:spacing w:after="0" w:line="25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i w:val="1"/>
          <w:iCs w:val="1"/>
          <w:color w:val="auto"/>
        </w:rPr>
        <w:t xml:space="preserve">Interest income and paid-in-kind interest income: </w:t>
      </w:r>
      <w:r>
        <w:rPr>
          <w:rFonts w:ascii="Arial" w:cs="Arial" w:eastAsia="Arial" w:hAnsi="Arial"/>
          <w:sz w:val="17"/>
          <w:szCs w:val="17"/>
          <w:color w:val="auto"/>
        </w:rPr>
        <w:t>Interest income is recorded on the accrual basis to the extent that such amounts are expected to</w:t>
      </w:r>
      <w:r>
        <w:rPr>
          <w:rFonts w:ascii="Arial" w:cs="Arial" w:eastAsia="Arial" w:hAnsi="Arial"/>
          <w:sz w:val="17"/>
          <w:szCs w:val="17"/>
          <w:i w:val="1"/>
          <w:iCs w:val="1"/>
          <w:color w:val="auto"/>
        </w:rPr>
        <w:t xml:space="preserve"> </w:t>
      </w:r>
      <w:r>
        <w:rPr>
          <w:rFonts w:ascii="Arial" w:cs="Arial" w:eastAsia="Arial" w:hAnsi="Arial"/>
          <w:sz w:val="17"/>
          <w:szCs w:val="17"/>
          <w:color w:val="auto"/>
        </w:rPr>
        <w:t>be collected. The Company has loans in the portfolio that contain a PIK interest provision. PIK interest, which represents contractually deferred interest added to the loan balance that is generally due at maturity, is recorded on the accrual basis to the extent that such amounts are expected to be collected. PIK interest is not accrued if the Company does not expect the issuer to be able to pay all principal and interest when due.</w:t>
      </w:r>
    </w:p>
    <w:p>
      <w:pPr>
        <w:spacing w:after="0" w:line="183"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i w:val="1"/>
          <w:iCs w:val="1"/>
          <w:color w:val="auto"/>
        </w:rPr>
        <w:t xml:space="preserve">Non-accrual investments: </w:t>
      </w:r>
      <w:r>
        <w:rPr>
          <w:rFonts w:ascii="Arial" w:cs="Arial" w:eastAsia="Arial" w:hAnsi="Arial"/>
          <w:sz w:val="17"/>
          <w:szCs w:val="17"/>
          <w:color w:val="auto"/>
        </w:rPr>
        <w:t>Management reviews all loans that become 90 days or more past due, or when there is reasonable doubt that principal</w:t>
      </w:r>
      <w:r>
        <w:rPr>
          <w:rFonts w:ascii="Arial" w:cs="Arial" w:eastAsia="Arial" w:hAnsi="Arial"/>
          <w:sz w:val="17"/>
          <w:szCs w:val="17"/>
          <w:i w:val="1"/>
          <w:iCs w:val="1"/>
          <w:color w:val="auto"/>
        </w:rPr>
        <w:t xml:space="preserve"> </w:t>
      </w:r>
      <w:r>
        <w:rPr>
          <w:rFonts w:ascii="Arial" w:cs="Arial" w:eastAsia="Arial" w:hAnsi="Arial"/>
          <w:sz w:val="17"/>
          <w:szCs w:val="17"/>
          <w:color w:val="auto"/>
        </w:rPr>
        <w:t>or interest will be collected, for possible placement on non-accrual status. When the Company otherwise does not expect the borrower to be able to service its debt and other obligations, the Company will place the loan on non-accrual status and will generally cease recognizing interest income and PIK interest on that loan for financial reporting purposes. Interest payments received on non-accrual loans may be recognized as income or applied to principal depending upon management’s judgment. The Company writes off any previously accrued and uncollected cash interest when it is determined that interest is no longer considered collectible. Non-accrual loans are returned to accrual status when the borrower’s financial condition improves such that management believes current interest and principal payments are expected to be collected.</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 xml:space="preserve">Gains and losses on investment sales and paydowns: </w:t>
      </w:r>
      <w:r>
        <w:rPr>
          <w:rFonts w:ascii="Arial" w:cs="Arial" w:eastAsia="Arial" w:hAnsi="Arial"/>
          <w:sz w:val="16"/>
          <w:szCs w:val="16"/>
          <w:color w:val="auto"/>
        </w:rPr>
        <w:t>Realized gains and losses on investments are recognized using the specific identification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method.</w:t>
      </w:r>
    </w:p>
    <w:p>
      <w:pPr>
        <w:spacing w:after="0" w:line="251"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i w:val="1"/>
          <w:iCs w:val="1"/>
          <w:color w:val="auto"/>
        </w:rPr>
        <w:t xml:space="preserve">Dividend income and paid-in-kind dividends: </w:t>
      </w:r>
      <w:r>
        <w:rPr>
          <w:rFonts w:ascii="Arial" w:cs="Arial" w:eastAsia="Arial" w:hAnsi="Arial"/>
          <w:sz w:val="17"/>
          <w:szCs w:val="17"/>
          <w:color w:val="auto"/>
        </w:rPr>
        <w:t>Dividend income is recognized on the date dividends are declared. The Company holds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investments in the portfolio that contain a PIK dividend provision. PIK dividends, which represent contractually deferred dividends added to the equity balance, are recorded on the accrual basis to the extent that such amounts are expected to be collected. The Company will typically cease accrual of PIK dividends when the fair value of the equity investment is less than the cost basis of the investment or when it is otherwise determined by management that PIK dividends are unlikely to be collected. If management determines that a decline in fair value is temporary in nature and PIK dividends are more likely than not to be collected, management may elect to continue accruing PIK dividends.</w:t>
      </w:r>
    </w:p>
    <w:p>
      <w:pPr>
        <w:spacing w:after="0" w:line="189"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i w:val="1"/>
          <w:iCs w:val="1"/>
          <w:color w:val="auto"/>
        </w:rPr>
        <w:t xml:space="preserve">Original issue discount: </w:t>
      </w:r>
      <w:r>
        <w:rPr>
          <w:rFonts w:ascii="Arial" w:cs="Arial" w:eastAsia="Arial" w:hAnsi="Arial"/>
          <w:sz w:val="18"/>
          <w:szCs w:val="18"/>
          <w:color w:val="auto"/>
        </w:rPr>
        <w:t>Discounts received to par on loans purchased are capitalized and accreted into income over the life of the loan. Any</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discount is accreted into income upon prepayment of the loan.</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i w:val="1"/>
          <w:iCs w:val="1"/>
          <w:color w:val="auto"/>
        </w:rPr>
        <w:t xml:space="preserve">Other income: </w:t>
      </w:r>
      <w:r>
        <w:rPr>
          <w:rFonts w:ascii="Arial" w:cs="Arial" w:eastAsia="Arial" w:hAnsi="Arial"/>
          <w:sz w:val="18"/>
          <w:szCs w:val="18"/>
          <w:color w:val="auto"/>
        </w:rPr>
        <w:t>Origination fees (to the extent services are performed to earn such income), amendment fees, consent fees, and other fees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investments in portfolio companies are recognized as income when the investment transaction closes. Prepayment penalties received by the Company for debt instruments repaid prior to the maturity date are recorded as income upon receipt.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Prior to the Formation Transactions, the Legacy Funds were treated as partnerships for U.S. federal, state and local income tax purposes and, therefore, no provision has been made in the accompanying consolidated financial statements for federal, state or local income taxes. In accordance with the partnership tax law requirements, each partner would include their respective components of the Legacy Funds’ taxable profits or losses, as shown on their Schedule K-1 in their respective tax or information returns. The Legacy Funds are disregarded entities for tax purposes prior to and post the Formation Transactions.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9" w:name="page50"/>
    <w:bookmarkEnd w:id="49"/>
    <w:p>
      <w:pPr>
        <w:jc w:val="both"/>
        <w:ind w:firstLine="749"/>
        <w:spacing w:after="0" w:line="279" w:lineRule="auto"/>
        <w:rPr>
          <w:sz w:val="20"/>
          <w:szCs w:val="20"/>
          <w:color w:val="auto"/>
        </w:rPr>
      </w:pPr>
      <w:r>
        <w:rPr>
          <w:rFonts w:ascii="Arial" w:cs="Arial" w:eastAsia="Arial" w:hAnsi="Arial"/>
          <w:sz w:val="18"/>
          <w:szCs w:val="18"/>
          <w:color w:val="auto"/>
        </w:rPr>
        <w:t>The Company has elected to be treated for U.S. federal income tax purposes and intends to comply with the requirement to qualify annually as a RIC under subchapter M of the Code and, among other things, intends to make the requisite distributions to its stockholders which will relieve the Company from U.S. federal income taxes.</w:t>
      </w:r>
    </w:p>
    <w:p>
      <w:pPr>
        <w:spacing w:after="0" w:line="19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9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Depending on the level of taxable income earned in an excise tax year, the Company may choose to carry forward taxable income in excess of current year dividend distributions into the next excise tax year and pay a 4.0% excise tax on such income, as required. To the extent that the Company determines that its estimated current year annual taxable income will be in excess of estimated current year dividend distributions for U.S. federal excise tax purposes, the Company accrues excise tax, if any, on estimated excess taxable income as taxable income is earned. Since the Company’s IPO, the Company has not accrued or paid excise tax.</w:t>
      </w:r>
    </w:p>
    <w:p>
      <w:pPr>
        <w:spacing w:after="0" w:line="204"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The tax years ended December 31, 2020, 2019, 2018, and 2017 remain subject to examination by U.S. federal, state, and local tax authorities. No interest expense or penalties have been assessed for the periods ended September 30, 2021 and 2020. If the Company was required to recognize interest and penalties, if any, related to unrecognized tax benefits this would be recognized as income tax expense in the consolidated statements of operations.</w:t>
      </w:r>
    </w:p>
    <w:p>
      <w:pPr>
        <w:spacing w:after="0" w:line="161"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The Company’s Taxable Subsidiaries record deferred tax assets or liabilities related to temporary book versus tax differences on the income or loss generated by the underlying equity investments held by the Taxable Subsidiaries. As of September 30, 2021, and December 31, 2020, the Company recorded a net deferred tax asset of zero. For the three and nine months ended September 30, 2021 and 2020, the Company recorded a deferred tax provision of zero. As of September 30, 2021 and December 31, 2020, the valuation allowance on the Company’s deferred tax asset was $10.7 million and $4.6 million, respectively. During the three and nine months ended September 30, 2021, the Company recognized an increase in the valuation allowance of $7.5 million and $6.1 million, respectively. During the three and nine months ended September 30, 2020, the Company recognized an increase in the valuation allowance of $1.0 million and $1.8 million, respectively.</w:t>
      </w:r>
    </w:p>
    <w:p>
      <w:pPr>
        <w:spacing w:after="0" w:line="194"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a RIC may treat a distribution of its own stock as fulfilling its RIC distribution requirements if each stockholder may elect to receive its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its entire distribution in cash. If these and certain other requirements are met, for U.S. federal income tax purposes, the amount of the dividend paid in stock will be equal to the amount of cash that could have been received instead of stock.</w:t>
      </w:r>
    </w:p>
    <w:p>
      <w:pPr>
        <w:spacing w:after="0" w:line="235"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 xml:space="preserve">ASC Topic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provides guidance for how uncertain tax positions should be recognized, measured, presented, and disclosed in the consolidated financial statements. ASC 740 requires the evaluation of tax positions taken or expected to be taken in the course of preparing the Company’s U.S. federal income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September 30, 2021 and December 31, 2020, there were no uncertain tax positions.</w:t>
      </w:r>
    </w:p>
    <w:p>
      <w:pPr>
        <w:spacing w:after="0" w:line="18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The Company is required to determine whether a tax position of the Company is more-likely-than-not to be sustained upon examination by the applicable taxing authority, including resolution of any related appeals or litigation processes, based on the technical merits of the position. The tax benefit to be recognized is measured as the largest amount of benefit that is greater than fifty percent likely of being realized upon ultimate settlement. De-recognition of a tax benefit previously recognized could result in the Company recording a tax liability that could negatively impact the Company’s net assets.</w:t>
      </w:r>
    </w:p>
    <w:p>
      <w:pPr>
        <w:spacing w:after="0" w:line="204"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U.S. GAAP provides guidance on thresholds, measurement, de-recognition, classification, interest and penalties, accounting in interim periods, disclosure, and transition that is intended to provide better financial statement comparability among different entities.</w:t>
      </w:r>
    </w:p>
    <w:p>
      <w:pPr>
        <w:spacing w:after="0" w:line="183"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has concluded that it was not necessary to record a liability for any such tax positions as of September 30, 2021 and December 31, 2020. However, the Company’s conclusions regarding this policy may be subject to review and adjustment at a later date based on factors including, but not limited to, ongoing analyses of, and changes to, tax laws, regulations and interpretations thereof.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The Company’s investment objective is to generate both current income and capital appreciation through debt and equity investments. The Company offers customized financing to business owners, management teams and financial sponsors for change of ownership transactions, recapitalizations, strategic acquisitions, business expansion and other growth initiatives. The Company invests primarily in first lien loans, and, to a lesser extent, second lien loans and equity securities issued by lower middle-market companies and traditional middle-market companies. As of September 30, 2021, our portfolio consisted of investments in 33 portfolio companies with a fair value of approximately $195.4 million.</w:t>
      </w:r>
    </w:p>
    <w:p>
      <w:pPr>
        <w:spacing w:after="0" w:line="18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Most of the Company’s debt investments are structured as first lien loans. First lien loans may contain some minimum amount of principal amortization, excess cash flow sweep feature, prepayment penalties, or any combination of the foregoing. First lien loans are secured by a first priority lien in existing and future assets of the borrower and may take the form of term loans, delayed draw facilities, or revolving credit facilities. Unitranche debt, a form of first lien loan, typically involves issuing one debt security that blends the risk and return profiles of both senior secured and subordinated debt, bifurcating the loan into a first-out tranche and last-out tranche. As of September 30, 2021, 11.2% of the fair value of our first lien loans consisted of last-out loans. As of December 31, 2020, 14.5% of the fair value of our first lien loans consisted of last-out loans. In some cases, first lien loans may be subordinated, solely with respect to the payment of cash interest, to an asset based revolving credit facility.</w:t>
      </w:r>
    </w:p>
    <w:p>
      <w:pPr>
        <w:spacing w:after="0" w:line="194"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Company also invests in debt instruments structured as second lien loans. Second lien loans are loans which have a second priority security interest in all or substantially all of the borrower’s assets, and in some cases, may be subject to the interruption of cash interest payments upon certain events of default, at the discretion of the first lien lender.</w:t>
      </w:r>
    </w:p>
    <w:p>
      <w:pPr>
        <w:spacing w:after="0" w:line="19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During the three months ended September 30, 2021, we made approximately $33.3 million of investments and had approximately $64.1 million in repayments and sales, resulting in net repayments and sales of approximately $30.8 million for the period. During the three months ended September 30, 2020, we made approximately $0.3 million of investments and had approximately $10.3 million in repayments and sales, resulting in net repayments and sales of approximately $10.0 million for the period.</w:t>
      </w:r>
    </w:p>
    <w:p>
      <w:pPr>
        <w:spacing w:after="0" w:line="199"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During the nine months ended September 30, 2021, we made approximately $43.3 million of investments and had approximately $127.5 million in repayments and sales, resulting in net repayments and sales of approximately $84.2 million for the period. During the nine months ended September 30, 2020, we made approximately $21.1 million of investments and had approximately $69.2 million in repayments and sales, resulting in net repayments and sales of approximately $48.1 million for the period</w:t>
      </w:r>
    </w:p>
    <w:p>
      <w:pPr>
        <w:spacing w:after="0" w:line="239"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As of September 30, 2021, our debt investment portfolio, which represented 69.1% of the fair value of our total portfolio, had a weighted average annualized yield of approximately 8.9%. As of September 30, 2021, 31.4% of the fair value of our debt investment portfolio was bearing a fixed rate of interest. As of December 31, 2020, our debt investment portfolio, which represented 75.2% of the fair value of our total portfolio, had a weighted average annualized yield of approximately 10.0%. As of December 31, 2020, 48.9% of the fair value of our debt investment portfolio was bearing a fixed rate of interest.</w:t>
      </w:r>
    </w:p>
    <w:p>
      <w:pPr>
        <w:spacing w:after="0" w:line="204"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weighted average annualized yield is calculated based on the effective interest rate as of period end, divided by the fair value of our debt investments. The weighted average annualized yield of our debt investments is not the same as a return on investment for our stockholders but, rather, relates to a portion of our investment portfolio and is calculated before the payment of all of our fees and expenses. There can be no assurance that the weighted average annualized yield will remain at its current level.</w:t>
      </w:r>
    </w:p>
    <w:p>
      <w:pPr>
        <w:spacing w:after="0" w:line="199" w:lineRule="exact"/>
        <w:rPr>
          <w:sz w:val="20"/>
          <w:szCs w:val="20"/>
          <w:color w:val="auto"/>
        </w:rPr>
      </w:pPr>
    </w:p>
    <w:p>
      <w:pPr>
        <w:jc w:val="both"/>
        <w:ind w:firstLine="749"/>
        <w:spacing w:after="0" w:line="314" w:lineRule="auto"/>
        <w:rPr>
          <w:sz w:val="20"/>
          <w:szCs w:val="20"/>
          <w:color w:val="auto"/>
        </w:rPr>
      </w:pPr>
      <w:r>
        <w:rPr>
          <w:rFonts w:ascii="Arial" w:cs="Arial" w:eastAsia="Arial" w:hAnsi="Arial"/>
          <w:sz w:val="16"/>
          <w:szCs w:val="16"/>
          <w:color w:val="auto"/>
        </w:rPr>
        <w:t>As of September 30, 2021, the Board approved the fair value of our investment portfolio of approximately $195.4 million in good faith in accordance with our valuation procedures. The Board approved the fair value of our investment portfolio as of September 30, 2021 with input from a third-party valuation firm and the Investment Advisor based on information known or knowable as of the valuation date, including trailing and forward-looking data. The COVID-19 pandemic is an unprecedented circumstance that materially impacts the fair value of our investments. As a result, the fair value of our portfolio investments may be further negatively impacted after September 30, 2021 by circumstances and events that are not yet known.</w:t>
      </w:r>
    </w:p>
    <w:p>
      <w:pPr>
        <w:spacing w:after="0" w:line="17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The COVID-19 pandemic may also impact our portfolio companies’ ability to pay their respective contractual obligations, including principal and interest due to us, and some portfolio companies may require interest or amortization deferrals in order to fulfill short-term liquidity needs in response to the COVID-19 pandemic. We are working with each of our portfolio companies to help them access short-term liquidity through interest deferrals, funding on unused lines of credit, and other sources of liquidity.</w:t>
      </w:r>
    </w:p>
    <w:p>
      <w:pPr>
        <w:spacing w:after="0" w:line="19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As of September 30, 2021, we had debt investments in three portfolio companies on non-accrual status with an aggregate amortized cost of $21.3 million and an aggregate fair value of $9.2 million, which represented 11.0% and 4.7% of the investment portfolio, respectively. As of December 31, 2020, we had debt investments in four portfolio companies on non-accrual status with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line="293" w:lineRule="auto"/>
        <w:rPr>
          <w:sz w:val="20"/>
          <w:szCs w:val="20"/>
          <w:color w:val="auto"/>
        </w:rPr>
      </w:pPr>
      <w:r>
        <w:rPr>
          <w:rFonts w:ascii="Arial" w:cs="Arial" w:eastAsia="Arial" w:hAnsi="Arial"/>
          <w:sz w:val="18"/>
          <w:szCs w:val="18"/>
          <w:color w:val="auto"/>
        </w:rPr>
        <w:t>aggregate amortized cost of $37.5 million and an aggregate fair value of $20.8 million, which represented 13.5% and 7.6% of the investment portfolio, respectively.</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amortized cost and the fair value of investments as of September 30, 2021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87"/>
              </w:rPr>
              <w:t>at</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9"/>
                <w:szCs w:val="19"/>
                <w:color w:val="auto"/>
              </w:rPr>
            </w:pPr>
          </w:p>
        </w:tc>
        <w:tc>
          <w:tcPr>
            <w:tcW w:w="18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Percentage of</w:t>
            </w: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at</w:t>
            </w:r>
          </w:p>
        </w:tc>
        <w:tc>
          <w:tcPr>
            <w:tcW w:w="200" w:type="dxa"/>
            <w:vAlign w:val="bottom"/>
          </w:tcPr>
          <w:p>
            <w:pPr>
              <w:spacing w:after="0"/>
              <w:rPr>
                <w:sz w:val="19"/>
                <w:szCs w:val="19"/>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4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Total</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w:t>
            </w:r>
          </w:p>
        </w:tc>
        <w:tc>
          <w:tcPr>
            <w:tcW w:w="240" w:type="dxa"/>
            <w:vAlign w:val="bottom"/>
          </w:tcPr>
          <w:p>
            <w:pPr>
              <w:spacing w:after="0"/>
              <w:rPr>
                <w:sz w:val="20"/>
                <w:szCs w:val="20"/>
                <w:color w:val="auto"/>
              </w:rPr>
            </w:pPr>
          </w:p>
        </w:tc>
      </w:tr>
      <w:tr>
        <w:trPr>
          <w:trHeight w:val="257"/>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126,463</w:t>
            </w:r>
          </w:p>
        </w:tc>
        <w:tc>
          <w:tcPr>
            <w:tcW w:w="2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65.1 %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113,854</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58.3 %</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2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21,055</w:t>
            </w:r>
          </w:p>
        </w:tc>
        <w:tc>
          <w:tcPr>
            <w:tcW w:w="2060" w:type="dxa"/>
            <w:vAlign w:val="bottom"/>
            <w:gridSpan w:val="3"/>
          </w:tcPr>
          <w:p>
            <w:pPr>
              <w:jc w:val="right"/>
              <w:ind w:right="240"/>
              <w:spacing w:after="0"/>
              <w:rPr>
                <w:sz w:val="20"/>
                <w:szCs w:val="20"/>
                <w:color w:val="auto"/>
              </w:rPr>
            </w:pPr>
            <w:r>
              <w:rPr>
                <w:rFonts w:ascii="Arial" w:cs="Arial" w:eastAsia="Arial" w:hAnsi="Arial"/>
                <w:sz w:val="18"/>
                <w:szCs w:val="18"/>
                <w:color w:val="auto"/>
              </w:rPr>
              <w:t>10.8 %</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21,165</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10.8 %</w:t>
            </w:r>
          </w:p>
        </w:tc>
      </w:tr>
      <w:tr>
        <w:trPr>
          <w:trHeight w:val="257"/>
        </w:trPr>
        <w:tc>
          <w:tcPr>
            <w:tcW w:w="4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2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46,788</w:t>
            </w:r>
          </w:p>
        </w:tc>
        <w:tc>
          <w:tcPr>
            <w:tcW w:w="220" w:type="dxa"/>
            <w:vAlign w:val="bottom"/>
            <w:shd w:val="clear" w:color="auto" w:fill="CFF0FC"/>
          </w:tcPr>
          <w:p>
            <w:pPr>
              <w:spacing w:after="0"/>
              <w:rPr>
                <w:sz w:val="22"/>
                <w:szCs w:val="22"/>
                <w:color w:val="auto"/>
              </w:rPr>
            </w:pPr>
          </w:p>
        </w:tc>
        <w:tc>
          <w:tcPr>
            <w:tcW w:w="1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24.1 %</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60,366</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30.9 %</w:t>
            </w:r>
          </w:p>
        </w:tc>
      </w:tr>
      <w:tr>
        <w:trPr>
          <w:trHeight w:val="20"/>
        </w:trPr>
        <w:tc>
          <w:tcPr>
            <w:tcW w:w="40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194,306</w:t>
            </w:r>
          </w:p>
        </w:tc>
        <w:tc>
          <w:tcPr>
            <w:tcW w:w="220" w:type="dxa"/>
            <w:vAlign w:val="bottom"/>
          </w:tcPr>
          <w:p>
            <w:pPr>
              <w:spacing w:after="0"/>
              <w:rPr>
                <w:sz w:val="21"/>
                <w:szCs w:val="21"/>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100.0 %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195,385</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r>
      <w:tr>
        <w:trPr>
          <w:trHeight w:val="20"/>
        </w:trPr>
        <w:tc>
          <w:tcPr>
            <w:tcW w:w="4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-193675</wp:posOffset>
            </wp:positionV>
            <wp:extent cx="145415" cy="571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-193675</wp:posOffset>
            </wp:positionV>
            <wp:extent cx="248920" cy="571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-193675</wp:posOffset>
            </wp:positionV>
            <wp:extent cx="128905" cy="571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-193675</wp:posOffset>
            </wp:positionV>
            <wp:extent cx="154305" cy="571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54305" cy="5715"/>
                    </a:xfrm>
                    <a:prstGeom prst="rect">
                      <a:avLst/>
                    </a:prstGeom>
                    <a:noFill/>
                  </pic:spPr>
                </pic:pic>
              </a:graphicData>
            </a:graphic>
          </wp:anchor>
        </w:drawing>
      </w:r>
    </w:p>
    <w:p>
      <w:pPr>
        <w:spacing w:after="0" w:line="24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table summarizes the amortized cost and the fair value of investments as of December 31, 2020 (dollars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Investments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0"/>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at</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4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Amortized</w:t>
            </w:r>
          </w:p>
        </w:tc>
        <w:tc>
          <w:tcPr>
            <w:tcW w:w="220" w:type="dxa"/>
            <w:vAlign w:val="bottom"/>
          </w:tcPr>
          <w:p>
            <w:pPr>
              <w:spacing w:after="0"/>
              <w:rPr>
                <w:sz w:val="19"/>
                <w:szCs w:val="19"/>
                <w:color w:val="auto"/>
              </w:rPr>
            </w:pPr>
          </w:p>
        </w:tc>
        <w:tc>
          <w:tcPr>
            <w:tcW w:w="18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Percentage of</w:t>
            </w: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at</w:t>
            </w:r>
          </w:p>
        </w:tc>
        <w:tc>
          <w:tcPr>
            <w:tcW w:w="200" w:type="dxa"/>
            <w:vAlign w:val="bottom"/>
          </w:tcPr>
          <w:p>
            <w:pPr>
              <w:spacing w:after="0"/>
              <w:rPr>
                <w:sz w:val="19"/>
                <w:szCs w:val="19"/>
                <w:color w:val="auto"/>
              </w:rPr>
            </w:pPr>
          </w:p>
        </w:tc>
        <w:tc>
          <w:tcPr>
            <w:tcW w:w="16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Percentage of</w:t>
            </w:r>
          </w:p>
        </w:tc>
      </w:tr>
      <w:tr>
        <w:trPr>
          <w:trHeight w:val="241"/>
        </w:trPr>
        <w:tc>
          <w:tcPr>
            <w:tcW w:w="4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4"/>
              </w:rPr>
              <w:t>Cost</w:t>
            </w:r>
          </w:p>
        </w:tc>
        <w:tc>
          <w:tcPr>
            <w:tcW w:w="220" w:type="dxa"/>
            <w:vAlign w:val="bottom"/>
          </w:tcPr>
          <w:p>
            <w:pPr>
              <w:spacing w:after="0"/>
              <w:rPr>
                <w:sz w:val="20"/>
                <w:szCs w:val="20"/>
                <w:color w:val="auto"/>
              </w:rPr>
            </w:pPr>
          </w:p>
        </w:tc>
        <w:tc>
          <w:tcPr>
            <w:tcW w:w="14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spacing w:after="0"/>
              <w:rPr>
                <w:sz w:val="20"/>
                <w:szCs w:val="20"/>
                <w:color w:val="auto"/>
              </w:rPr>
            </w:pPr>
          </w:p>
        </w:tc>
      </w:tr>
      <w:tr>
        <w:trPr>
          <w:trHeight w:val="256"/>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Debt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185,108</w:t>
            </w:r>
          </w:p>
        </w:tc>
        <w:tc>
          <w:tcPr>
            <w:tcW w:w="206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66.7 %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167,418</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60.9 %</w:t>
            </w: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Second Lien Debt</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39,026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14.0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39,209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21"/>
                <w:szCs w:val="21"/>
                <w:color w:val="auto"/>
              </w:rPr>
            </w:pPr>
          </w:p>
        </w:tc>
      </w:tr>
      <w:tr>
        <w:trPr>
          <w:trHeight w:val="257"/>
        </w:trPr>
        <w:tc>
          <w:tcPr>
            <w:tcW w:w="4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and Warrants</w:t>
            </w:r>
          </w:p>
        </w:tc>
        <w:tc>
          <w:tcPr>
            <w:tcW w:w="22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53,518</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68,065</w:t>
            </w:r>
          </w:p>
        </w:tc>
        <w:tc>
          <w:tcPr>
            <w:tcW w:w="20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40" w:type="dxa"/>
            <w:vAlign w:val="bottom"/>
            <w:tcBorders>
              <w:bottom w:val="single" w:sz="8" w:color="CFF0FC"/>
            </w:tcBorders>
            <w:shd w:val="clear" w:color="auto" w:fill="CFF0FC"/>
          </w:tcPr>
          <w:p>
            <w:pPr>
              <w:spacing w:after="0"/>
              <w:rPr>
                <w:sz w:val="22"/>
                <w:szCs w:val="22"/>
                <w:color w:val="auto"/>
              </w:rPr>
            </w:pPr>
          </w:p>
        </w:tc>
      </w:tr>
      <w:tr>
        <w:trPr>
          <w:trHeight w:val="250"/>
        </w:trPr>
        <w:tc>
          <w:tcPr>
            <w:tcW w:w="412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277,652</w:t>
            </w:r>
          </w:p>
        </w:tc>
        <w:tc>
          <w:tcPr>
            <w:tcW w:w="2060" w:type="dxa"/>
            <w:vAlign w:val="bottom"/>
            <w:gridSpan w:val="3"/>
          </w:tcPr>
          <w:p>
            <w:pPr>
              <w:jc w:val="right"/>
              <w:ind w:right="240"/>
              <w:spacing w:after="0"/>
              <w:rPr>
                <w:sz w:val="20"/>
                <w:szCs w:val="20"/>
                <w:color w:val="auto"/>
              </w:rPr>
            </w:pPr>
            <w:r>
              <w:rPr>
                <w:rFonts w:ascii="Arial" w:cs="Arial" w:eastAsia="Arial" w:hAnsi="Arial"/>
                <w:sz w:val="18"/>
                <w:szCs w:val="18"/>
                <w:color w:val="auto"/>
              </w:rPr>
              <w:t>100.0 %</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274,692</w:t>
            </w:r>
          </w:p>
        </w:tc>
        <w:tc>
          <w:tcPr>
            <w:tcW w:w="1860" w:type="dxa"/>
            <w:vAlign w:val="bottom"/>
            <w:gridSpan w:val="3"/>
          </w:tcPr>
          <w:p>
            <w:pPr>
              <w:jc w:val="right"/>
              <w:ind w:right="80"/>
              <w:spacing w:after="0"/>
              <w:rPr>
                <w:sz w:val="20"/>
                <w:szCs w:val="20"/>
                <w:color w:val="auto"/>
              </w:rPr>
            </w:pPr>
            <w:r>
              <w:rPr>
                <w:rFonts w:ascii="Arial" w:cs="Arial" w:eastAsia="Arial" w:hAnsi="Arial"/>
                <w:sz w:val="18"/>
                <w:szCs w:val="18"/>
                <w:color w:val="auto"/>
              </w:rPr>
              <w:t>100.0 %</w:t>
            </w:r>
          </w:p>
        </w:tc>
      </w:tr>
      <w:tr>
        <w:trPr>
          <w:trHeight w:val="20"/>
        </w:trPr>
        <w:tc>
          <w:tcPr>
            <w:tcW w:w="4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-708025</wp:posOffset>
            </wp:positionV>
            <wp:extent cx="145415" cy="571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-708025</wp:posOffset>
            </wp:positionV>
            <wp:extent cx="248920" cy="571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-708025</wp:posOffset>
            </wp:positionV>
            <wp:extent cx="128905" cy="571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-708025</wp:posOffset>
            </wp:positionV>
            <wp:extent cx="154305"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2" w:name="page53"/>
    <w:bookmarkEnd w:id="52"/>
    <w:p>
      <w:pPr>
        <w:jc w:val="both"/>
        <w:ind w:firstLine="749"/>
        <w:spacing w:after="0" w:line="293" w:lineRule="auto"/>
        <w:rPr>
          <w:sz w:val="20"/>
          <w:szCs w:val="20"/>
          <w:color w:val="auto"/>
        </w:rPr>
      </w:pPr>
      <w:r>
        <w:rPr>
          <w:rFonts w:ascii="Arial" w:cs="Arial" w:eastAsia="Arial" w:hAnsi="Arial"/>
          <w:sz w:val="18"/>
          <w:szCs w:val="18"/>
          <w:color w:val="auto"/>
        </w:rPr>
        <w:t>The following table shows the portfolio composition by industry grouping at fair value as of September 30, 2021 and December 31, 2020 (dollars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September 30, 2021</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3"/>
          </w:tcPr>
          <w:p>
            <w:pPr>
              <w:jc w:val="right"/>
              <w:ind w:right="79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r>
      <w:tr>
        <w:trPr>
          <w:trHeight w:val="238"/>
        </w:trPr>
        <w:tc>
          <w:tcPr>
            <w:tcW w:w="4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Percentage</w:t>
            </w:r>
          </w:p>
        </w:tc>
      </w:tr>
      <w:tr>
        <w:trPr>
          <w:trHeight w:val="229"/>
        </w:trPr>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Investments</w:t>
            </w:r>
          </w:p>
        </w:tc>
        <w:tc>
          <w:tcPr>
            <w:tcW w:w="240" w:type="dxa"/>
            <w:vAlign w:val="bottom"/>
          </w:tcPr>
          <w:p>
            <w:pPr>
              <w:spacing w:after="0"/>
              <w:rPr>
                <w:sz w:val="19"/>
                <w:szCs w:val="19"/>
                <w:color w:val="auto"/>
              </w:rPr>
            </w:pPr>
          </w:p>
        </w:tc>
        <w:tc>
          <w:tcPr>
            <w:tcW w:w="18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of</w:t>
            </w: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Investments</w:t>
            </w:r>
          </w:p>
        </w:tc>
        <w:tc>
          <w:tcPr>
            <w:tcW w:w="200" w:type="dxa"/>
            <w:vAlign w:val="bottom"/>
          </w:tcPr>
          <w:p>
            <w:pPr>
              <w:spacing w:after="0"/>
              <w:rPr>
                <w:sz w:val="19"/>
                <w:szCs w:val="19"/>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of</w:t>
            </w:r>
          </w:p>
        </w:tc>
      </w:tr>
      <w:tr>
        <w:trPr>
          <w:trHeight w:val="230"/>
        </w:trPr>
        <w:tc>
          <w:tcPr>
            <w:tcW w:w="4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at</w:t>
            </w:r>
          </w:p>
        </w:tc>
        <w:tc>
          <w:tcPr>
            <w:tcW w:w="240" w:type="dxa"/>
            <w:vAlign w:val="bottom"/>
          </w:tcPr>
          <w:p>
            <w:pPr>
              <w:spacing w:after="0"/>
              <w:rPr>
                <w:sz w:val="19"/>
                <w:szCs w:val="19"/>
                <w:color w:val="auto"/>
              </w:rPr>
            </w:pPr>
          </w:p>
        </w:tc>
        <w:tc>
          <w:tcPr>
            <w:tcW w:w="182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at</w:t>
            </w:r>
          </w:p>
        </w:tc>
        <w:tc>
          <w:tcPr>
            <w:tcW w:w="200" w:type="dxa"/>
            <w:vAlign w:val="bottom"/>
          </w:tcPr>
          <w:p>
            <w:pPr>
              <w:spacing w:after="0"/>
              <w:rPr>
                <w:sz w:val="19"/>
                <w:szCs w:val="19"/>
                <w:color w:val="auto"/>
              </w:rPr>
            </w:pPr>
          </w:p>
        </w:tc>
        <w:tc>
          <w:tcPr>
            <w:tcW w:w="16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Total</w:t>
            </w:r>
          </w:p>
        </w:tc>
      </w:tr>
      <w:tr>
        <w:trPr>
          <w:trHeight w:val="241"/>
        </w:trPr>
        <w:tc>
          <w:tcPr>
            <w:tcW w:w="4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Fair Value</w:t>
            </w:r>
          </w:p>
        </w:tc>
        <w:tc>
          <w:tcPr>
            <w:tcW w:w="240" w:type="dxa"/>
            <w:vAlign w:val="bottom"/>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Portfolio</w:t>
            </w: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5"/>
              </w:rPr>
              <w:t>Fair Value</w:t>
            </w:r>
          </w:p>
        </w:tc>
        <w:tc>
          <w:tcPr>
            <w:tcW w:w="200" w:type="dxa"/>
            <w:vAlign w:val="bottom"/>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Portfolio</w:t>
            </w:r>
          </w:p>
        </w:tc>
        <w:tc>
          <w:tcPr>
            <w:tcW w:w="240" w:type="dxa"/>
            <w:vAlign w:val="bottom"/>
          </w:tcPr>
          <w:p>
            <w:pPr>
              <w:spacing w:after="0"/>
              <w:rPr>
                <w:sz w:val="20"/>
                <w:szCs w:val="20"/>
                <w:color w:val="auto"/>
              </w:rPr>
            </w:pPr>
          </w:p>
        </w:tc>
      </w:tr>
      <w:tr>
        <w:trPr>
          <w:trHeight w:val="257"/>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Business Services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35,892</w:t>
            </w:r>
          </w:p>
        </w:tc>
        <w:tc>
          <w:tcPr>
            <w:tcW w:w="20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18.4 %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36,794</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13.4 %</w:t>
            </w: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Healthcare</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20,848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23,899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Information Technology</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13,810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11,154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Industrials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13,685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Textile Equipment Manufacturer</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11,868</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Multi-platform media and consumer products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10,046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Entertainment</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10,241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Financial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9,175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15,721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Electronic Machine Repair</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Healthcare Management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8,297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10,673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QSR Franchisor</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6,460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Financials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5,976</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Discretionary</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Wireless Deployment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5,809</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6,948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Testing laboratories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Medical Device Distributor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4,930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5,019</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Online Merchandise Retailer</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4,484</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Advertising &amp; Marketing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4,360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4,212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Home Repair Parts Manufacturer</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Automobile Part Manufacturer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14,935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Products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0.5</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15,649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Oil &amp; Gas Engineering and Consulting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Oil &amp; Gas Services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General Industrial</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Data Processing &amp; Digital Marketing</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Household Product Manufacturer</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758</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&amp; Marketing Services</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20,947</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Security System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14,727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IT Consulting</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13,199</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Data Services</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3,856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21"/>
                <w:szCs w:val="2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Footwear Retail</w:t>
            </w:r>
          </w:p>
        </w:tc>
        <w:tc>
          <w:tcPr>
            <w:tcW w:w="22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8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FF0FC"/>
          </w:tcPr>
          <w:p>
            <w:pPr>
              <w:spacing w:after="0"/>
              <w:rPr>
                <w:sz w:val="22"/>
                <w:szCs w:val="22"/>
                <w:color w:val="auto"/>
              </w:rPr>
            </w:pPr>
          </w:p>
        </w:tc>
      </w:tr>
      <w:tr>
        <w:trPr>
          <w:trHeight w:val="250"/>
        </w:trPr>
        <w:tc>
          <w:tcPr>
            <w:tcW w:w="4140" w:type="dxa"/>
            <w:vAlign w:val="bottom"/>
          </w:tcPr>
          <w:p>
            <w:pPr>
              <w:ind w:left="20"/>
              <w:spacing w:after="0"/>
              <w:rPr>
                <w:sz w:val="20"/>
                <w:szCs w:val="20"/>
                <w:color w:val="auto"/>
              </w:rPr>
            </w:pPr>
            <w:r>
              <w:rPr>
                <w:rFonts w:ascii="Arial" w:cs="Arial" w:eastAsia="Arial" w:hAnsi="Arial"/>
                <w:sz w:val="18"/>
                <w:szCs w:val="18"/>
                <w:color w:val="auto"/>
              </w:rPr>
              <w:t>Government Services</w:t>
            </w:r>
          </w:p>
        </w:tc>
        <w:tc>
          <w:tcPr>
            <w:tcW w:w="2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11,381</w:t>
            </w:r>
          </w:p>
        </w:tc>
        <w:tc>
          <w:tcPr>
            <w:tcW w:w="200" w:type="dxa"/>
            <w:vAlign w:val="bottom"/>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1"/>
                <w:szCs w:val="21"/>
                <w:color w:val="auto"/>
              </w:rPr>
            </w:pPr>
          </w:p>
        </w:tc>
      </w:tr>
      <w:tr>
        <w:trPr>
          <w:trHeight w:val="270"/>
        </w:trPr>
        <w:tc>
          <w:tcPr>
            <w:tcW w:w="4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195,385</w:t>
            </w:r>
          </w:p>
        </w:tc>
        <w:tc>
          <w:tcPr>
            <w:tcW w:w="240" w:type="dxa"/>
            <w:vAlign w:val="bottom"/>
            <w:shd w:val="clear" w:color="auto" w:fill="CFF0FC"/>
          </w:tcPr>
          <w:p>
            <w:pPr>
              <w:spacing w:after="0"/>
              <w:rPr>
                <w:sz w:val="23"/>
                <w:szCs w:val="23"/>
                <w:color w:val="auto"/>
              </w:rPr>
            </w:pPr>
          </w:p>
        </w:tc>
        <w:tc>
          <w:tcPr>
            <w:tcW w:w="18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100.0 %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274,692</w:t>
            </w:r>
          </w:p>
        </w:tc>
        <w:tc>
          <w:tcPr>
            <w:tcW w:w="18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100.0 %</w:t>
            </w:r>
          </w:p>
        </w:tc>
      </w:tr>
      <w:tr>
        <w:trPr>
          <w:trHeight w:val="20"/>
        </w:trPr>
        <w:tc>
          <w:tcPr>
            <w:tcW w:w="4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-24765</wp:posOffset>
            </wp:positionV>
            <wp:extent cx="14605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-7620</wp:posOffset>
            </wp:positionV>
            <wp:extent cx="14605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-24765</wp:posOffset>
            </wp:positionV>
            <wp:extent cx="24003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24003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-24765</wp:posOffset>
            </wp:positionV>
            <wp:extent cx="12890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28905"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-24765</wp:posOffset>
            </wp:positionV>
            <wp:extent cx="15430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4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All investments made by the Company as of September 30, 2021 and December 31, 2020 were made in portfolio companies located in the U.S. The geographic composition is determined by the location of the corporate headquarters of the portfolio company, which may not be indicative of the primary source of the portfolio company’s business.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Capitala Senior Loan Fund II, LLC</w:t>
      </w:r>
    </w:p>
    <w:p>
      <w:pPr>
        <w:spacing w:after="0" w:line="252"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December 20, 2018, the Company and Trinity Universal Insurance Company (“Trinity”), a subsidiary of Kemper Corporation, entered into a limited liability company agreement (the “LLC Agreement”) to co-manage CSLF II. The purpose and design of the joint venture was to invest primarily in senior secured first-out loans. The Company and Trinity committed to provide $25.0 million of equity to CSLF II, with the Company providing $20.0 million and Trinity providing $5.0 million. The Company and Trinity each appointed two members to CSLF II’s four-person board of directors and investment committee. All material decisions with respect to CSLF II, including those involving its investment portfolio, required approval of a member on the board of directors and investment committee of at least one member representing the Company and Trinity, respectively.</w:t>
      </w:r>
    </w:p>
    <w:p>
      <w:pPr>
        <w:spacing w:after="0" w:line="189"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In May 2020, the Company and Trinity elected to wind-down operations of CSLF II. On June 1, 2020, CSLF II sold its existing assets with the Company and Trinity each purchasing approximately 50% of CSLF II’s debt investments at their par value. On June 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3" w:name="page54"/>
    <w:bookmarkEnd w:id="53"/>
    <w:p>
      <w:pPr>
        <w:jc w:val="both"/>
        <w:ind w:right="20"/>
        <w:spacing w:after="0" w:line="279" w:lineRule="auto"/>
        <w:rPr>
          <w:sz w:val="20"/>
          <w:szCs w:val="20"/>
          <w:color w:val="auto"/>
        </w:rPr>
      </w:pPr>
      <w:r>
        <w:rPr>
          <w:rFonts w:ascii="Arial" w:cs="Arial" w:eastAsia="Arial" w:hAnsi="Arial"/>
          <w:sz w:val="18"/>
          <w:szCs w:val="18"/>
          <w:color w:val="auto"/>
        </w:rPr>
        <w:t>2020, CSLF II declared final distributions and returned all remaining capital of $13.1 million and $3.3 million to the Company and Trinity, respectively. The Company’s equity investment in CSLF II was not redeemable. On June 12, 2020, the capital commitments for the Company and Trinity were terminated.</w:t>
      </w:r>
    </w:p>
    <w:p>
      <w:pPr>
        <w:spacing w:after="0" w:line="19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On September 3, 2019, CSLF II entered into a senior secured revolving credit facility (the “CSLF II Credit Facility”) with KeyBank Specialty Finance Lending, an affiliate of KeyCorp. The CSLF II Credit Facility provided for borrowings up to $60.0 million, subject to certain borrowing base restrictions. Borrowings under the CSLF II Credit Facility bore interest at a rate of one-month LIBOR + 2.25%. Prior to the termination of the CSLF II Credit Facility, CSLF II incurred unused fees of 0.35% when utilization of the CSLF II Credit Facility exceeded 50% and 0.65% when utilization of the CSLF II Credit Facility was less than 50%. On June 5, 2020, CSLF II terminated the CSLF II Credit Facility and repaid all amounts outstanding. For the three and nine months ended September 30, 2020, CSLF II incurred interest and financing expenses of $0.0 million and $1.1 million, respectively.</w:t>
      </w:r>
    </w:p>
    <w:p>
      <w:pPr>
        <w:spacing w:after="0" w:line="189" w:lineRule="exact"/>
        <w:rPr>
          <w:sz w:val="20"/>
          <w:szCs w:val="20"/>
          <w:color w:val="auto"/>
        </w:rPr>
      </w:pPr>
    </w:p>
    <w:p>
      <w:pPr>
        <w:jc w:val="both"/>
        <w:ind w:right="20" w:firstLine="749"/>
        <w:spacing w:after="0" w:line="275" w:lineRule="auto"/>
        <w:rPr>
          <w:sz w:val="20"/>
          <w:szCs w:val="20"/>
          <w:color w:val="auto"/>
        </w:rPr>
      </w:pPr>
      <w:r>
        <w:rPr>
          <w:rFonts w:ascii="Arial" w:cs="Arial" w:eastAsia="Arial" w:hAnsi="Arial"/>
          <w:sz w:val="18"/>
          <w:szCs w:val="18"/>
          <w:color w:val="auto"/>
        </w:rPr>
        <w:t>On September 3, 2019, the Company and Trinity committed to provide $25.0 million of subordinated debt (the “Subordinated Notes”) to CSLF II, with the Company providing $5.0 million and Trinity providing $20.0 million. The Subordinated Notes were scheduled to mature on September 3, 2024, however, the Subordinated Notes were terminated on June 12, 2020. For the nine months ended September 30, 2020, CSLF II did not incur any interest and financing expenses related to the Subordinated Notes.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760"/>
              <w:spacing w:after="0"/>
              <w:rPr>
                <w:sz w:val="20"/>
                <w:szCs w:val="20"/>
                <w:color w:val="auto"/>
              </w:rPr>
            </w:pPr>
            <w:r>
              <w:rPr>
                <w:rFonts w:ascii="Arial" w:cs="Arial" w:eastAsia="Arial" w:hAnsi="Arial"/>
                <w:sz w:val="18"/>
                <w:szCs w:val="18"/>
                <w:color w:val="auto"/>
              </w:rPr>
              <w:t>Below are the unaudited statements of operations for CSLF II (dollars in thousands):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9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For the Nine</w:t>
            </w:r>
          </w:p>
        </w:tc>
      </w:tr>
      <w:tr>
        <w:trPr>
          <w:trHeight w:val="234"/>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 ended</w:t>
            </w:r>
          </w:p>
        </w:tc>
      </w:tr>
      <w:tr>
        <w:trPr>
          <w:trHeight w:val="230"/>
        </w:trPr>
        <w:tc>
          <w:tcPr>
            <w:tcW w:w="9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r>
      <w:tr>
        <w:trPr>
          <w:trHeight w:val="270"/>
        </w:trPr>
        <w:tc>
          <w:tcPr>
            <w:tcW w:w="95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90"/>
              <w:spacing w:after="0" w:line="270" w:lineRule="exact"/>
              <w:rPr>
                <w:sz w:val="20"/>
                <w:szCs w:val="20"/>
                <w:color w:val="auto"/>
              </w:rPr>
            </w:pPr>
            <w:r>
              <w:rPr>
                <w:rFonts w:ascii="Arial" w:cs="Arial" w:eastAsia="Arial" w:hAnsi="Arial"/>
                <w:sz w:val="18"/>
                <w:szCs w:val="18"/>
                <w:b w:val="1"/>
                <w:bCs w:val="1"/>
                <w:color w:val="auto"/>
                <w:w w:val="83"/>
              </w:rPr>
              <w:t>2020</w:t>
            </w:r>
            <w:r>
              <w:rPr>
                <w:rFonts w:ascii="Arial" w:cs="Arial" w:eastAsia="Arial" w:hAnsi="Arial"/>
                <w:sz w:val="24"/>
                <w:szCs w:val="24"/>
                <w:b w:val="1"/>
                <w:bCs w:val="1"/>
                <w:color w:val="auto"/>
                <w:w w:val="83"/>
                <w:vertAlign w:val="superscript"/>
              </w:rPr>
              <w:t>(1)</w:t>
            </w:r>
          </w:p>
        </w:tc>
        <w:tc>
          <w:tcPr>
            <w:tcW w:w="100" w:type="dxa"/>
            <w:vAlign w:val="bottom"/>
          </w:tcPr>
          <w:p>
            <w:pPr>
              <w:spacing w:after="0"/>
              <w:rPr>
                <w:sz w:val="23"/>
                <w:szCs w:val="23"/>
                <w:color w:val="auto"/>
              </w:rPr>
            </w:pPr>
          </w:p>
        </w:tc>
      </w:tr>
      <w:tr>
        <w:trPr>
          <w:trHeight w:val="250"/>
        </w:trPr>
        <w:tc>
          <w:tcPr>
            <w:tcW w:w="9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r>
      <w:tr>
        <w:trPr>
          <w:trHeight w:val="257"/>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Fee income</w:t>
            </w:r>
          </w:p>
        </w:tc>
        <w:tc>
          <w:tcPr>
            <w:tcW w:w="18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1"/>
                <w:szCs w:val="21"/>
                <w:color w:val="auto"/>
              </w:rPr>
            </w:pPr>
          </w:p>
        </w:tc>
      </w:tr>
      <w:tr>
        <w:trPr>
          <w:trHeight w:val="256"/>
        </w:trPr>
        <w:tc>
          <w:tcPr>
            <w:tcW w:w="9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EXPENSES</w:t>
            </w:r>
          </w:p>
        </w:tc>
        <w:tc>
          <w:tcPr>
            <w:tcW w:w="180" w:type="dxa"/>
            <w:vAlign w:val="bottom"/>
            <w:shd w:val="clear" w:color="auto" w:fill="CFF0FC"/>
          </w:tcPr>
          <w:p>
            <w:pPr>
              <w:spacing w:after="0"/>
              <w:rPr>
                <w:sz w:val="22"/>
                <w:szCs w:val="22"/>
                <w:color w:val="auto"/>
              </w:rPr>
            </w:pPr>
          </w:p>
        </w:tc>
        <w:tc>
          <w:tcPr>
            <w:tcW w:w="14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Interest and financing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21"/>
                <w:szCs w:val="21"/>
                <w:color w:val="auto"/>
              </w:rPr>
            </w:pPr>
          </w:p>
        </w:tc>
      </w:tr>
      <w:tr>
        <w:trPr>
          <w:trHeight w:val="257"/>
        </w:trPr>
        <w:tc>
          <w:tcPr>
            <w:tcW w:w="9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956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w:t>
            </w:r>
          </w:p>
        </w:tc>
        <w:tc>
          <w:tcPr>
            <w:tcW w:w="100" w:type="dxa"/>
            <w:vAlign w:val="bottom"/>
          </w:tcPr>
          <w:p>
            <w:pPr>
              <w:spacing w:after="0"/>
              <w:rPr>
                <w:sz w:val="21"/>
                <w:szCs w:val="21"/>
                <w:color w:val="auto"/>
              </w:rPr>
            </w:pPr>
          </w:p>
        </w:tc>
      </w:tr>
      <w:tr>
        <w:trPr>
          <w:trHeight w:val="250"/>
        </w:trPr>
        <w:tc>
          <w:tcPr>
            <w:tcW w:w="9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INVESTMENT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(644 )</w:t>
            </w:r>
          </w:p>
        </w:tc>
      </w:tr>
      <w:tr>
        <w:trPr>
          <w:trHeight w:val="20"/>
        </w:trPr>
        <w:tc>
          <w:tcPr>
            <w:tcW w:w="95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43"/>
        </w:trPr>
        <w:tc>
          <w:tcPr>
            <w:tcW w:w="9560" w:type="dxa"/>
            <w:vAlign w:val="bottom"/>
          </w:tcPr>
          <w:p>
            <w:pPr>
              <w:ind w:left="20"/>
              <w:spacing w:after="0"/>
              <w:rPr>
                <w:sz w:val="20"/>
                <w:szCs w:val="20"/>
                <w:color w:val="auto"/>
              </w:rPr>
            </w:pPr>
            <w:r>
              <w:rPr>
                <w:rFonts w:ascii="Arial" w:cs="Arial" w:eastAsia="Arial" w:hAnsi="Arial"/>
                <w:sz w:val="18"/>
                <w:szCs w:val="18"/>
                <w:color w:val="auto"/>
              </w:rPr>
              <w:t>NET DECREASE IN NET ASSETS RESULTING FROM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7077075</wp:posOffset>
            </wp:positionH>
            <wp:positionV relativeFrom="paragraph">
              <wp:posOffset>-1170940</wp:posOffset>
            </wp:positionV>
            <wp:extent cx="59690" cy="571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-502285</wp:posOffset>
            </wp:positionV>
            <wp:extent cx="59690" cy="571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wp:posOffset>
            </wp:positionV>
            <wp:extent cx="59690" cy="571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1003300"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100330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3" w:lineRule="exact"/>
        <w:rPr>
          <w:sz w:val="20"/>
          <w:szCs w:val="20"/>
          <w:color w:val="auto"/>
        </w:rPr>
      </w:pPr>
    </w:p>
    <w:p>
      <w:pPr>
        <w:ind w:left="440" w:hanging="432"/>
        <w:spacing w:after="0" w:line="266" w:lineRule="auto"/>
        <w:tabs>
          <w:tab w:leader="none" w:pos="492"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June 12, 2020, CSLF II paid a final distribution and returned all capital to investors. Accordingly, a statement of operations is not presented for the three months ended September 30, 2020.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Operating results for the three and nine months ended September 30, 2021 and 2020 were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For the Three Months Ended</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For the Nine Months Ended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September 30,</w:t>
            </w:r>
          </w:p>
        </w:tc>
        <w:tc>
          <w:tcPr>
            <w:tcW w:w="180" w:type="dxa"/>
            <w:vAlign w:val="bottom"/>
          </w:tcPr>
          <w:p>
            <w:pPr>
              <w:spacing w:after="0"/>
              <w:rPr>
                <w:sz w:val="20"/>
                <w:szCs w:val="20"/>
                <w:color w:val="auto"/>
              </w:rPr>
            </w:pPr>
          </w:p>
        </w:tc>
        <w:tc>
          <w:tcPr>
            <w:tcW w:w="16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0"/>
                <w:szCs w:val="20"/>
                <w:color w:val="auto"/>
              </w:rPr>
            </w:pPr>
          </w:p>
        </w:tc>
        <w:tc>
          <w:tcPr>
            <w:tcW w:w="16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2"/>
              </w:rPr>
              <w:t>September 30,</w:t>
            </w:r>
          </w:p>
        </w:tc>
        <w:tc>
          <w:tcPr>
            <w:tcW w:w="18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4"/>
              </w:rPr>
              <w:t>September 30,</w:t>
            </w:r>
          </w:p>
        </w:tc>
        <w:tc>
          <w:tcPr>
            <w:tcW w:w="0" w:type="dxa"/>
            <w:vAlign w:val="bottom"/>
          </w:tcPr>
          <w:p>
            <w:pPr>
              <w:spacing w:after="0"/>
              <w:rPr>
                <w:sz w:val="1"/>
                <w:szCs w:val="1"/>
                <w:color w:val="auto"/>
              </w:rPr>
            </w:pPr>
          </w:p>
        </w:tc>
      </w:tr>
      <w:tr>
        <w:trPr>
          <w:trHeight w:val="241"/>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3,373</w:t>
            </w:r>
          </w:p>
        </w:tc>
        <w:tc>
          <w:tcPr>
            <w:tcW w:w="26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6,694</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13,342</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20,767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4,883</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15,601</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20,647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investment (loss) income</w:t>
            </w:r>
          </w:p>
        </w:tc>
        <w:tc>
          <w:tcPr>
            <w:tcW w:w="200" w:type="dxa"/>
            <w:vAlign w:val="bottom"/>
            <w:shd w:val="clear" w:color="auto" w:fill="CFF0FC"/>
          </w:tcPr>
          <w:p>
            <w:pPr>
              <w:spacing w:after="0"/>
              <w:rPr>
                <w:sz w:val="22"/>
                <w:szCs w:val="22"/>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(1,510 )</w:t>
            </w:r>
          </w:p>
        </w:tc>
        <w:tc>
          <w:tcPr>
            <w:tcW w:w="18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(2,259 )</w:t>
            </w:r>
          </w:p>
        </w:tc>
        <w:tc>
          <w:tcPr>
            <w:tcW w:w="18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Net realized gain (loss) on investments</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7,426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(12,344 )</w:t>
            </w:r>
          </w:p>
        </w:tc>
        <w:tc>
          <w:tcPr>
            <w:tcW w:w="2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(24,661 )</w:t>
            </w:r>
          </w:p>
        </w:tc>
        <w:tc>
          <w:tcPr>
            <w:tcW w:w="0" w:type="dxa"/>
            <w:vAlign w:val="bottom"/>
          </w:tcPr>
          <w:p>
            <w:pPr>
              <w:spacing w:after="0"/>
              <w:rPr>
                <w:sz w:val="1"/>
                <w:szCs w:val="1"/>
                <w:color w:val="auto"/>
              </w:rPr>
            </w:pPr>
          </w:p>
        </w:tc>
      </w:tr>
      <w:tr>
        <w:trPr>
          <w:trHeight w:val="249"/>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unrealized (depreciation) appreciation on</w:t>
            </w:r>
          </w:p>
        </w:tc>
        <w:tc>
          <w:tcPr>
            <w:tcW w:w="20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(9,402 )</w:t>
            </w:r>
          </w:p>
        </w:tc>
        <w:tc>
          <w:tcPr>
            <w:tcW w:w="18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14,802</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(11,599 )</w:t>
            </w:r>
          </w:p>
        </w:tc>
        <w:tc>
          <w:tcPr>
            <w:tcW w:w="0" w:type="dxa"/>
            <w:vAlign w:val="bottom"/>
          </w:tcPr>
          <w:p>
            <w:pPr>
              <w:spacing w:after="0"/>
              <w:rPr>
                <w:sz w:val="1"/>
                <w:szCs w:val="1"/>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w w:val="98"/>
              </w:rPr>
              <w:t>Net realized gain (loss) on extinguishment of debt</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(815 )</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Net (decrease) increase in net assets resulting from</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(3,486 )</w:t>
            </w: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20" w:type="dxa"/>
            <w:vAlign w:val="bottom"/>
            <w:shd w:val="clear" w:color="auto" w:fill="CFF0FC"/>
          </w:tcPr>
          <w:p>
            <w:pPr>
              <w:spacing w:after="0"/>
              <w:rPr>
                <w:sz w:val="21"/>
                <w:szCs w:val="21"/>
                <w:color w:val="auto"/>
              </w:rPr>
            </w:pPr>
          </w:p>
        </w:tc>
        <w:tc>
          <w:tcPr>
            <w:tcW w:w="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1,314</w:t>
            </w:r>
          </w:p>
        </w:tc>
        <w:tc>
          <w:tcPr>
            <w:tcW w:w="220" w:type="dxa"/>
            <w:vAlign w:val="bottom"/>
            <w:shd w:val="clear" w:color="auto" w:fill="CFF0FC"/>
          </w:tcPr>
          <w:p>
            <w:pPr>
              <w:spacing w:after="0"/>
              <w:rPr>
                <w:sz w:val="21"/>
                <w:szCs w:val="21"/>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(35,985 )</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20"/>
              <w:spacing w:after="0" w:line="203" w:lineRule="exact"/>
              <w:rPr>
                <w:sz w:val="20"/>
                <w:szCs w:val="20"/>
                <w:color w:val="auto"/>
              </w:rPr>
            </w:pPr>
            <w:r>
              <w:rPr>
                <w:rFonts w:ascii="Arial" w:cs="Arial" w:eastAsia="Arial" w:hAnsi="Arial"/>
                <w:sz w:val="18"/>
                <w:szCs w:val="18"/>
                <w:color w:val="auto"/>
              </w:rPr>
              <w:t>operations</w:t>
            </w:r>
          </w:p>
        </w:tc>
        <w:tc>
          <w:tcPr>
            <w:tcW w:w="200" w:type="dxa"/>
            <w:vAlign w:val="bottom"/>
            <w:vMerge w:val="continue"/>
            <w:shd w:val="clear" w:color="auto" w:fill="CFF0FC"/>
          </w:tcPr>
          <w:p>
            <w:pPr>
              <w:spacing w:after="0"/>
              <w:rPr>
                <w:sz w:val="19"/>
                <w:szCs w:val="19"/>
                <w:color w:val="auto"/>
              </w:rPr>
            </w:pPr>
          </w:p>
        </w:tc>
        <w:tc>
          <w:tcPr>
            <w:tcW w:w="1700" w:type="dxa"/>
            <w:vAlign w:val="bottom"/>
            <w:gridSpan w:val="2"/>
            <w:vMerge w:val="continue"/>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46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42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vMerge w:val="continue"/>
            <w:shd w:val="clear" w:color="auto" w:fill="CFF0FC"/>
          </w:tcPr>
          <w:p>
            <w:pPr>
              <w:spacing w:after="0"/>
              <w:rPr>
                <w:sz w:val="19"/>
                <w:szCs w:val="19"/>
                <w:color w:val="auto"/>
              </w:rPr>
            </w:pPr>
          </w:p>
        </w:tc>
        <w:tc>
          <w:tcPr>
            <w:tcW w:w="154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-24765</wp:posOffset>
            </wp:positionV>
            <wp:extent cx="1543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15430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145415"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14541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13716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13716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52"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The composition of our investment income for the three and nine months ended September 30, 2021 and 2020 was as follows (dollars in thousands):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41"/>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Nine Months Ended</w:t>
            </w:r>
          </w:p>
        </w:tc>
        <w:tc>
          <w:tcPr>
            <w:tcW w:w="80" w:type="dxa"/>
            <w:vAlign w:val="bottom"/>
          </w:tcPr>
          <w:p>
            <w:pPr>
              <w:spacing w:after="0"/>
              <w:rPr>
                <w:sz w:val="20"/>
                <w:szCs w:val="20"/>
                <w:color w:val="auto"/>
              </w:rPr>
            </w:pPr>
          </w:p>
        </w:tc>
      </w:tr>
      <w:tr>
        <w:trPr>
          <w:trHeight w:val="238"/>
        </w:trPr>
        <w:tc>
          <w:tcPr>
            <w:tcW w:w="3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20"/>
                <w:szCs w:val="20"/>
                <w:color w:val="auto"/>
              </w:rPr>
            </w:pPr>
          </w:p>
        </w:tc>
      </w:tr>
      <w:tr>
        <w:trPr>
          <w:trHeight w:val="241"/>
        </w:trPr>
        <w:tc>
          <w:tcPr>
            <w:tcW w:w="39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57"/>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w:t>
            </w: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11,737</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18,509</w:t>
            </w:r>
          </w:p>
        </w:tc>
        <w:tc>
          <w:tcPr>
            <w:tcW w:w="8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Fee income</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229</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639</w:t>
            </w:r>
          </w:p>
        </w:tc>
        <w:tc>
          <w:tcPr>
            <w:tcW w:w="80" w:type="dxa"/>
            <w:vAlign w:val="bottom"/>
          </w:tcPr>
          <w:p>
            <w:pPr>
              <w:spacing w:after="0"/>
              <w:rPr>
                <w:sz w:val="21"/>
                <w:szCs w:val="21"/>
                <w:color w:val="auto"/>
              </w:rPr>
            </w:pPr>
          </w:p>
        </w:tc>
      </w:tr>
      <w:tr>
        <w:trPr>
          <w:trHeight w:val="263"/>
        </w:trPr>
        <w:tc>
          <w:tcPr>
            <w:tcW w:w="3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Payment-in-kind interest and dividend income</w:t>
            </w:r>
          </w:p>
        </w:tc>
        <w:tc>
          <w:tcPr>
            <w:tcW w:w="20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1,544</w:t>
            </w:r>
          </w:p>
        </w:tc>
        <w:tc>
          <w:tcPr>
            <w:tcW w:w="80" w:type="dxa"/>
            <w:vAlign w:val="bottom"/>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Dividend income</w:t>
            </w: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1"/>
                <w:szCs w:val="21"/>
                <w:color w:val="auto"/>
              </w:rPr>
            </w:pPr>
          </w:p>
        </w:tc>
      </w:tr>
      <w:tr>
        <w:trPr>
          <w:trHeight w:val="257"/>
        </w:trPr>
        <w:tc>
          <w:tcPr>
            <w:tcW w:w="3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from cash and cash equivalents</w:t>
            </w:r>
          </w:p>
        </w:tc>
        <w:tc>
          <w:tcPr>
            <w:tcW w:w="20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3920" w:type="dxa"/>
            <w:vAlign w:val="bottom"/>
          </w:tcPr>
          <w:p>
            <w:pPr>
              <w:ind w:left="20"/>
              <w:spacing w:after="0"/>
              <w:rPr>
                <w:sz w:val="20"/>
                <w:szCs w:val="20"/>
                <w:color w:val="auto"/>
              </w:rPr>
            </w:pPr>
            <w:r>
              <w:rPr>
                <w:rFonts w:ascii="Arial" w:cs="Arial" w:eastAsia="Arial" w:hAnsi="Arial"/>
                <w:sz w:val="18"/>
                <w:szCs w:val="18"/>
                <w:color w:val="auto"/>
              </w:rPr>
              <w:t>Total investment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3,373</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6,694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13,342</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20,767</w:t>
            </w:r>
          </w:p>
        </w:tc>
        <w:tc>
          <w:tcPr>
            <w:tcW w:w="80" w:type="dxa"/>
            <w:vAlign w:val="bottom"/>
          </w:tcPr>
          <w:p>
            <w:pPr>
              <w:spacing w:after="0"/>
              <w:rPr>
                <w:sz w:val="21"/>
                <w:szCs w:val="21"/>
                <w:color w:val="auto"/>
              </w:rPr>
            </w:pPr>
          </w:p>
        </w:tc>
      </w:tr>
      <w:tr>
        <w:trPr>
          <w:trHeight w:val="20"/>
        </w:trPr>
        <w:tc>
          <w:tcPr>
            <w:tcW w:w="3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-193675</wp:posOffset>
            </wp:positionV>
            <wp:extent cx="146050" cy="571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-193675</wp:posOffset>
            </wp:positionV>
            <wp:extent cx="137160" cy="571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28905" cy="571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The income reported as interest income, PIK interest, and PIK dividend income is generally based on the stated rates as disclosed in our consolidated schedules of investments. Accretion of discounts received for purchased loans are included in interest income as an adjustment to yield. As a general rule, our interest income, PIK interest, and PIK dividend income are recurring in nature.</w:t>
      </w:r>
    </w:p>
    <w:p>
      <w:pPr>
        <w:spacing w:after="0" w:line="196" w:lineRule="exact"/>
        <w:rPr>
          <w:sz w:val="20"/>
          <w:szCs w:val="20"/>
          <w:color w:val="auto"/>
        </w:rPr>
      </w:pPr>
    </w:p>
    <w:p>
      <w:pPr>
        <w:jc w:val="both"/>
        <w:ind w:firstLine="749"/>
        <w:spacing w:after="0" w:line="329" w:lineRule="auto"/>
        <w:rPr>
          <w:sz w:val="20"/>
          <w:szCs w:val="20"/>
          <w:color w:val="auto"/>
        </w:rPr>
      </w:pPr>
      <w:r>
        <w:rPr>
          <w:rFonts w:ascii="Arial" w:cs="Arial" w:eastAsia="Arial" w:hAnsi="Arial"/>
          <w:sz w:val="16"/>
          <w:szCs w:val="16"/>
          <w:color w:val="auto"/>
        </w:rPr>
        <w:t>We also generate fee income primarily through origination fees charged for new investments, and secondarily via amendment fees, consent fees, prepayment penalties, and other fees. While fee income is typically non-recurring for each investment, most of our new investments include an origination fee; as such, fee income is dependent upon our volume of directly originated investments and the fee structure associated with those investments.</w:t>
      </w:r>
    </w:p>
    <w:p>
      <w:pPr>
        <w:spacing w:after="0" w:line="161"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We earn dividends on certain equity investments within our investment portfolio. As noted in our consolidated schedules of investments, some investments are scheduled to pay a periodic dividend, though these recurring dividends do not make up a significant portion of our total investment income. We may receive, and have received, more substantial one-time dividends from our equity investments.</w:t>
      </w:r>
    </w:p>
    <w:p>
      <w:pPr>
        <w:spacing w:after="0" w:line="178"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For the three months ended September 30, 2021, total investment income decreased by $3.3 million, or 49.6%, compared to the three months ended September 30, 2020. The decrease from the prior period was driven by a decrease in interest income from $6.0 million for the three months ended September 30, 2020 to $3.0 million for the three months ended September 30, 2021. The decline in interest income is primarily due to lower average outstanding debt investments for the three months ended September 30, 2021 compared to the three months ended September 30, 2020. PIK income declined from $0.5 million for the three months ended September 30, 2020 to $0.1 million for the three months ended September 30, 2021. The decrease in PIK income was due to a decline in investments with a contractual PIK rate. For the three months ended September 30, 2021, we generated $204 thousand in origination fees from new deployments and $25 thousand in other fees. Comparatively, for the three months ended September 30, 2020, we generated $0.0 million in origination fees from new deployments and $0.2 million in other fees. Dividend income increased from zero for the three months ended September 30, 2020 to $24 thousand for the three months ended September 30, 2021, primarily due to non-recurring dividends received from portfolio companies during the three months ended September 30, 2021.</w:t>
      </w:r>
    </w:p>
    <w:p>
      <w:pPr>
        <w:spacing w:after="0" w:line="23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For the nine months ended September 30, 2021, total investment income decreased by $7.4 million, or 35.8%, compared to the nine months ended September 30, 2020. The decrease from the prior period was driven by a decrease in interest income from $18.5 million for the nine months ended September 30, 2020 to $11.7 million for the nine months ended September 30, 2021. The decline in interest income is primarily due to lower average outstanding debt investments for the nine months ended September 30, 2021 compared to the nine months ended September 30, 2020. PIK income declined from $1.5 million for the nine months ended September 30, 2020 to $0.4 million for the nine months ended September 30, 2021. The decrease in PIK income was due to a decline in investments with a contractual PIK rate. For the nine months ended September 30, 2021, we generated $378 thousand in origination fees from new deployments and $92 thousand in other fees. Comparatively, for the nine months ended September 30, 2020, we generated $0.2 million in origination fees from new deployments and $0.4 million in other fees. Dividend income increased from $25 thousand for the nine months ended September 30, 2020 to $0.7 million for the nine months ended September 30, 2021, primarily due to non-recurring dividends received from portfolio companies during the nine months ended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composition of our expenses for the three and nine months ended September 30, 2021 and 2020 was as follows (dollars in thousands):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1"/>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b w:val="1"/>
                <w:bCs w:val="1"/>
                <w:color w:val="auto"/>
              </w:rPr>
              <w:t>For the Three Months Ended</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rPr>
              <w:t>For the Nine Months Ended</w:t>
            </w:r>
          </w:p>
        </w:tc>
        <w:tc>
          <w:tcPr>
            <w:tcW w:w="80" w:type="dxa"/>
            <w:vAlign w:val="bottom"/>
          </w:tcPr>
          <w:p>
            <w:pPr>
              <w:spacing w:after="0"/>
              <w:rPr>
                <w:sz w:val="20"/>
                <w:szCs w:val="20"/>
                <w:color w:val="auto"/>
              </w:rPr>
            </w:pPr>
          </w:p>
        </w:tc>
      </w:tr>
      <w:tr>
        <w:trPr>
          <w:trHeight w:val="238"/>
        </w:trPr>
        <w:tc>
          <w:tcPr>
            <w:tcW w:w="3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September 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September 30,</w:t>
            </w:r>
          </w:p>
        </w:tc>
        <w:tc>
          <w:tcPr>
            <w:tcW w:w="80" w:type="dxa"/>
            <w:vAlign w:val="bottom"/>
          </w:tcPr>
          <w:p>
            <w:pPr>
              <w:spacing w:after="0"/>
              <w:rPr>
                <w:sz w:val="20"/>
                <w:szCs w:val="20"/>
                <w:color w:val="auto"/>
              </w:rPr>
            </w:pPr>
          </w:p>
        </w:tc>
      </w:tr>
      <w:tr>
        <w:trPr>
          <w:trHeight w:val="241"/>
        </w:trPr>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57"/>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financing expenses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3,423</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8,061</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12,134</w:t>
            </w:r>
          </w:p>
        </w:tc>
        <w:tc>
          <w:tcPr>
            <w:tcW w:w="80" w:type="dxa"/>
            <w:vAlign w:val="bottom"/>
            <w:shd w:val="clear" w:color="auto" w:fill="CFF0FC"/>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Base management fee</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1,565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3,781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21"/>
                <w:szCs w:val="21"/>
                <w:color w:val="auto"/>
              </w:rPr>
            </w:pPr>
          </w:p>
        </w:tc>
      </w:tr>
      <w:tr>
        <w:trPr>
          <w:trHeight w:val="263"/>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Administrative service fees</w:t>
            </w:r>
          </w:p>
        </w:tc>
        <w:tc>
          <w:tcPr>
            <w:tcW w:w="18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1,050</w:t>
            </w:r>
          </w:p>
        </w:tc>
        <w:tc>
          <w:tcPr>
            <w:tcW w:w="80" w:type="dxa"/>
            <w:vAlign w:val="bottom"/>
            <w:shd w:val="clear" w:color="auto" w:fill="CFF0FC"/>
          </w:tcPr>
          <w:p>
            <w:pPr>
              <w:spacing w:after="0"/>
              <w:rPr>
                <w:sz w:val="22"/>
                <w:szCs w:val="22"/>
                <w:color w:val="auto"/>
              </w:rPr>
            </w:pPr>
          </w:p>
        </w:tc>
      </w:tr>
      <w:tr>
        <w:trPr>
          <w:trHeight w:val="250"/>
        </w:trPr>
        <w:tc>
          <w:tcPr>
            <w:tcW w:w="394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w:t>
            </w:r>
          </w:p>
        </w:tc>
        <w:tc>
          <w:tcPr>
            <w:tcW w:w="80" w:type="dxa"/>
            <w:vAlign w:val="bottom"/>
          </w:tcPr>
          <w:p>
            <w:pPr>
              <w:spacing w:after="0"/>
              <w:rPr>
                <w:sz w:val="21"/>
                <w:szCs w:val="21"/>
                <w:color w:val="auto"/>
              </w:rPr>
            </w:pPr>
          </w:p>
        </w:tc>
      </w:tr>
      <w:tr>
        <w:trPr>
          <w:trHeight w:val="290"/>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4,883</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5,952</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20,647</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-25400</wp:posOffset>
            </wp:positionV>
            <wp:extent cx="14541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-7620</wp:posOffset>
            </wp:positionV>
            <wp:extent cx="14541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-25400</wp:posOffset>
            </wp:positionV>
            <wp:extent cx="12890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-7620</wp:posOffset>
            </wp:positionV>
            <wp:extent cx="12890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-25400</wp:posOffset>
            </wp:positionV>
            <wp:extent cx="5143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both"/>
        <w:ind w:firstLine="749"/>
        <w:spacing w:after="0" w:line="309" w:lineRule="auto"/>
        <w:rPr>
          <w:sz w:val="20"/>
          <w:szCs w:val="20"/>
          <w:color w:val="auto"/>
        </w:rPr>
      </w:pPr>
      <w:r>
        <w:rPr>
          <w:rFonts w:ascii="Arial" w:cs="Arial" w:eastAsia="Arial" w:hAnsi="Arial"/>
          <w:sz w:val="16"/>
          <w:szCs w:val="16"/>
          <w:color w:val="auto"/>
        </w:rPr>
        <w:t>For the three months ended September 30, 2021, operating expenses decreased by $1.1 million, or 18.0%, compared to the three months ended September 30, 2020. Interest and financing expenses decreased from $3.4 million for the three months ended September 30, 2020 to $2.3 million for the three months ended September 30, 2021 due primarily to lower average outstanding debt during the three months ended September 30, 2021 compared to the three months ended September 30, 2020. Base management fees declined from $1.6 million for the three months ended September 30, 2020 to $1.1 million for the three months ended September 30, 2021, due to lower average assets under management. General and administrative expenses increased from $0.6 million for the three months ended September 30, 2020 to $1.3 million for the three months ended September 30, 2021, primarily due to accelerated one-time prepaid finance cost during the nine months ended September 30, 2021 as well as higher professional fees.</w:t>
      </w:r>
    </w:p>
    <w:p>
      <w:pPr>
        <w:spacing w:after="0" w:line="178" w:lineRule="exact"/>
        <w:rPr>
          <w:sz w:val="20"/>
          <w:szCs w:val="20"/>
          <w:color w:val="auto"/>
        </w:rPr>
      </w:pPr>
    </w:p>
    <w:p>
      <w:pPr>
        <w:jc w:val="both"/>
        <w:ind w:firstLine="749"/>
        <w:spacing w:after="0" w:line="288" w:lineRule="auto"/>
        <w:rPr>
          <w:sz w:val="20"/>
          <w:szCs w:val="20"/>
          <w:color w:val="auto"/>
        </w:rPr>
      </w:pPr>
      <w:r>
        <w:rPr>
          <w:rFonts w:ascii="Arial" w:cs="Arial" w:eastAsia="Arial" w:hAnsi="Arial"/>
          <w:sz w:val="17"/>
          <w:szCs w:val="17"/>
          <w:color w:val="auto"/>
        </w:rPr>
        <w:t>For the nine months ended September 30, 2021, operating expenses decreased by $5.0 million, or 24.4%, compared to the nine months ended September 30, 2020. Interest and financing expenses decreased from $12.1 million for the nine months ended September 30, 2020 to $8.1 million for the nine months ended September 30, 2021 due primarily to lower average outstanding debt during the nine months ended September 30, 2021 compared to the nine months ended September 30, 2020. Base management fees declined from $5.0 million for the nine months ended September 30, 2020 to $3.8 million for the nine months ended September 30, 2021, due to lower average assets under management. General and administrative expenses increased from $2.5 million for the nine months ended September 30, 2020 to $2.8 million for the nine months ended September 30, 2021 primarily due to accelerated one-time prepaid finance cost during the nine months ended September 30,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sales of investments</w:t>
      </w:r>
    </w:p>
    <w:p>
      <w:pPr>
        <w:spacing w:after="0" w:line="25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During the three and nine months ended September 30, 2021, we recognized $7.4 million and $0.3 million of net realized gains on our portfolio investments, respectively. During the three and nine months ended September 30, 2020 we recognized $(12.3) million and $(24.7) million of net realized losses on our portfolio investments,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 (depreciation) on investments</w:t>
      </w:r>
    </w:p>
    <w:p>
      <w:pPr>
        <w:spacing w:after="0" w:line="252"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Net change in unrealized appreciation (depreciation) on investments reflects the net change in the fair value of our investment portfolio. For the three and nine months ended September 30, 2021, we had $(9.4) million and $4.0 million of net change in unrealized (depreciation) appreciation on investments, respectively. For the three and nine months ended September 30, 2020, we had net change in unrealized appreciation (depreciation) of $14.8 million and $(11.6) million,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extinguishment of debt</w:t>
      </w:r>
    </w:p>
    <w:p>
      <w:pPr>
        <w:spacing w:after="0" w:line="252" w:lineRule="exact"/>
        <w:rPr>
          <w:sz w:val="20"/>
          <w:szCs w:val="20"/>
          <w:color w:val="auto"/>
        </w:rPr>
      </w:pPr>
    </w:p>
    <w:p>
      <w:pPr>
        <w:jc w:val="both"/>
        <w:ind w:right="20" w:firstLine="749"/>
        <w:spacing w:after="0" w:line="324" w:lineRule="auto"/>
        <w:rPr>
          <w:sz w:val="20"/>
          <w:szCs w:val="20"/>
          <w:color w:val="auto"/>
        </w:rPr>
      </w:pPr>
      <w:r>
        <w:rPr>
          <w:rFonts w:ascii="Arial" w:cs="Arial" w:eastAsia="Arial" w:hAnsi="Arial"/>
          <w:sz w:val="17"/>
          <w:szCs w:val="17"/>
          <w:color w:val="auto"/>
        </w:rPr>
        <w:t>For the three and nine months ended September 30, 2021 we had a net realized loss on extinguishment of debt of zero and $(0.8) million, respectively. For the three and nine months ended September 30, 2020 we had a net realized gain on extinguishment of debt of $0.2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52"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For the three and nine months ended September 30, 2021, we recorded a net (decrease) increase in net assets resulting from operations of $(3.5) million and $1.3 million, respectively. Based on the weighted average shares of common stock outstanding for the three and nine months September 30, 2021, our per share net (decrease) increase in net assets resulting from operations was $(1.29) and $0.48, respectively.</w:t>
      </w:r>
    </w:p>
    <w:p>
      <w:pPr>
        <w:spacing w:after="0" w:line="178"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For the three and nine months ended September 30, 2020, we recorded a net increase (decrease) in net assets resulting from operations of $3.4 million and $(36.0) million, respectively. Based on the weighted average shares of common stock outstanding for the three and nine months ended September 30, 2020, our per share net increase (decrease) in net assets resulting from operations was $1.24 and $(13.29), respectively. Per data share has been adjusted for the three and nine months ended September 30, 2020 to reflect the one-for-six reverse stock split effected on August 21, 2020 on a retroactive basis.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56"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We use and intend to use existing cash primarily to originate investments in new and existing portfolio companies, pay distributions to our stockholders, and repay indebtedness.</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Since our IPO, we have raised approximately $136.0 million in net proceeds from equity offerings through September 30,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 Credit Facility</w:t>
      </w:r>
    </w:p>
    <w:p>
      <w:pPr>
        <w:spacing w:after="0" w:line="256"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On October 17, 2014, the Company entered into a senior secured revolving credit agreement (as amended, the “ING Credit Facility”) with ING Capital, LLC, as administrative agent, arranger, and bookrunner, and the lenders party thereto. The ING Credit Facility was set to mature on April 30, 2022; however, on June 19, 2020, the Company unilaterally terminated the ING Credit Facility.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KeyBank Credit Facility</w:t>
      </w:r>
    </w:p>
    <w:p>
      <w:pPr>
        <w:spacing w:after="0" w:line="25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231F20"/>
        </w:rPr>
        <w:t>On October 30, 2020, CBL, a direct, wholly owned, consolidated subsidiary of the Company, entered into the KeyBank Credit Facility with the Investment Advisor, as collateral manager, the lenders from time to time parties thereto (each a “Lender”), KeyBank National Association, as administrative agent, and U.S. Bank National Association, as custodian. Under the KeyBank Credit Facility, the Lenders have agreed to extend credit to CBL in an aggregate principal amount of up to $25.0 million as of October 30, 2020. CBL may, on any business day prior to October 28, 2022, request an increase in the aggregate principal amount from $25.0 million to $100.0 million in accordance with the terms and in the manner described in the KeyBank Credit Facility. The period during which the Lenders may make loans to CBL under the KeyBank Credit Facility commenced on October 30, 2020 and will continue through October 28, 2022, unless there is an earlier termination or event of default. The KeyBank Credit Facility matures on October 28, 2023, unless there is an earlier termination or event of default. Borrowings under the KeyBank Credit Facility bear interest at one- month LIBOR plus 3.5%. The KeyBank Credit Facility includes customary affirmative and negative covenants, including certain limitations on the incurrence of additional indebtedness and liens, as well as usual and customary events of default for revolving credit facilities of this nature. As of September 30, 2021, there were no outstanding draws on the KeyBank Credit Facility.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Notes</w:t>
      </w:r>
    </w:p>
    <w:p>
      <w:pPr>
        <w:spacing w:after="0" w:line="256"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6"/>
          <w:szCs w:val="16"/>
          <w:color w:val="auto"/>
        </w:rPr>
        <w:t>On May 16, 2017, we issued $70.0 million in aggregate principal amount of 6.0% fixed-rate notes due May 31, 2022 (the “2022 Notes”). On May 25, 2017, we issued an additional $5.0 million in aggregate principal amount of the 2022 Notes pursuant to a partial exercise of the underwriters’ overallotment option. The 2022 Notes will mature on May 31, 2022 and may be redeemed in whole or in part at any time or from time to time at our option on or after May 31, 2019 at a redemption price equal to 100% of the outstanding principal, plus accrued and unpaid interest. Interest on the 2022 Notes is payable quarterly. The 2022 Notes are listed on the NASDAQ Global Select Market under the trading symbol “CPTAL” with a par value of $25.00 per share. As of September 30, 2021, the Company had approximately $72.8 million in aggregate principal amount of 2022 Notes outstanding.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Convertible Notes</w:t>
      </w:r>
    </w:p>
    <w:p>
      <w:pPr>
        <w:spacing w:after="0" w:line="25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 xml:space="preserve">On May 26, 2017, we issued $50.0 million in aggregate principal amount of 5.75% fixed-rate convertible notes due May 31, 2022 (the “2022 Convertible Notes”). On June 26, 2017, we issued an additional $2.1 million in aggregate principal amount of the 2022 Convertible Notes pursuant to a partial exercise of the underwriters’ overallotment option. Interest on the 2022 Convertible Notes is payable quarterly. The 2022 Convertible Notes are listed on the NASDAQ Capital Market under the trading symbol “CPTAG” with a par value of $25.00 per share. </w:t>
      </w:r>
      <w:r>
        <w:rPr>
          <w:rFonts w:ascii="Arial" w:cs="Arial" w:eastAsia="Arial" w:hAnsi="Arial"/>
          <w:sz w:val="17"/>
          <w:szCs w:val="17"/>
          <w:color w:val="231F20"/>
        </w:rPr>
        <w:t>As of September 30, 2021, the Company</w:t>
      </w:r>
      <w:r>
        <w:rPr>
          <w:rFonts w:ascii="Arial" w:cs="Arial" w:eastAsia="Arial" w:hAnsi="Arial"/>
          <w:sz w:val="17"/>
          <w:szCs w:val="17"/>
          <w:color w:val="auto"/>
        </w:rPr>
        <w:t xml:space="preserve"> </w:t>
      </w:r>
      <w:r>
        <w:rPr>
          <w:rFonts w:ascii="Arial" w:cs="Arial" w:eastAsia="Arial" w:hAnsi="Arial"/>
          <w:sz w:val="17"/>
          <w:szCs w:val="17"/>
          <w:color w:val="231F20"/>
        </w:rPr>
        <w:t>had approximately $52.1 million in aggregate principal amount of 2022 Convertible Notes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Bond Repurchase Program</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On July 30, 2020, the Board approved a bond repurchase program which authorizes the Company to repurchase up to an aggregate of $10.0 million worth of the Company's outstanding 2022 Notes and/or 2022 Convertible Notes (the "Bond Repurchase Program"). The Bond Repurchase Program expired on July 30, 2021. During the three and nine months ended September 30, 2021, the Company did not purchase any of the 2022 Notes or the 2022 Convertible Notes.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Coverage Ratio</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57" w:name="page58"/>
    <w:bookmarkEnd w:id="57"/>
    <w:p>
      <w:pPr>
        <w:jc w:val="both"/>
        <w:ind w:firstLine="749"/>
        <w:spacing w:after="0" w:line="275" w:lineRule="auto"/>
        <w:rPr>
          <w:sz w:val="20"/>
          <w:szCs w:val="20"/>
          <w:color w:val="auto"/>
        </w:rPr>
      </w:pPr>
      <w:r>
        <w:rPr>
          <w:rFonts w:ascii="Arial" w:cs="Arial" w:eastAsia="Arial" w:hAnsi="Arial"/>
          <w:sz w:val="18"/>
          <w:szCs w:val="18"/>
          <w:color w:val="auto"/>
        </w:rPr>
        <w:t>We are only allowed to borrow money such that our asset coverage, as defined in the 1940 Act, equals at least 150% if certain requirements are met, after such borrowing, with certain limited exceptions. As of September 30, 2021, our asset coverage ratio was 188%. If our asset coverage ratio falls below 150% due a decline in the fair market of our portfolio, including as the result of the economic impact caused by the COVID-19 pandemic, we may be limited in our ability to raise additional debt.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of September 30, 2021, we had $37.4 million in cash and cash equivalents, and our net assets totaled $110.3 million.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We have entered into two contracts under which we have material future commitments: the Investment Advisory Agreement, pursuant to which the Investment Advisor serves as our investment adviser, and the Administration Agreement, pursuant to which our Administrator agrees to furnish us with certain administrative services necessary to conduct our day-to-day operations. Payments under the Investment Advisory Agreement in future periods will be equal to: (1) a percentage of the value of our gross assets; and (2) an incentive fee based on our performance. Payments under the Administration Agreement will occur on an ongoing basis as expenses are incurred on our behalf by our Administrator.</w:t>
      </w:r>
    </w:p>
    <w:p>
      <w:pPr>
        <w:spacing w:after="0" w:line="188" w:lineRule="exact"/>
        <w:rPr>
          <w:sz w:val="20"/>
          <w:szCs w:val="20"/>
          <w:color w:val="auto"/>
        </w:rPr>
      </w:pPr>
    </w:p>
    <w:p>
      <w:pPr>
        <w:jc w:val="both"/>
        <w:ind w:firstLine="749"/>
        <w:spacing w:after="0" w:line="319" w:lineRule="auto"/>
        <w:rPr>
          <w:sz w:val="20"/>
          <w:szCs w:val="20"/>
          <w:color w:val="auto"/>
        </w:rPr>
      </w:pPr>
      <w:r>
        <w:rPr>
          <w:rFonts w:ascii="Arial" w:cs="Arial" w:eastAsia="Arial" w:hAnsi="Arial"/>
          <w:sz w:val="16"/>
          <w:szCs w:val="16"/>
          <w:color w:val="auto"/>
        </w:rPr>
        <w:t>The Investment Advisory Agreement and the Administration Agreement are each terminable by either party without penalty upon 60 days’ written notice to the other. If either of these agreements is terminated, the costs we incur under new agreements may increase. In addition, we will likely incur significant time and expense in locating alternative parties to provide the services we expect to receive under both our Investment Advisory Agreement and our Administration Agreement. Any new investment advisory agreement would also be subject to approval by our stockholders.</w:t>
      </w:r>
    </w:p>
    <w:p>
      <w:pPr>
        <w:spacing w:after="0" w:line="1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 summary of our significant contractual payment obligations as of September 30, 2021 are as follows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11"/>
          </w:tcPr>
          <w:p>
            <w:pPr>
              <w:ind w:left="60"/>
              <w:spacing w:after="0"/>
              <w:rPr>
                <w:sz w:val="20"/>
                <w:szCs w:val="20"/>
                <w:color w:val="auto"/>
              </w:rPr>
            </w:pPr>
            <w:r>
              <w:rPr>
                <w:rFonts w:ascii="Arial" w:cs="Arial" w:eastAsia="Arial" w:hAnsi="Arial"/>
                <w:sz w:val="18"/>
                <w:szCs w:val="18"/>
                <w:b w:val="1"/>
                <w:bCs w:val="1"/>
                <w:color w:val="auto"/>
                <w:w w:val="97"/>
              </w:rPr>
              <w:t>Contractual Obligations Payments Due by Period</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82"/>
              </w:rPr>
              <w:t>Less</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7"/>
              </w:rPr>
              <w:t>More</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9"/>
        </w:trPr>
        <w:tc>
          <w:tcPr>
            <w:tcW w:w="5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Than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3"/>
          </w:tcPr>
          <w:p>
            <w:pPr>
              <w:ind w:left="140"/>
              <w:spacing w:after="0"/>
              <w:rPr>
                <w:sz w:val="20"/>
                <w:szCs w:val="20"/>
                <w:color w:val="auto"/>
              </w:rPr>
            </w:pPr>
            <w:r>
              <w:rPr>
                <w:rFonts w:ascii="Arial" w:cs="Arial" w:eastAsia="Arial" w:hAnsi="Arial"/>
                <w:sz w:val="18"/>
                <w:szCs w:val="18"/>
                <w:b w:val="1"/>
                <w:bCs w:val="1"/>
                <w:color w:val="auto"/>
              </w:rPr>
              <w:t>1 – 3</w:t>
            </w:r>
          </w:p>
        </w:tc>
        <w:tc>
          <w:tcPr>
            <w:tcW w:w="1200" w:type="dxa"/>
            <w:vAlign w:val="bottom"/>
            <w:gridSpan w:val="3"/>
          </w:tcPr>
          <w:p>
            <w:pPr>
              <w:ind w:left="140"/>
              <w:spacing w:after="0"/>
              <w:rPr>
                <w:sz w:val="20"/>
                <w:szCs w:val="20"/>
                <w:color w:val="auto"/>
              </w:rPr>
            </w:pPr>
            <w:r>
              <w:rPr>
                <w:rFonts w:ascii="Arial" w:cs="Arial" w:eastAsia="Arial" w:hAnsi="Arial"/>
                <w:sz w:val="18"/>
                <w:szCs w:val="18"/>
                <w:b w:val="1"/>
                <w:bCs w:val="1"/>
                <w:color w:val="auto"/>
              </w:rPr>
              <w:t>3 – 5</w:t>
            </w:r>
          </w:p>
        </w:tc>
        <w:tc>
          <w:tcPr>
            <w:tcW w:w="1280" w:type="dxa"/>
            <w:vAlign w:val="bottom"/>
            <w:gridSpan w:val="3"/>
          </w:tcPr>
          <w:p>
            <w:pPr>
              <w:jc w:val="center"/>
              <w:ind w:right="580"/>
              <w:spacing w:after="0"/>
              <w:rPr>
                <w:sz w:val="20"/>
                <w:szCs w:val="20"/>
                <w:color w:val="auto"/>
              </w:rPr>
            </w:pPr>
            <w:r>
              <w:rPr>
                <w:rFonts w:ascii="Arial" w:cs="Arial" w:eastAsia="Arial" w:hAnsi="Arial"/>
                <w:sz w:val="18"/>
                <w:szCs w:val="18"/>
                <w:b w:val="1"/>
                <w:bCs w:val="1"/>
                <w:color w:val="auto"/>
                <w:w w:val="97"/>
              </w:rPr>
              <w:t>Than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1"/>
        </w:trPr>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1 Year</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Years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5 Years</w:t>
            </w:r>
          </w:p>
        </w:tc>
        <w:tc>
          <w:tcPr>
            <w:tcW w:w="1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0"/>
                <w:szCs w:val="20"/>
                <w:color w:val="auto"/>
              </w:rPr>
            </w:pPr>
          </w:p>
        </w:tc>
      </w:tr>
      <w:tr>
        <w:trPr>
          <w:trHeight w:val="257"/>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 Notes</w:t>
            </w: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72,833</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3"/>
            <w:shd w:val="clear" w:color="auto" w:fill="CFF0FC"/>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72,833</w:t>
            </w:r>
          </w:p>
        </w:tc>
        <w:tc>
          <w:tcPr>
            <w:tcW w:w="80" w:type="dxa"/>
            <w:vAlign w:val="bottom"/>
            <w:shd w:val="clear" w:color="auto" w:fill="CFF0FC"/>
          </w:tcPr>
          <w:p>
            <w:pPr>
              <w:spacing w:after="0"/>
              <w:rPr>
                <w:sz w:val="22"/>
                <w:szCs w:val="22"/>
                <w:color w:val="auto"/>
              </w:rPr>
            </w:pP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2022 Convertible Notes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52,088</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w:t>
            </w:r>
          </w:p>
        </w:tc>
        <w:tc>
          <w:tcPr>
            <w:tcW w:w="120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52,088</w:t>
            </w:r>
          </w:p>
        </w:tc>
        <w:tc>
          <w:tcPr>
            <w:tcW w:w="80" w:type="dxa"/>
            <w:vAlign w:val="bottom"/>
          </w:tcPr>
          <w:p>
            <w:pPr>
              <w:spacing w:after="0"/>
              <w:rPr>
                <w:sz w:val="21"/>
                <w:szCs w:val="21"/>
                <w:color w:val="auto"/>
              </w:rPr>
            </w:pPr>
          </w:p>
        </w:tc>
      </w:tr>
      <w:tr>
        <w:trPr>
          <w:trHeight w:val="257"/>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KeyBank Credit Facility</w:t>
            </w:r>
          </w:p>
        </w:tc>
        <w:tc>
          <w:tcPr>
            <w:tcW w:w="200" w:type="dxa"/>
            <w:vAlign w:val="bottom"/>
            <w:tcBorders>
              <w:bottom w:val="single" w:sz="8" w:color="auto"/>
            </w:tcBorders>
            <w:shd w:val="clear" w:color="auto" w:fill="CFF0FC"/>
          </w:tcPr>
          <w:p>
            <w:pPr>
              <w:spacing w:after="0"/>
              <w:rPr>
                <w:sz w:val="22"/>
                <w:szCs w:val="22"/>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ind w:left="6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50"/>
        </w:trPr>
        <w:tc>
          <w:tcPr>
            <w:tcW w:w="5100" w:type="dxa"/>
            <w:vAlign w:val="bottom"/>
          </w:tcPr>
          <w:p>
            <w:pPr>
              <w:ind w:left="20"/>
              <w:spacing w:after="0"/>
              <w:rPr>
                <w:sz w:val="20"/>
                <w:szCs w:val="20"/>
                <w:color w:val="auto"/>
              </w:rPr>
            </w:pPr>
            <w:r>
              <w:rPr>
                <w:rFonts w:ascii="Arial" w:cs="Arial" w:eastAsia="Arial" w:hAnsi="Arial"/>
                <w:sz w:val="18"/>
                <w:szCs w:val="18"/>
                <w:color w:val="auto"/>
              </w:rPr>
              <w:t>Total Contractual Obligations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124,921</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660"/>
              <w:spacing w:after="0"/>
              <w:rPr>
                <w:sz w:val="20"/>
                <w:szCs w:val="20"/>
                <w:color w:val="auto"/>
              </w:rPr>
            </w:pPr>
            <w:r>
              <w:rPr>
                <w:rFonts w:ascii="Arial" w:cs="Arial" w:eastAsia="Arial" w:hAnsi="Arial"/>
                <w:sz w:val="18"/>
                <w:szCs w:val="18"/>
                <w:color w:val="auto"/>
              </w:rPr>
              <w:t>—   $</w:t>
            </w:r>
          </w:p>
        </w:tc>
        <w:tc>
          <w:tcPr>
            <w:tcW w:w="1200" w:type="dxa"/>
            <w:vAlign w:val="bottom"/>
            <w:gridSpan w:val="3"/>
          </w:tcPr>
          <w:p>
            <w:pPr>
              <w:ind w:left="640"/>
              <w:spacing w:after="0"/>
              <w:rPr>
                <w:sz w:val="20"/>
                <w:szCs w:val="20"/>
                <w:color w:val="auto"/>
              </w:rPr>
            </w:pPr>
            <w:r>
              <w:rPr>
                <w:rFonts w:ascii="Arial" w:cs="Arial" w:eastAsia="Arial" w:hAnsi="Arial"/>
                <w:sz w:val="18"/>
                <w:szCs w:val="18"/>
                <w:color w:val="auto"/>
              </w:rPr>
              <w:t>—   $</w:t>
            </w:r>
          </w:p>
        </w:tc>
        <w:tc>
          <w:tcPr>
            <w:tcW w:w="1280" w:type="dxa"/>
            <w:vAlign w:val="bottom"/>
            <w:gridSpan w:val="3"/>
          </w:tcPr>
          <w:p>
            <w:pPr>
              <w:ind w:left="680"/>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124,921</w:t>
            </w:r>
          </w:p>
        </w:tc>
        <w:tc>
          <w:tcPr>
            <w:tcW w:w="80" w:type="dxa"/>
            <w:vAlign w:val="bottom"/>
          </w:tcPr>
          <w:p>
            <w:pPr>
              <w:spacing w:after="0"/>
              <w:rPr>
                <w:sz w:val="21"/>
                <w:szCs w:val="21"/>
                <w:color w:val="auto"/>
              </w:rPr>
            </w:pPr>
          </w:p>
        </w:tc>
      </w:tr>
      <w:tr>
        <w:trPr>
          <w:trHeight w:val="20"/>
        </w:trPr>
        <w:tc>
          <w:tcPr>
            <w:tcW w:w="5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-193675</wp:posOffset>
            </wp:positionV>
            <wp:extent cx="137160" cy="571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-193675</wp:posOffset>
            </wp:positionV>
            <wp:extent cx="137160" cy="571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120015" cy="571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-193675</wp:posOffset>
            </wp:positionV>
            <wp:extent cx="12001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-193675</wp:posOffset>
            </wp:positionV>
            <wp:extent cx="5143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jc w:val="both"/>
        <w:ind w:firstLine="749"/>
        <w:spacing w:after="0" w:line="286" w:lineRule="auto"/>
        <w:rPr>
          <w:sz w:val="20"/>
          <w:szCs w:val="20"/>
          <w:color w:val="auto"/>
        </w:rPr>
      </w:pPr>
      <w:r>
        <w:rPr>
          <w:rFonts w:ascii="Arial" w:cs="Arial" w:eastAsia="Arial" w:hAnsi="Arial"/>
          <w:sz w:val="17"/>
          <w:szCs w:val="17"/>
          <w:color w:val="auto"/>
        </w:rPr>
        <w:t>In order to qualify as a RIC and to avoid corporate-level U.S. federal income tax on the income we timely distribute to our stockholders, we are required to distribute at least 90% of our net ordinary income and our net short-term capital gains in excess of net long-term capital losses, if any, to our stockholders on an annual basis. Additionally, we must distribute an amount at least equal to the sum of 98% of our net ordinary income (during the calendar year) plus 98.2% of our net capital gain income (during each 12-month period ending on October 31) plus any net ordinary income and capital gain net income that we recognized for preceding years, but were not distributed during such years, and on which we paid no U.S. federal income tax to avoid a U.S. federal excise tax. We made quarterly distributions to our stockholders for the first four full quarters subsequent to our IPO. To the extent we had income available, we made monthly distributions to our stockholders from October 30, 2014 until March 30, 2020. As announced on April 1, 2020, distributions, if any, will be made on a quarterly basis effective during the second quarter of 2020. Our stockholder distributions, if any, will be determined by our Board on a quarterly basis. Any distributions to our stockholders will be declared out of assets legally available for distribution. The Company’s Board determined not to declare a distribution for the first, second or third quarter of 2021 due to the impact of the COVID-19 pandemic on the Company’s expected net investment income.</w:t>
      </w:r>
    </w:p>
    <w:p>
      <w:pPr>
        <w:spacing w:after="0" w:line="19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We may not be able to achieve operating results that will allow us to make distributions at a specific level or to increase the amount of our distributions from time to time, and from time to time we may decrease the amount of our distributions. In addition, we may be limited in our ability to make distributions due to the asset coverage requirements applicable to us as a BDC under the 1940 Act. If we do not distribute a certain percentage of our income annually, we will suffer adverse tax consequences, including the possible loss of our qualification as a RIC. We cannot assure stockholders that they will receive any distributions.</w:t>
      </w:r>
    </w:p>
    <w:p>
      <w:pPr>
        <w:spacing w:after="0" w:line="20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To the extent our taxable earnings fall below the total amount of our distributions for that fiscal year, a portion of those distributions may be deemed a return of capital to our stockholders for U.S. federal income tax purposes. Thus, the source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jc w:val="both"/>
        <w:spacing w:after="0" w:line="279" w:lineRule="auto"/>
        <w:rPr>
          <w:sz w:val="20"/>
          <w:szCs w:val="20"/>
          <w:color w:val="auto"/>
        </w:rPr>
      </w:pPr>
      <w:r>
        <w:rPr>
          <w:rFonts w:ascii="Arial" w:cs="Arial" w:eastAsia="Arial" w:hAnsi="Arial"/>
          <w:sz w:val="18"/>
          <w:szCs w:val="18"/>
          <w:color w:val="auto"/>
        </w:rPr>
        <w:t>distribution to our stockholders may be the original capital invested by the stockholder rather than our income or gains. Stockholders should read any written disclosure accompanying any stockholder distribution carefully and should not assume that the source of any distribution is our ordinary income or capital gains.</w:t>
      </w:r>
    </w:p>
    <w:p>
      <w:pPr>
        <w:spacing w:after="0" w:line="237" w:lineRule="exact"/>
        <w:rPr>
          <w:sz w:val="20"/>
          <w:szCs w:val="20"/>
          <w:color w:val="auto"/>
        </w:rPr>
      </w:pPr>
    </w:p>
    <w:p>
      <w:pPr>
        <w:jc w:val="both"/>
        <w:ind w:firstLine="749"/>
        <w:spacing w:after="0" w:line="292" w:lineRule="auto"/>
        <w:rPr>
          <w:sz w:val="20"/>
          <w:szCs w:val="20"/>
          <w:color w:val="auto"/>
        </w:rPr>
      </w:pPr>
      <w:r>
        <w:rPr>
          <w:rFonts w:ascii="Arial" w:cs="Arial" w:eastAsia="Arial" w:hAnsi="Arial"/>
          <w:sz w:val="17"/>
          <w:szCs w:val="17"/>
          <w:color w:val="auto"/>
        </w:rPr>
        <w:t>We have adopted an “opt out” dividend reinvestment plan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in the same manner as cash distributions, stockholders participating in our DRIP will not receive any corresponding cash distributions with which to pay any such applicable taxes.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tables summarize our distributions declared from January 1, 2019 through September 30,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8"/>
                <w:szCs w:val="18"/>
                <w:color w:val="auto"/>
              </w:rPr>
            </w:pPr>
          </w:p>
        </w:tc>
      </w:tr>
      <w:tr>
        <w:trPr>
          <w:trHeight w:val="27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 Declared</w:t>
            </w:r>
          </w:p>
        </w:tc>
        <w:tc>
          <w:tcPr>
            <w:tcW w:w="180" w:type="dxa"/>
            <w:vAlign w:val="bottom"/>
          </w:tcPr>
          <w:p>
            <w:pPr>
              <w:spacing w:after="0"/>
              <w:rPr>
                <w:sz w:val="23"/>
                <w:szCs w:val="23"/>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6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90"/>
              <w:spacing w:after="0" w:line="270" w:lineRule="exact"/>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24"/>
                <w:szCs w:val="24"/>
                <w:b w:val="1"/>
                <w:bCs w:val="1"/>
                <w:color w:val="auto"/>
                <w:w w:val="86"/>
                <w:vertAlign w:val="superscript"/>
              </w:rPr>
              <w:t>(1)</w:t>
            </w:r>
          </w:p>
        </w:tc>
        <w:tc>
          <w:tcPr>
            <w:tcW w:w="80" w:type="dxa"/>
            <w:vAlign w:val="bottom"/>
          </w:tcPr>
          <w:p>
            <w:pPr>
              <w:spacing w:after="0"/>
              <w:rPr>
                <w:sz w:val="23"/>
                <w:szCs w:val="23"/>
                <w:color w:val="auto"/>
              </w:rPr>
            </w:pPr>
          </w:p>
        </w:tc>
      </w:tr>
      <w:tr>
        <w:trPr>
          <w:trHeight w:val="250"/>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2, 2020</w:t>
            </w:r>
          </w:p>
        </w:tc>
        <w:tc>
          <w:tcPr>
            <w:tcW w:w="180" w:type="dxa"/>
            <w:vAlign w:val="bottom"/>
            <w:shd w:val="clear" w:color="auto" w:fill="CFF0FC"/>
          </w:tcPr>
          <w:p>
            <w:pPr>
              <w:spacing w:after="0"/>
              <w:rPr>
                <w:sz w:val="21"/>
                <w:szCs w:val="21"/>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24, 2020</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30, 2020</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January 2, 2020</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February 20, 2020</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27, 2020</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January 2, 2020</w:t>
            </w:r>
          </w:p>
        </w:tc>
        <w:tc>
          <w:tcPr>
            <w:tcW w:w="180" w:type="dxa"/>
            <w:vAlign w:val="bottom"/>
            <w:tcBorders>
              <w:bottom w:val="single" w:sz="8" w:color="CFF0FC"/>
            </w:tcBorders>
            <w:shd w:val="clear" w:color="auto" w:fill="CFF0FC"/>
          </w:tcPr>
          <w:p>
            <w:pPr>
              <w:spacing w:after="0"/>
              <w:rPr>
                <w:sz w:val="22"/>
                <w:szCs w:val="22"/>
                <w:color w:val="auto"/>
              </w:rPr>
            </w:pPr>
          </w:p>
        </w:tc>
        <w:tc>
          <w:tcPr>
            <w:tcW w:w="220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1"/>
              </w:rPr>
              <w:t>March 23, 2020</w:t>
            </w:r>
          </w:p>
        </w:tc>
        <w:tc>
          <w:tcPr>
            <w:tcW w:w="160" w:type="dxa"/>
            <w:vAlign w:val="bottom"/>
            <w:tcBorders>
              <w:bottom w:val="single" w:sz="8" w:color="CFF0FC"/>
            </w:tcBorders>
            <w:shd w:val="clear" w:color="auto" w:fill="CFF0FC"/>
          </w:tcPr>
          <w:p>
            <w:pPr>
              <w:spacing w:after="0"/>
              <w:rPr>
                <w:sz w:val="22"/>
                <w:szCs w:val="22"/>
                <w:color w:val="auto"/>
              </w:rPr>
            </w:pPr>
          </w:p>
        </w:tc>
        <w:tc>
          <w:tcPr>
            <w:tcW w:w="21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2"/>
              </w:rPr>
              <w:t>March 30, 2020</w:t>
            </w:r>
          </w:p>
        </w:tc>
        <w:tc>
          <w:tcPr>
            <w:tcW w:w="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auto"/>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Total Distributions Declared and Distributed for 2020</w:t>
            </w:r>
          </w:p>
        </w:tc>
        <w:tc>
          <w:tcPr>
            <w:tcW w:w="1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36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4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24"/>
                <w:szCs w:val="24"/>
                <w:color w:val="auto"/>
              </w:rPr>
            </w:pPr>
          </w:p>
        </w:tc>
      </w:tr>
      <w:tr>
        <w:trPr>
          <w:trHeight w:val="270"/>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Date Declared</w:t>
            </w:r>
          </w:p>
        </w:tc>
        <w:tc>
          <w:tcPr>
            <w:tcW w:w="180" w:type="dxa"/>
            <w:vAlign w:val="bottom"/>
          </w:tcPr>
          <w:p>
            <w:pPr>
              <w:spacing w:after="0"/>
              <w:rPr>
                <w:sz w:val="23"/>
                <w:szCs w:val="23"/>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Record Date</w:t>
            </w:r>
          </w:p>
        </w:tc>
        <w:tc>
          <w:tcPr>
            <w:tcW w:w="160" w:type="dxa"/>
            <w:vAlign w:val="bottom"/>
          </w:tcPr>
          <w:p>
            <w:pPr>
              <w:spacing w:after="0"/>
              <w:rPr>
                <w:sz w:val="23"/>
                <w:szCs w:val="23"/>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Payment Date</w:t>
            </w:r>
          </w:p>
        </w:tc>
        <w:tc>
          <w:tcPr>
            <w:tcW w:w="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center"/>
              <w:ind w:right="90"/>
              <w:spacing w:after="0" w:line="270" w:lineRule="exact"/>
              <w:rPr>
                <w:sz w:val="20"/>
                <w:szCs w:val="20"/>
                <w:color w:val="auto"/>
              </w:rPr>
            </w:pPr>
            <w:r>
              <w:rPr>
                <w:rFonts w:ascii="Arial" w:cs="Arial" w:eastAsia="Arial" w:hAnsi="Arial"/>
                <w:sz w:val="18"/>
                <w:szCs w:val="18"/>
                <w:b w:val="1"/>
                <w:bCs w:val="1"/>
                <w:color w:val="auto"/>
                <w:w w:val="86"/>
              </w:rPr>
              <w:t>Per Share</w:t>
            </w:r>
            <w:r>
              <w:rPr>
                <w:rFonts w:ascii="Arial" w:cs="Arial" w:eastAsia="Arial" w:hAnsi="Arial"/>
                <w:sz w:val="24"/>
                <w:szCs w:val="24"/>
                <w:b w:val="1"/>
                <w:bCs w:val="1"/>
                <w:color w:val="auto"/>
                <w:w w:val="86"/>
                <w:vertAlign w:val="superscript"/>
              </w:rPr>
              <w:t>(1)</w:t>
            </w:r>
          </w:p>
        </w:tc>
        <w:tc>
          <w:tcPr>
            <w:tcW w:w="80" w:type="dxa"/>
            <w:vAlign w:val="bottom"/>
          </w:tcPr>
          <w:p>
            <w:pPr>
              <w:spacing w:after="0"/>
              <w:rPr>
                <w:sz w:val="23"/>
                <w:szCs w:val="23"/>
                <w:color w:val="auto"/>
              </w:rPr>
            </w:pPr>
          </w:p>
        </w:tc>
      </w:tr>
      <w:tr>
        <w:trPr>
          <w:trHeight w:val="250"/>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2, 2019</w:t>
            </w:r>
          </w:p>
        </w:tc>
        <w:tc>
          <w:tcPr>
            <w:tcW w:w="180" w:type="dxa"/>
            <w:vAlign w:val="bottom"/>
            <w:shd w:val="clear" w:color="auto" w:fill="CFF0FC"/>
          </w:tcPr>
          <w:p>
            <w:pPr>
              <w:spacing w:after="0"/>
              <w:rPr>
                <w:sz w:val="21"/>
                <w:szCs w:val="21"/>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January 24, 2019</w:t>
            </w:r>
          </w:p>
        </w:tc>
        <w:tc>
          <w:tcPr>
            <w:tcW w:w="160" w:type="dxa"/>
            <w:vAlign w:val="bottom"/>
            <w:shd w:val="clear" w:color="auto" w:fill="CFF0FC"/>
          </w:tcPr>
          <w:p>
            <w:pPr>
              <w:spacing w:after="0"/>
              <w:rPr>
                <w:sz w:val="21"/>
                <w:szCs w:val="21"/>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January 30, 2019</w:t>
            </w:r>
          </w:p>
        </w:tc>
        <w:tc>
          <w:tcPr>
            <w:tcW w:w="36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1"/>
                <w:szCs w:val="21"/>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January 2, 2019</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9"/>
              </w:rPr>
              <w:t>February 20, 2019</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February 27,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2, 2019</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21, 2019</w:t>
            </w:r>
          </w:p>
        </w:tc>
        <w:tc>
          <w:tcPr>
            <w:tcW w:w="160" w:type="dxa"/>
            <w:vAlign w:val="bottom"/>
            <w:shd w:val="clear" w:color="auto" w:fill="CFF0FC"/>
          </w:tcPr>
          <w:p>
            <w:pPr>
              <w:spacing w:after="0"/>
              <w:rPr>
                <w:sz w:val="22"/>
                <w:szCs w:val="22"/>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March 28, 2019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April 1, 2019</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5"/>
              </w:rPr>
              <w:t>April 22, 2019</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April 29,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April 1, 2019</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May 23, 2019</w:t>
            </w:r>
          </w:p>
        </w:tc>
        <w:tc>
          <w:tcPr>
            <w:tcW w:w="160" w:type="dxa"/>
            <w:vAlign w:val="bottom"/>
            <w:shd w:val="clear" w:color="auto" w:fill="CFF0FC"/>
          </w:tcPr>
          <w:p>
            <w:pPr>
              <w:spacing w:after="0"/>
              <w:rPr>
                <w:sz w:val="22"/>
                <w:szCs w:val="22"/>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May 30, 2019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April 1, 2019</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7"/>
              </w:rPr>
              <w:t>June 20, 2019</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7"/>
              </w:rPr>
              <w:t>June 27,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2019</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July 23, 2019</w:t>
            </w:r>
          </w:p>
        </w:tc>
        <w:tc>
          <w:tcPr>
            <w:tcW w:w="160" w:type="dxa"/>
            <w:vAlign w:val="bottom"/>
            <w:shd w:val="clear" w:color="auto" w:fill="CFF0FC"/>
          </w:tcPr>
          <w:p>
            <w:pPr>
              <w:spacing w:after="0"/>
              <w:rPr>
                <w:sz w:val="22"/>
                <w:szCs w:val="22"/>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July 30, 2019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July 1, 2019</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1"/>
              </w:rPr>
              <w:t>August 22, 2019</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August 29,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July 1, 2019</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20, 2019</w:t>
            </w:r>
          </w:p>
        </w:tc>
        <w:tc>
          <w:tcPr>
            <w:tcW w:w="160" w:type="dxa"/>
            <w:vAlign w:val="bottom"/>
            <w:shd w:val="clear" w:color="auto" w:fill="CFF0FC"/>
          </w:tcPr>
          <w:p>
            <w:pPr>
              <w:spacing w:after="0"/>
              <w:rPr>
                <w:sz w:val="22"/>
                <w:szCs w:val="22"/>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September 27, 2019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2"/>
                <w:szCs w:val="22"/>
                <w:color w:val="auto"/>
              </w:rPr>
            </w:pPr>
          </w:p>
        </w:tc>
      </w:tr>
      <w:tr>
        <w:trPr>
          <w:trHeight w:val="250"/>
        </w:trPr>
        <w:tc>
          <w:tcPr>
            <w:tcW w:w="4860" w:type="dxa"/>
            <w:vAlign w:val="bottom"/>
          </w:tcPr>
          <w:p>
            <w:pPr>
              <w:ind w:left="20"/>
              <w:spacing w:after="0"/>
              <w:rPr>
                <w:sz w:val="20"/>
                <w:szCs w:val="20"/>
                <w:color w:val="auto"/>
              </w:rPr>
            </w:pPr>
            <w:r>
              <w:rPr>
                <w:rFonts w:ascii="Arial" w:cs="Arial" w:eastAsia="Arial" w:hAnsi="Arial"/>
                <w:sz w:val="18"/>
                <w:szCs w:val="18"/>
                <w:color w:val="auto"/>
              </w:rPr>
              <w:t>October 1, 2019</w:t>
            </w:r>
          </w:p>
        </w:tc>
        <w:tc>
          <w:tcPr>
            <w:tcW w:w="180" w:type="dxa"/>
            <w:vAlign w:val="bottom"/>
          </w:tcPr>
          <w:p>
            <w:pPr>
              <w:spacing w:after="0"/>
              <w:rPr>
                <w:sz w:val="21"/>
                <w:szCs w:val="21"/>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90"/>
              </w:rPr>
              <w:t>October 22, 2019</w:t>
            </w:r>
          </w:p>
        </w:tc>
        <w:tc>
          <w:tcPr>
            <w:tcW w:w="160" w:type="dxa"/>
            <w:vAlign w:val="bottom"/>
          </w:tcPr>
          <w:p>
            <w:pPr>
              <w:spacing w:after="0"/>
              <w:rPr>
                <w:sz w:val="21"/>
                <w:szCs w:val="21"/>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October 29, 2019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1"/>
                <w:szCs w:val="21"/>
                <w:color w:val="auto"/>
              </w:rPr>
            </w:pPr>
          </w:p>
        </w:tc>
      </w:tr>
      <w:tr>
        <w:trPr>
          <w:trHeight w:val="263"/>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2019</w:t>
            </w:r>
          </w:p>
        </w:tc>
        <w:tc>
          <w:tcPr>
            <w:tcW w:w="180" w:type="dxa"/>
            <w:vAlign w:val="bottom"/>
            <w:shd w:val="clear" w:color="auto" w:fill="CFF0FC"/>
          </w:tcPr>
          <w:p>
            <w:pPr>
              <w:spacing w:after="0"/>
              <w:rPr>
                <w:sz w:val="22"/>
                <w:szCs w:val="22"/>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November 22, 2019</w:t>
            </w:r>
          </w:p>
        </w:tc>
        <w:tc>
          <w:tcPr>
            <w:tcW w:w="160" w:type="dxa"/>
            <w:vAlign w:val="bottom"/>
            <w:shd w:val="clear" w:color="auto" w:fill="CFF0FC"/>
          </w:tcPr>
          <w:p>
            <w:pPr>
              <w:spacing w:after="0"/>
              <w:rPr>
                <w:sz w:val="22"/>
                <w:szCs w:val="22"/>
                <w:color w:val="auto"/>
              </w:rPr>
            </w:pPr>
          </w:p>
        </w:tc>
        <w:tc>
          <w:tcPr>
            <w:tcW w:w="21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November 29, 2019</w:t>
            </w: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FF0FC"/>
          </w:tcPr>
          <w:p>
            <w:pPr>
              <w:spacing w:after="0"/>
              <w:rPr>
                <w:sz w:val="22"/>
                <w:szCs w:val="22"/>
                <w:color w:val="auto"/>
              </w:rPr>
            </w:pPr>
          </w:p>
        </w:tc>
      </w:tr>
      <w:tr>
        <w:trPr>
          <w:trHeight w:val="256"/>
        </w:trPr>
        <w:tc>
          <w:tcPr>
            <w:tcW w:w="4860" w:type="dxa"/>
            <w:vAlign w:val="bottom"/>
          </w:tcPr>
          <w:p>
            <w:pPr>
              <w:ind w:left="20"/>
              <w:spacing w:after="0"/>
              <w:rPr>
                <w:sz w:val="20"/>
                <w:szCs w:val="20"/>
                <w:color w:val="auto"/>
              </w:rPr>
            </w:pPr>
            <w:r>
              <w:rPr>
                <w:rFonts w:ascii="Arial" w:cs="Arial" w:eastAsia="Arial" w:hAnsi="Arial"/>
                <w:sz w:val="18"/>
                <w:szCs w:val="18"/>
                <w:color w:val="auto"/>
              </w:rPr>
              <w:t>October 1, 2019</w:t>
            </w:r>
          </w:p>
        </w:tc>
        <w:tc>
          <w:tcPr>
            <w:tcW w:w="18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Arial" w:cs="Arial" w:eastAsia="Arial" w:hAnsi="Arial"/>
                <w:sz w:val="18"/>
                <w:szCs w:val="18"/>
                <w:color w:val="auto"/>
                <w:w w:val="88"/>
              </w:rPr>
              <w:t>December 23, 2019</w:t>
            </w:r>
          </w:p>
        </w:tc>
        <w:tc>
          <w:tcPr>
            <w:tcW w:w="16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December 30, 2019</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22"/>
                <w:szCs w:val="22"/>
                <w:color w:val="auto"/>
              </w:rPr>
            </w:pPr>
          </w:p>
        </w:tc>
      </w:tr>
      <w:tr>
        <w:trPr>
          <w:trHeight w:val="284"/>
        </w:trPr>
        <w:tc>
          <w:tcPr>
            <w:tcW w:w="48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Distributions Declared and Distributed for 2019</w:t>
            </w:r>
          </w:p>
        </w:tc>
        <w:tc>
          <w:tcPr>
            <w:tcW w:w="180" w:type="dxa"/>
            <w:vAlign w:val="bottom"/>
            <w:tcBorders>
              <w:bottom w:val="single" w:sz="8" w:color="CFF0FC"/>
            </w:tcBorders>
            <w:shd w:val="clear" w:color="auto" w:fill="CFF0FC"/>
          </w:tcPr>
          <w:p>
            <w:pPr>
              <w:spacing w:after="0"/>
              <w:rPr>
                <w:sz w:val="24"/>
                <w:szCs w:val="24"/>
                <w:color w:val="auto"/>
              </w:rPr>
            </w:pPr>
          </w:p>
        </w:tc>
        <w:tc>
          <w:tcPr>
            <w:tcW w:w="22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216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gridSpan w:val="3"/>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7085965</wp:posOffset>
            </wp:positionH>
            <wp:positionV relativeFrom="paragraph">
              <wp:posOffset>-2807970</wp:posOffset>
            </wp:positionV>
            <wp:extent cx="51435" cy="571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9" w:lineRule="exact"/>
        <w:rPr>
          <w:sz w:val="20"/>
          <w:szCs w:val="20"/>
          <w:color w:val="auto"/>
        </w:rPr>
      </w:pPr>
    </w:p>
    <w:p>
      <w:pPr>
        <w:ind w:left="440" w:hanging="432"/>
        <w:spacing w:after="0" w:line="293" w:lineRule="auto"/>
        <w:tabs>
          <w:tab w:leader="none" w:pos="4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per share has been adjusted for the periods shown to reflect the one-for-six reverse stock split effected on August 21, 2020 on a retroactive basis, as described in Note 1 to our consolidated financial statements included in this Quarterly Report on Form 10-Q.</w:t>
      </w:r>
    </w:p>
    <w:p>
      <w:pPr>
        <w:spacing w:after="0" w:line="18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Tax characteristics of all distributions paid are reported to stockholders on Form 1099 after the end of the calendar year. For the year ended December 31, 2020, total distributions of $4.1 million were comprised of approximately $0.7 million from ordinary income and $3.4 million from return of capital. For the year ended December 31, 2019, total distributions of $16.1 million were comprised of approximately $13.4 million from ordinary income and $2.7 million from return of capital. Distributions may be subject to reclassification based on future dividends and operating results and will not be determined until the end of the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1, 2021, we entered into the New Advisory Agreement with the Investment Advisor.</w:t>
      </w:r>
    </w:p>
    <w:p>
      <w:pPr>
        <w:spacing w:after="0" w:line="252" w:lineRule="exact"/>
        <w:rPr>
          <w:sz w:val="20"/>
          <w:szCs w:val="20"/>
          <w:color w:val="auto"/>
        </w:rPr>
      </w:pPr>
    </w:p>
    <w:p>
      <w:pPr>
        <w:jc w:val="both"/>
        <w:ind w:firstLine="749"/>
        <w:spacing w:after="0" w:line="296" w:lineRule="auto"/>
        <w:rPr>
          <w:sz w:val="20"/>
          <w:szCs w:val="20"/>
          <w:color w:val="auto"/>
        </w:rPr>
      </w:pPr>
      <w:r>
        <w:rPr>
          <w:rFonts w:ascii="Arial" w:cs="Arial" w:eastAsia="Arial" w:hAnsi="Arial"/>
          <w:sz w:val="17"/>
          <w:szCs w:val="17"/>
          <w:color w:val="auto"/>
        </w:rPr>
        <w:t>On October 23, 2018, the SEC issued an order granting an application for exemptive relief to an affiliate of the Investment Advisor that allows BDCs managed by the Investment Advisor, including the Company, to co-invest, subject to the satisfaction of certain conditions, in certain private placement transactions, with other funds managed by the Investment Advisor or its affiliates, including BCP Special Opportunities Fund I LP, BC Partners Lending Corporation and any future funds that are advised by the Investment Advisor or its affiliated investment advisers.</w:t>
      </w:r>
    </w:p>
    <w:p>
      <w:pPr>
        <w:spacing w:after="0" w:line="224" w:lineRule="exact"/>
        <w:rPr>
          <w:sz w:val="20"/>
          <w:szCs w:val="20"/>
          <w:color w:val="auto"/>
        </w:rPr>
      </w:pPr>
    </w:p>
    <w:p>
      <w:pPr>
        <w:jc w:val="both"/>
        <w:ind w:firstLine="749"/>
        <w:spacing w:after="0" w:line="293" w:lineRule="auto"/>
        <w:rPr>
          <w:sz w:val="20"/>
          <w:szCs w:val="20"/>
          <w:color w:val="auto"/>
        </w:rPr>
      </w:pPr>
      <w:r>
        <w:rPr>
          <w:rFonts w:ascii="Arial" w:cs="Arial" w:eastAsia="Arial" w:hAnsi="Arial"/>
          <w:sz w:val="18"/>
          <w:szCs w:val="18"/>
          <w:color w:val="auto"/>
        </w:rPr>
        <w:t>Pursuant to the Order, we are permitted to co-invest in such investment opportunities with our affiliates if a ‘‘required majority’’ (as defined in Section 57(o) of the 1940 Act) of our directors each of which is not considered an “interested person”, as such term 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9" w:name="page60"/>
    <w:bookmarkEnd w:id="59"/>
    <w:p>
      <w:pPr>
        <w:jc w:val="both"/>
        <w:spacing w:after="0" w:line="296" w:lineRule="auto"/>
        <w:rPr>
          <w:sz w:val="20"/>
          <w:szCs w:val="20"/>
          <w:color w:val="auto"/>
        </w:rPr>
      </w:pPr>
      <w:r>
        <w:rPr>
          <w:rFonts w:ascii="Arial" w:cs="Arial" w:eastAsia="Arial" w:hAnsi="Arial"/>
          <w:sz w:val="17"/>
          <w:szCs w:val="17"/>
          <w:color w:val="auto"/>
        </w:rPr>
        <w:t>defined under the 1940 Act (the “independent directors”) make certain conclusions in connection with a co-investment transaction, including, but not limited to, that (1) the terms of the potential co-investment transaction, including the consideration to be paid, are reasonable and fair to us and our stockholders and do not involve overreaching in respect of us or our stockholders on the part of any person concerned, and (2) the potential co-investment transaction is consistent with the interests of our stockholders and is consistent with our then-current investment objective and strategies.</w:t>
      </w:r>
    </w:p>
    <w:p>
      <w:pPr>
        <w:spacing w:after="0" w:line="183"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Prior to July 1, 2021, we were party to an administration agreement with our then administrator, Capitala Advisors Corp. As administrator, Capitala Advisors Corp. provided us with the office facilities and administrative services necessary to conduct our day-to-day operations. On July 1, 2021, we entered into a new Administration Agreement with our current Administrator, BC Partners Management LLC. Pursuant to the terms of the Administration Agreement, our Administrator provides us with the office facilities and administrative services necessary to conduct our day-to-day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749"/>
        <w:spacing w:after="0" w:line="303" w:lineRule="auto"/>
        <w:rPr>
          <w:sz w:val="20"/>
          <w:szCs w:val="20"/>
          <w:color w:val="auto"/>
        </w:rPr>
      </w:pPr>
      <w:r>
        <w:rPr>
          <w:rFonts w:ascii="Arial" w:cs="Arial" w:eastAsia="Arial" w:hAnsi="Arial"/>
          <w:sz w:val="17"/>
          <w:szCs w:val="17"/>
          <w:color w:val="auto"/>
        </w:rPr>
        <w:t>As of September 30, 2021 and December 31, 2020, the Company had outstanding unfunded commitments related to debt investments in existing portfolio companies of $9.0 million (Accordion Partners LLC), $3.5 million (J5 Infrastructure Partners, LLC), $2.5 million (Marble Point Credit Management LLC), $1.0 million (U.S. BioTek Laboratories, LLC), and $7.1 million (Wealth Enhancement Group, LLC).</w:t>
      </w:r>
    </w:p>
    <w:p>
      <w:pPr>
        <w:spacing w:after="0" w:line="178" w:lineRule="exact"/>
        <w:rPr>
          <w:sz w:val="20"/>
          <w:szCs w:val="20"/>
          <w:color w:val="auto"/>
        </w:rPr>
      </w:pPr>
    </w:p>
    <w:p>
      <w:pPr>
        <w:jc w:val="both"/>
        <w:ind w:right="20" w:firstLine="749"/>
        <w:spacing w:after="0" w:line="324" w:lineRule="auto"/>
        <w:rPr>
          <w:sz w:val="20"/>
          <w:szCs w:val="20"/>
          <w:color w:val="auto"/>
        </w:rPr>
      </w:pPr>
      <w:r>
        <w:rPr>
          <w:rFonts w:ascii="Arial" w:cs="Arial" w:eastAsia="Arial" w:hAnsi="Arial"/>
          <w:sz w:val="17"/>
          <w:szCs w:val="17"/>
          <w:color w:val="auto"/>
        </w:rPr>
        <w:t>We have no other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previously disclosed, on October 29, 2021, the Company issued $50,000,000 in aggregate principal amount of its 5.25% Notes due 2026 (the</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 2026 Notes”) pursuant to a supplemental indenture with U.S. Bank National Association (the “Trustee”), which supplements that certain base indenture, dated as of June 16, 2014. The 2026 Notes were issued in a private placement exempt from registration under the Section 4(a)(2) of the Securities Act of 1933, as amended (the “Securities Act”). The net proceeds to the Company were approximately $48.8 million, after deducting estimated offering expenses.</w:t>
      </w:r>
    </w:p>
    <w:p>
      <w:pPr>
        <w:spacing w:after="0" w:line="161" w:lineRule="exact"/>
        <w:rPr>
          <w:sz w:val="20"/>
          <w:szCs w:val="20"/>
          <w:color w:val="auto"/>
        </w:rPr>
      </w:pPr>
    </w:p>
    <w:p>
      <w:pPr>
        <w:ind w:right="20" w:firstLine="630"/>
        <w:spacing w:after="0" w:line="272" w:lineRule="auto"/>
        <w:rPr>
          <w:sz w:val="20"/>
          <w:szCs w:val="20"/>
          <w:color w:val="auto"/>
        </w:rPr>
      </w:pPr>
      <w:r>
        <w:rPr>
          <w:rFonts w:ascii="Arial" w:cs="Arial" w:eastAsia="Arial" w:hAnsi="Arial"/>
          <w:sz w:val="18"/>
          <w:szCs w:val="18"/>
          <w:color w:val="auto"/>
        </w:rPr>
        <w:t>In connection with the offering, the Company entered into a Registration Rights Agreement, dated as of October 29, 2021 (the “Registration Rights Agreement”), with the purchasers of the 2026 Notes. Pursuant to the Registration Rights Agreement, the Company is obligated to file with the Securities and Exchange Commission a registration statement relating to an offer to exchange the 2026 Notes for new notes issued by the Company that are registered under the Securities Act and otherwise have terms substantially identical to those of the 2026 Notes, and to use its commercially reasonable efforts to cause such registration statement to be declared effective.</w:t>
      </w:r>
    </w:p>
    <w:p>
      <w:pPr>
        <w:spacing w:after="0" w:line="204" w:lineRule="exact"/>
        <w:rPr>
          <w:sz w:val="20"/>
          <w:szCs w:val="20"/>
          <w:color w:val="auto"/>
        </w:rPr>
      </w:pPr>
    </w:p>
    <w:p>
      <w:pPr>
        <w:ind w:right="60" w:firstLine="630"/>
        <w:spacing w:after="0" w:line="296" w:lineRule="auto"/>
        <w:rPr>
          <w:sz w:val="20"/>
          <w:szCs w:val="20"/>
          <w:color w:val="auto"/>
        </w:rPr>
      </w:pPr>
      <w:r>
        <w:rPr>
          <w:rFonts w:ascii="Arial" w:cs="Arial" w:eastAsia="Arial" w:hAnsi="Arial"/>
          <w:sz w:val="17"/>
          <w:szCs w:val="17"/>
          <w:color w:val="auto"/>
        </w:rPr>
        <w:t>On November 1, 2021, the Company notified the Trustee for the Company’s 2022 Notes, of the Company’s election to redeem the $50,000,000 aggregate principal amount of the 2022 Notes outstanding, and instructed the Trustee to provide notice of such redemption to the holders of the 2022 Notes in accordance with the terms of the indenture governing the 2022 Notes. The Company expects the redemption to be completed on December 6, 2021. Following the redemption, $22,833,200 aggregate principal amount of the 2022 Notes will remain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We are subject to financial market risks, including changes in interest rates. Changes in interest rates may affect both our cost of funding and our interest income from portfolio investments and cash and cash equivalents. We may hedge against interest rate fluctuations by using standard hedging instruments such as futures, options, and forward contracts subject to the requirements of the 1940 Act. For the nine months ended September 30, 2021, we did not engage in hedging activities.</w:t>
      </w:r>
    </w:p>
    <w:p>
      <w:pPr>
        <w:spacing w:after="0" w:line="19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8"/>
          <w:szCs w:val="18"/>
          <w:color w:val="auto"/>
        </w:rPr>
        <w:t>As of September 30, 2021, we held 22 securities bearing a variable rate of interest. Our variable rate investments represent approximately 68.6% of the fair value of total debt investments. As of September 30, 2021, 100.0% of variable rate securities were yielding interest at a rate equal to the established interest rate floor. As of September 30, 2021, we had zero outstanding on our KeyBank Credit Facility, which has a variable rate of interest at one-month LIBOR + 3.5%. Our KeyBank Credit Facility is subject to an interest rate floor such that the minimum interest rate is 4.25%. As of September 30, 2021, all of our other interest paying liabilities, consisting of $72.8 million in 2022 Notes and $52.1 million in 2022 Convertible Notes, were bearing interest at a fixed rate.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jc w:val="both"/>
        <w:ind w:firstLine="749"/>
        <w:spacing w:after="0" w:line="287" w:lineRule="auto"/>
        <w:rPr>
          <w:sz w:val="20"/>
          <w:szCs w:val="20"/>
          <w:color w:val="auto"/>
        </w:rPr>
      </w:pPr>
      <w:r>
        <w:rPr>
          <w:rFonts w:ascii="Arial" w:cs="Arial" w:eastAsia="Arial" w:hAnsi="Arial"/>
          <w:sz w:val="17"/>
          <w:szCs w:val="17"/>
          <w:color w:val="auto"/>
        </w:rPr>
        <w:t>Interest rate sensitivity refers to the change in earnings that may result from changes in the level of interest rates. In addition, U.S. and global capital markets and credit markets have experienced a higher level of stress due to the global COVID-19 pandemic, which has resulted in an increase in the level of volatility across such markets and a general decline in value of the securities that we hold. Because we fund a portion of our investments with borrowings, our net investment income is affected by the difference between the rate at which we invest and the rate at which we borrow. As a result, there can be no assurance that a significant change in market interest rates will not have a material adverse effect on our net investment income. In connection with the COVID-19 pandemic, the U.S. Federal Reserve and other central banks have reduced certain interest rates and LIBOR has decreased.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23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Based on our September 30, 2021 consolidated statement of assets and liabilities, the following table shows the annual impact on net income (excluding the potential related incentive fee impact) of base rate changes in interest rates (considering interest rate floors for variable rate securities) assuming no changes in our investment and borrowing structure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Increase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(Increase)</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Increase</w:t>
            </w:r>
          </w:p>
        </w:tc>
        <w:tc>
          <w:tcPr>
            <w:tcW w:w="80" w:type="dxa"/>
            <w:vAlign w:val="bottom"/>
          </w:tcPr>
          <w:p>
            <w:pPr>
              <w:spacing w:after="0"/>
              <w:rPr>
                <w:sz w:val="19"/>
                <w:szCs w:val="19"/>
                <w:color w:val="auto"/>
              </w:rPr>
            </w:pPr>
          </w:p>
        </w:tc>
      </w:tr>
      <w:tr>
        <w:trPr>
          <w:trHeight w:val="229"/>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decrease in</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6"/>
              </w:rPr>
              <w:t>(decrease)</w:t>
            </w:r>
          </w:p>
        </w:tc>
        <w:tc>
          <w:tcPr>
            <w:tcW w:w="80" w:type="dxa"/>
            <w:vAlign w:val="bottom"/>
          </w:tcPr>
          <w:p>
            <w:pPr>
              <w:spacing w:after="0"/>
              <w:rPr>
                <w:sz w:val="19"/>
                <w:szCs w:val="19"/>
                <w:color w:val="auto"/>
              </w:rPr>
            </w:pPr>
          </w:p>
        </w:tc>
      </w:tr>
      <w:tr>
        <w:trPr>
          <w:trHeight w:val="230"/>
        </w:trPr>
        <w:tc>
          <w:tcPr>
            <w:tcW w:w="5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in interest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interest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in net</w:t>
            </w:r>
          </w:p>
        </w:tc>
        <w:tc>
          <w:tcPr>
            <w:tcW w:w="80" w:type="dxa"/>
            <w:vAlign w:val="bottom"/>
          </w:tcPr>
          <w:p>
            <w:pPr>
              <w:spacing w:after="0"/>
              <w:rPr>
                <w:sz w:val="19"/>
                <w:szCs w:val="19"/>
                <w:color w:val="auto"/>
              </w:rPr>
            </w:pPr>
          </w:p>
        </w:tc>
      </w:tr>
      <w:tr>
        <w:trPr>
          <w:trHeight w:val="241"/>
        </w:trPr>
        <w:tc>
          <w:tcPr>
            <w:tcW w:w="5780" w:type="dxa"/>
            <w:vAlign w:val="bottom"/>
            <w:tcBorders>
              <w:bottom w:val="single" w:sz="8" w:color="auto"/>
            </w:tcBorders>
          </w:tcPr>
          <w:p>
            <w:pPr>
              <w:ind w:left="2620"/>
              <w:spacing w:after="0"/>
              <w:rPr>
                <w:sz w:val="20"/>
                <w:szCs w:val="20"/>
                <w:color w:val="auto"/>
              </w:rPr>
            </w:pPr>
            <w:r>
              <w:rPr>
                <w:rFonts w:ascii="Arial" w:cs="Arial" w:eastAsia="Arial" w:hAnsi="Arial"/>
                <w:sz w:val="18"/>
                <w:szCs w:val="18"/>
                <w:b w:val="1"/>
                <w:bCs w:val="1"/>
                <w:color w:val="auto"/>
              </w:rPr>
              <w:t>Basis Point Change</w:t>
            </w:r>
          </w:p>
        </w:tc>
        <w:tc>
          <w:tcPr>
            <w:tcW w:w="1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income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3"/>
              </w:rPr>
              <w:t>expense</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5"/>
              </w:rPr>
              <w:t>income</w:t>
            </w:r>
          </w:p>
        </w:tc>
        <w:tc>
          <w:tcPr>
            <w:tcW w:w="80" w:type="dxa"/>
            <w:vAlign w:val="bottom"/>
          </w:tcPr>
          <w:p>
            <w:pPr>
              <w:spacing w:after="0"/>
              <w:rPr>
                <w:sz w:val="20"/>
                <w:szCs w:val="20"/>
                <w:color w:val="auto"/>
              </w:rPr>
            </w:pPr>
          </w:p>
        </w:tc>
      </w:tr>
      <w:tr>
        <w:trPr>
          <w:trHeight w:val="257"/>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 300 basis points</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Up 200 basis points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666</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666</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Up 100 basis points</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FF0FC"/>
          </w:tcPr>
          <w:p>
            <w:pPr>
              <w:spacing w:after="0"/>
              <w:rPr>
                <w:sz w:val="22"/>
                <w:szCs w:val="22"/>
                <w:color w:val="auto"/>
              </w:rPr>
            </w:pP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Down 100 basis points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Down 200 basis points</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2"/>
                <w:szCs w:val="22"/>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Down 300 basis points</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ind w:left="1020"/>
              <w:spacing w:after="0"/>
              <w:rPr>
                <w:sz w:val="20"/>
                <w:szCs w:val="20"/>
                <w:color w:val="auto"/>
              </w:rPr>
            </w:pPr>
            <w:r>
              <w:rPr>
                <w:rFonts w:ascii="Arial" w:cs="Arial" w:eastAsia="Arial" w:hAnsi="Arial"/>
                <w:sz w:val="18"/>
                <w:szCs w:val="18"/>
                <w:color w:val="auto"/>
                <w:w w:val="99"/>
              </w:rPr>
              <w:t>—</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r>
      <w:tr>
        <w:trPr>
          <w:trHeight w:val="473"/>
        </w:trPr>
        <w:tc>
          <w:tcPr>
            <w:tcW w:w="5780" w:type="dxa"/>
            <w:vAlign w:val="bottom"/>
          </w:tcPr>
          <w:p>
            <w:pPr>
              <w:spacing w:after="0"/>
              <w:rPr>
                <w:sz w:val="20"/>
                <w:szCs w:val="20"/>
                <w:color w:val="auto"/>
              </w:rPr>
            </w:pPr>
            <w:r>
              <w:rPr>
                <w:rFonts w:ascii="Arial" w:cs="Arial" w:eastAsia="Arial" w:hAnsi="Arial"/>
                <w:sz w:val="18"/>
                <w:szCs w:val="18"/>
                <w:b w:val="1"/>
                <w:bCs w:val="1"/>
                <w:color w:val="auto"/>
              </w:rPr>
              <w:t>Item 4. Controls and Procedures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9"/>
        </w:trPr>
        <w:tc>
          <w:tcPr>
            <w:tcW w:w="5780" w:type="dxa"/>
            <w:vAlign w:val="bottom"/>
          </w:tcPr>
          <w:p>
            <w:pPr>
              <w:ind w:left="7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29" w:lineRule="exact"/>
        <w:rPr>
          <w:sz w:val="20"/>
          <w:szCs w:val="20"/>
          <w:color w:val="auto"/>
        </w:rPr>
      </w:pPr>
    </w:p>
    <w:p>
      <w:pPr>
        <w:jc w:val="both"/>
        <w:ind w:firstLine="749"/>
        <w:spacing w:after="0" w:line="306" w:lineRule="auto"/>
        <w:rPr>
          <w:sz w:val="20"/>
          <w:szCs w:val="20"/>
          <w:color w:val="auto"/>
        </w:rPr>
      </w:pPr>
      <w:r>
        <w:rPr>
          <w:rFonts w:ascii="Arial" w:cs="Arial" w:eastAsia="Arial" w:hAnsi="Arial"/>
          <w:sz w:val="16"/>
          <w:szCs w:val="16"/>
          <w:color w:val="auto"/>
        </w:rPr>
        <w:t>As of September 30, 2021 (the end of the period covered by this report), we, including our Chief Executive Officer and Chief Financial Officer, evaluated the effectiveness of the design and operation of our disclosure controls and procedures (as defined in Rule 13a-15(e) of the Securities Exchange Act of 1934, as amended). Based on that evaluation, our management, including the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52" w:lineRule="exact"/>
        <w:rPr>
          <w:sz w:val="20"/>
          <w:szCs w:val="20"/>
          <w:color w:val="auto"/>
        </w:rPr>
      </w:pPr>
    </w:p>
    <w:p>
      <w:pPr>
        <w:jc w:val="both"/>
        <w:ind w:right="20" w:firstLine="749"/>
        <w:spacing w:after="0" w:line="293" w:lineRule="auto"/>
        <w:rPr>
          <w:sz w:val="20"/>
          <w:szCs w:val="20"/>
          <w:color w:val="auto"/>
        </w:rPr>
      </w:pPr>
      <w:r>
        <w:rPr>
          <w:rFonts w:ascii="Arial" w:cs="Arial" w:eastAsia="Arial" w:hAnsi="Arial"/>
          <w:sz w:val="18"/>
          <w:szCs w:val="18"/>
          <w:color w:val="auto"/>
        </w:rPr>
        <w:t>Management has not identified any change in the Company’s internal control over financial reporting that occurred during the third quarter of 2021 that has materially affected, or is reasonably likely to materially affect, the Company’s internal control over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8"/>
          <w:szCs w:val="18"/>
          <w:color w:val="auto"/>
        </w:rPr>
        <w:t>We and our subsidiaries are not currently subject to any material legal proceedings, nor, to our knowledge, is any material legal proceeding threatened against us or our subsidiaries. From time to time, we, or our subsidiaries may be a party to certain legal proceedings in the ordinary course of business, including proceedings relating to the enforcement of our rights under contracts with our portfolio companies. While the outcome of these legal proceedings, if any, cannot be predicted with certainty, we do not expect that these proceedings will have a material effect upon our financial condition or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jc w:val="both"/>
        <w:ind w:firstLine="749"/>
        <w:spacing w:after="0" w:line="290"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fiscal year ended December 31, 2020 (the “Annual Report on Form 10-K”), which could materially affect our business, financial condition and/or operating results. The risks described in the Annual Report on Form 10-K are not the only risks we face. Additional risks and uncertainties that are not currently known to us or that we currently deem to be immaterial also may materially adversely affect our business, financial condition and/or operating results. Other than the risk factors below, during the nine months ended September 30, 2021, there have been no material changes from the risk factors set forth in the Annual Report on Form 10-K.</w:t>
      </w:r>
    </w:p>
    <w:p>
      <w:pPr>
        <w:spacing w:after="0" w:line="185"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There may be conflicts of interest related to obligations that our new Investment Advisor’s senior management and investment team has to other clients.</w:t>
      </w:r>
    </w:p>
    <w:p>
      <w:pPr>
        <w:spacing w:after="0" w:line="180"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8"/>
          <w:szCs w:val="18"/>
          <w:color w:val="auto"/>
        </w:rPr>
        <w:t>We are now advised by Mount Logan Management LLC, our Investment Advisor. We rely, in part, on the Investment Advisor to assist with identifying and executing upon investment opportunities and on our Board to review and approve the terms of our participation in co-investment transactions with the Investment Advisor and its affiliates. The Investment Advisor and its affiliates are not restricted from forming additional investment funds, entering into other investment advisory relationships or engaging in other business activities. These activities could be viewed as creating a conflict of interest in that the time and effort of the members of the Investment Advisor, its affiliates and their officers and employees will not be devoted exclusively to our business, but will be allocated between us and such other business activities of the Investment Advisor and its affiliates in a manner that the Investment Advisor deems necessary and appropriate.</w:t>
      </w:r>
    </w:p>
    <w:p>
      <w:pPr>
        <w:spacing w:after="0" w:line="206" w:lineRule="exact"/>
        <w:rPr>
          <w:sz w:val="20"/>
          <w:szCs w:val="20"/>
          <w:color w:val="auto"/>
        </w:rPr>
      </w:pPr>
    </w:p>
    <w:p>
      <w:pPr>
        <w:jc w:val="both"/>
        <w:ind w:firstLine="749"/>
        <w:spacing w:after="0" w:line="290" w:lineRule="auto"/>
        <w:rPr>
          <w:sz w:val="20"/>
          <w:szCs w:val="20"/>
          <w:color w:val="auto"/>
        </w:rPr>
      </w:pPr>
      <w:r>
        <w:rPr>
          <w:rFonts w:ascii="Arial" w:cs="Arial" w:eastAsia="Arial" w:hAnsi="Arial"/>
          <w:sz w:val="17"/>
          <w:szCs w:val="17"/>
          <w:color w:val="auto"/>
        </w:rPr>
        <w:t>An affiliate of the Investment Advisor manages BC Partners Lending Corporation and Portman Ridge Finance Corporation, each of which is a BDC that invests primarily in debt and equity of privately-held middle-market companies, similar to our targets for investment. Therefore, there may be certain investment opportunities that satisfy the investment criteria for those BDCs and us. Each of BC Partners Lending Corporation and Portman Ridge Finance Corporation operates as a distinct and separate company and any investment in our common stock will not be an investment in either of those BDCs. In addition, certain of our executive officers serve in substantially similar capacities for BC Partners Lending Corporation and Portman Ridge Finance Corporation, and three of our independent directors serve as independent directors of those BDCs.</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color w:val="auto"/>
        </w:rPr>
        <w:t>The time and resources that individuals employed by the Investment Advisor devote to us may be diverted and we may face additional competition due to the fact that individuals employed by the Investment Advisor are not prohibited from raising money for or managing other entities that make the same types of investments that we target.</w:t>
      </w:r>
    </w:p>
    <w:p>
      <w:pPr>
        <w:spacing w:after="0" w:line="195" w:lineRule="exact"/>
        <w:rPr>
          <w:sz w:val="20"/>
          <w:szCs w:val="20"/>
          <w:color w:val="auto"/>
        </w:rPr>
      </w:pPr>
    </w:p>
    <w:p>
      <w:pPr>
        <w:jc w:val="both"/>
        <w:ind w:firstLine="749"/>
        <w:spacing w:after="0" w:line="287" w:lineRule="auto"/>
        <w:rPr>
          <w:sz w:val="20"/>
          <w:szCs w:val="20"/>
          <w:color w:val="auto"/>
        </w:rPr>
      </w:pPr>
      <w:r>
        <w:rPr>
          <w:rFonts w:ascii="Arial" w:cs="Arial" w:eastAsia="Arial" w:hAnsi="Arial"/>
          <w:sz w:val="17"/>
          <w:szCs w:val="17"/>
          <w:color w:val="auto"/>
        </w:rPr>
        <w:t>Neither the Investment Advisor nor individuals employed by the Investment Advisor are generally prohibited from raising capital for and managing other investment entities that make the same types of investments that we target. As a result, the time and resources that these individuals may devote to us may be diverted. In addition, we may compete with any such investment entity for the same investors and investment opportunities. On October 23, 2018, the SEC issued an order granting an application for exemptive relief to an affiliate of the Investment Advisor that allows BDCs managed by the Investment Advisor, including us, to co-invest, subject to the satisfaction of certain conditions, in certain private placement transactions, with other funds managed by the Investment Advisor or its affiliates, including BC Partners Lending Corporation, Portman Ridge Finance Corporation, BCP Special Opportunities Fund I LP and BCP Special Opportunities Fund II LP and any future funds that are advised by the Investment Advisor or its affiliated investment advisers. Affiliates of the Investment Advisor, whose primary business includes the origination of investments, engage in investment advisory business with accounts that compete with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85090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14"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540" w:type="dxa"/>
            <w:vAlign w:val="bottom"/>
            <w:gridSpan w:val="24"/>
          </w:tcPr>
          <w:p>
            <w:pPr>
              <w:ind w:left="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6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6"/>
              </w:rPr>
              <w:t>Number</w:t>
            </w:r>
          </w:p>
        </w:tc>
        <w:tc>
          <w:tcPr>
            <w:tcW w:w="2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1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121"/>
        </w:trPr>
        <w:tc>
          <w:tcPr>
            <w:tcW w:w="20" w:type="dxa"/>
            <w:vAlign w:val="bottom"/>
            <w:vMerge w:val="restart"/>
          </w:tcPr>
          <w:p>
            <w:pPr>
              <w:spacing w:after="0"/>
              <w:rPr>
                <w:sz w:val="10"/>
                <w:szCs w:val="10"/>
                <w:color w:val="auto"/>
              </w:rPr>
            </w:pPr>
          </w:p>
        </w:tc>
        <w:tc>
          <w:tcPr>
            <w:tcW w:w="220" w:type="dxa"/>
            <w:vAlign w:val="bottom"/>
            <w:vMerge w:val="restart"/>
          </w:tcPr>
          <w:p>
            <w:pPr>
              <w:spacing w:after="0" w:line="202" w:lineRule="exact"/>
              <w:rPr>
                <w:rFonts w:ascii="Arial" w:cs="Arial" w:eastAsia="Arial" w:hAnsi="Arial"/>
                <w:sz w:val="18"/>
                <w:szCs w:val="18"/>
                <w:color w:val="0000FF"/>
                <w:w w:val="79"/>
              </w:rPr>
            </w:pPr>
            <w:hyperlink r:id="rId692">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80" w:type="dxa"/>
            <w:vAlign w:val="bottom"/>
            <w:gridSpan w:val="8"/>
            <w:vMerge w:val="restart"/>
          </w:tcPr>
          <w:p>
            <w:pPr>
              <w:spacing w:after="0" w:line="202" w:lineRule="exact"/>
              <w:rPr>
                <w:rFonts w:ascii="Arial" w:cs="Arial" w:eastAsia="Arial" w:hAnsi="Arial"/>
                <w:sz w:val="18"/>
                <w:szCs w:val="18"/>
                <w:color w:val="0000FF"/>
                <w:w w:val="91"/>
              </w:rPr>
            </w:pPr>
            <w:hyperlink r:id="rId692">
              <w:r>
                <w:rPr>
                  <w:rFonts w:ascii="Arial" w:cs="Arial" w:eastAsia="Arial" w:hAnsi="Arial"/>
                  <w:sz w:val="18"/>
                  <w:szCs w:val="18"/>
                  <w:color w:val="0000FF"/>
                  <w:w w:val="91"/>
                </w:rPr>
                <w:t>Articles of Amendment and Restatement</w:t>
              </w:r>
            </w:hyperlink>
          </w:p>
        </w:tc>
        <w:tc>
          <w:tcPr>
            <w:tcW w:w="140" w:type="dxa"/>
            <w:vAlign w:val="bottom"/>
            <w:tcBorders>
              <w:bottom w:val="single" w:sz="8" w:color="0000FF"/>
            </w:tcBorders>
          </w:tcPr>
          <w:p>
            <w:pPr>
              <w:jc w:val="right"/>
              <w:spacing w:after="0" w:line="102" w:lineRule="exact"/>
              <w:rPr>
                <w:rFonts w:ascii="Arial" w:cs="Arial" w:eastAsia="Arial" w:hAnsi="Arial"/>
                <w:sz w:val="11"/>
                <w:szCs w:val="11"/>
                <w:color w:val="0000FF"/>
                <w:w w:val="88"/>
              </w:rPr>
            </w:pPr>
            <w:hyperlink r:id="rId692">
              <w:r>
                <w:rPr>
                  <w:rFonts w:ascii="Arial" w:cs="Arial" w:eastAsia="Arial" w:hAnsi="Arial"/>
                  <w:sz w:val="11"/>
                  <w:szCs w:val="11"/>
                  <w:color w:val="0000FF"/>
                  <w:w w:val="88"/>
                </w:rPr>
                <w:t>(1)</w:t>
              </w:r>
            </w:hyperlink>
          </w:p>
        </w:tc>
        <w:tc>
          <w:tcPr>
            <w:tcW w:w="160" w:type="dxa"/>
            <w:vAlign w:val="bottom"/>
            <w:gridSpan w:val="2"/>
            <w:vMerge w:val="restart"/>
          </w:tcPr>
          <w:p>
            <w:pPr>
              <w:spacing w:after="0"/>
              <w:rPr>
                <w:sz w:val="10"/>
                <w:szCs w:val="10"/>
                <w:color w:val="auto"/>
              </w:rPr>
            </w:pPr>
          </w:p>
        </w:tc>
        <w:tc>
          <w:tcPr>
            <w:tcW w:w="3220" w:type="dxa"/>
            <w:vAlign w:val="bottom"/>
            <w:gridSpan w:val="4"/>
            <w:vMerge w:val="restart"/>
          </w:tcPr>
          <w:p>
            <w:pPr>
              <w:spacing w:after="0"/>
              <w:rPr>
                <w:sz w:val="10"/>
                <w:szCs w:val="10"/>
                <w:color w:val="auto"/>
              </w:rPr>
            </w:pPr>
          </w:p>
        </w:tc>
        <w:tc>
          <w:tcPr>
            <w:tcW w:w="1880" w:type="dxa"/>
            <w:vAlign w:val="bottom"/>
            <w:gridSpan w:val="2"/>
            <w:vMerge w:val="restart"/>
          </w:tcPr>
          <w:p>
            <w:pPr>
              <w:spacing w:after="0"/>
              <w:rPr>
                <w:sz w:val="10"/>
                <w:szCs w:val="10"/>
                <w:color w:val="auto"/>
              </w:rPr>
            </w:pPr>
          </w:p>
        </w:tc>
        <w:tc>
          <w:tcPr>
            <w:tcW w:w="300" w:type="dxa"/>
            <w:vAlign w:val="bottom"/>
            <w:gridSpan w:val="2"/>
            <w:vMerge w:val="restart"/>
          </w:tcPr>
          <w:p>
            <w:pPr>
              <w:spacing w:after="0"/>
              <w:rPr>
                <w:sz w:val="10"/>
                <w:szCs w:val="10"/>
                <w:color w:val="auto"/>
              </w:rPr>
            </w:pPr>
          </w:p>
        </w:tc>
        <w:tc>
          <w:tcPr>
            <w:tcW w:w="146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980" w:type="dxa"/>
            <w:vAlign w:val="bottom"/>
            <w:tcBorders>
              <w:bottom w:val="single" w:sz="8" w:color="0000FF"/>
            </w:tcBorders>
            <w:gridSpan w:val="8"/>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gridSpan w:val="2"/>
            <w:vMerge w:val="continue"/>
          </w:tcPr>
          <w:p>
            <w:pPr>
              <w:spacing w:after="0"/>
              <w:rPr>
                <w:sz w:val="5"/>
                <w:szCs w:val="5"/>
                <w:color w:val="auto"/>
              </w:rPr>
            </w:pPr>
          </w:p>
        </w:tc>
        <w:tc>
          <w:tcPr>
            <w:tcW w:w="3220" w:type="dxa"/>
            <w:vAlign w:val="bottom"/>
            <w:gridSpan w:val="4"/>
            <w:vMerge w:val="continue"/>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3">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gridSpan w:val="4"/>
            <w:vMerge w:val="restart"/>
          </w:tcPr>
          <w:p>
            <w:pPr>
              <w:spacing w:after="0"/>
              <w:rPr>
                <w:rFonts w:ascii="Arial" w:cs="Arial" w:eastAsia="Arial" w:hAnsi="Arial"/>
                <w:sz w:val="18"/>
                <w:szCs w:val="18"/>
                <w:color w:val="0000FF"/>
                <w:w w:val="94"/>
              </w:rPr>
            </w:pPr>
            <w:hyperlink r:id="rId693">
              <w:r>
                <w:rPr>
                  <w:rFonts w:ascii="Arial" w:cs="Arial" w:eastAsia="Arial" w:hAnsi="Arial"/>
                  <w:sz w:val="18"/>
                  <w:szCs w:val="18"/>
                  <w:color w:val="0000FF"/>
                  <w:w w:val="94"/>
                </w:rPr>
                <w:t>Articles of Amendment</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3">
              <w:r>
                <w:rPr>
                  <w:rFonts w:ascii="Arial" w:cs="Arial" w:eastAsia="Arial" w:hAnsi="Arial"/>
                  <w:sz w:val="12"/>
                  <w:szCs w:val="12"/>
                  <w:color w:val="0000FF"/>
                  <w:w w:val="81"/>
                </w:rPr>
                <w:t>(4)</w:t>
              </w:r>
            </w:hyperlink>
          </w:p>
        </w:tc>
        <w:tc>
          <w:tcPr>
            <w:tcW w:w="860" w:type="dxa"/>
            <w:vAlign w:val="bottom"/>
            <w:gridSpan w:val="2"/>
            <w:vMerge w:val="restart"/>
          </w:tcPr>
          <w:p>
            <w:pPr>
              <w:spacing w:after="0"/>
              <w:rPr>
                <w:sz w:val="24"/>
                <w:szCs w:val="24"/>
                <w:color w:val="auto"/>
              </w:rPr>
            </w:pPr>
          </w:p>
        </w:tc>
        <w:tc>
          <w:tcPr>
            <w:tcW w:w="540" w:type="dxa"/>
            <w:vAlign w:val="bottom"/>
            <w:gridSpan w:val="4"/>
            <w:vMerge w:val="restart"/>
          </w:tcPr>
          <w:p>
            <w:pPr>
              <w:spacing w:after="0"/>
              <w:rPr>
                <w:sz w:val="24"/>
                <w:szCs w:val="24"/>
                <w:color w:val="auto"/>
              </w:rPr>
            </w:pPr>
          </w:p>
        </w:tc>
        <w:tc>
          <w:tcPr>
            <w:tcW w:w="3220" w:type="dxa"/>
            <w:vAlign w:val="bottom"/>
            <w:gridSpan w:val="4"/>
            <w:vMerge w:val="restart"/>
          </w:tcPr>
          <w:p>
            <w:pPr>
              <w:spacing w:after="0"/>
              <w:rPr>
                <w:sz w:val="24"/>
                <w:szCs w:val="24"/>
                <w:color w:val="auto"/>
              </w:rPr>
            </w:pPr>
          </w:p>
        </w:tc>
        <w:tc>
          <w:tcPr>
            <w:tcW w:w="1880" w:type="dxa"/>
            <w:vAlign w:val="bottom"/>
            <w:gridSpan w:val="2"/>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740" w:type="dxa"/>
            <w:vAlign w:val="bottom"/>
            <w:tcBorders>
              <w:bottom w:val="single" w:sz="8" w:color="0000FF"/>
            </w:tcBorders>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3220" w:type="dxa"/>
            <w:vAlign w:val="bottom"/>
            <w:gridSpan w:val="4"/>
            <w:vMerge w:val="continue"/>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4">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360" w:type="dxa"/>
            <w:vAlign w:val="bottom"/>
            <w:gridSpan w:val="14"/>
            <w:vMerge w:val="restart"/>
          </w:tcPr>
          <w:p>
            <w:pPr>
              <w:spacing w:after="0"/>
              <w:rPr>
                <w:rFonts w:ascii="Arial" w:cs="Arial" w:eastAsia="Arial" w:hAnsi="Arial"/>
                <w:sz w:val="18"/>
                <w:szCs w:val="18"/>
                <w:color w:val="0000FF"/>
                <w:w w:val="92"/>
              </w:rPr>
            </w:pPr>
            <w:hyperlink r:id="rId694">
              <w:r>
                <w:rPr>
                  <w:rFonts w:ascii="Arial" w:cs="Arial" w:eastAsia="Arial" w:hAnsi="Arial"/>
                  <w:sz w:val="18"/>
                  <w:szCs w:val="18"/>
                  <w:color w:val="0000FF"/>
                  <w:w w:val="92"/>
                </w:rPr>
                <w:t>Certificate of Limited Partnership of CapitalSouth Partners Fund II Limited Partnership</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4">
              <w:r>
                <w:rPr>
                  <w:rFonts w:ascii="Arial" w:cs="Arial" w:eastAsia="Arial" w:hAnsi="Arial"/>
                  <w:sz w:val="12"/>
                  <w:szCs w:val="12"/>
                  <w:color w:val="0000FF"/>
                  <w:w w:val="81"/>
                </w:rPr>
                <w:t>(2)</w:t>
              </w:r>
            </w:hyperlink>
          </w:p>
        </w:tc>
        <w:tc>
          <w:tcPr>
            <w:tcW w:w="1880" w:type="dxa"/>
            <w:vAlign w:val="bottom"/>
            <w:gridSpan w:val="2"/>
            <w:vMerge w:val="restart"/>
          </w:tcPr>
          <w:p>
            <w:pPr>
              <w:spacing w:after="0"/>
              <w:rPr>
                <w:sz w:val="24"/>
                <w:szCs w:val="24"/>
                <w:color w:val="auto"/>
              </w:rPr>
            </w:pPr>
          </w:p>
        </w:tc>
        <w:tc>
          <w:tcPr>
            <w:tcW w:w="300" w:type="dxa"/>
            <w:vAlign w:val="bottom"/>
            <w:gridSpan w:val="2"/>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360" w:type="dxa"/>
            <w:vAlign w:val="bottom"/>
            <w:tcBorders>
              <w:bottom w:val="single" w:sz="8" w:color="0000FF"/>
            </w:tcBorders>
            <w:gridSpan w:val="14"/>
            <w:vMerge w:val="continue"/>
          </w:tcPr>
          <w:p>
            <w:pPr>
              <w:spacing w:after="0"/>
              <w:rPr>
                <w:sz w:val="5"/>
                <w:szCs w:val="5"/>
                <w:color w:val="auto"/>
              </w:rPr>
            </w:pPr>
          </w:p>
        </w:tc>
        <w:tc>
          <w:tcPr>
            <w:tcW w:w="140" w:type="dxa"/>
            <w:vAlign w:val="bottom"/>
          </w:tcPr>
          <w:p>
            <w:pPr>
              <w:spacing w:after="0"/>
              <w:rPr>
                <w:sz w:val="5"/>
                <w:szCs w:val="5"/>
                <w:color w:val="auto"/>
              </w:rPr>
            </w:pPr>
          </w:p>
        </w:tc>
        <w:tc>
          <w:tcPr>
            <w:tcW w:w="1880" w:type="dxa"/>
            <w:vAlign w:val="bottom"/>
            <w:gridSpan w:val="2"/>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5">
              <w:r>
                <w:rPr>
                  <w:rFonts w:ascii="Arial" w:cs="Arial" w:eastAsia="Arial" w:hAnsi="Arial"/>
                  <w:sz w:val="18"/>
                  <w:szCs w:val="18"/>
                  <w:color w:val="0000FF"/>
                  <w:w w:val="79"/>
                </w:rPr>
                <w:t>3.</w:t>
              </w:r>
              <w:r>
                <w:rPr>
                  <w:rFonts w:ascii="Arial" w:cs="Arial" w:eastAsia="Arial" w:hAnsi="Arial"/>
                  <w:sz w:val="18"/>
                  <w:szCs w:val="18"/>
                  <w:u w:val="single" w:color="auto"/>
                  <w:color w:val="0000FF"/>
                  <w:w w:val="79"/>
                </w:rPr>
                <w:t>4</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40" w:type="dxa"/>
            <w:vAlign w:val="bottom"/>
            <w:gridSpan w:val="16"/>
            <w:vMerge w:val="restart"/>
          </w:tcPr>
          <w:p>
            <w:pPr>
              <w:spacing w:after="0"/>
              <w:rPr>
                <w:rFonts w:ascii="Arial" w:cs="Arial" w:eastAsia="Arial" w:hAnsi="Arial"/>
                <w:sz w:val="18"/>
                <w:szCs w:val="18"/>
                <w:color w:val="0000FF"/>
                <w:w w:val="92"/>
              </w:rPr>
            </w:pPr>
            <w:hyperlink r:id="rId695">
              <w:r>
                <w:rPr>
                  <w:rFonts w:ascii="Arial" w:cs="Arial" w:eastAsia="Arial" w:hAnsi="Arial"/>
                  <w:sz w:val="18"/>
                  <w:szCs w:val="18"/>
                  <w:color w:val="0000FF"/>
                  <w:w w:val="92"/>
                </w:rPr>
                <w:t>Certificate of Limited Partnership of CapitalSouth Fund III, L.P. (f/k/a CapitalSouth Partners SBIC Fund III, L.P.)</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5">
              <w:r>
                <w:rPr>
                  <w:rFonts w:ascii="Arial" w:cs="Arial" w:eastAsia="Arial" w:hAnsi="Arial"/>
                  <w:sz w:val="12"/>
                  <w:szCs w:val="12"/>
                  <w:color w:val="0000FF"/>
                  <w:w w:val="81"/>
                </w:rPr>
                <w:t>(2)</w:t>
              </w:r>
            </w:hyperlink>
          </w:p>
        </w:tc>
        <w:tc>
          <w:tcPr>
            <w:tcW w:w="300" w:type="dxa"/>
            <w:vAlign w:val="bottom"/>
            <w:gridSpan w:val="2"/>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40" w:type="dxa"/>
            <w:vAlign w:val="bottom"/>
            <w:tcBorders>
              <w:bottom w:val="single" w:sz="8" w:color="0000FF"/>
            </w:tcBorders>
            <w:gridSpan w:val="16"/>
            <w:vMerge w:val="continue"/>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6">
              <w:r>
                <w:rPr>
                  <w:rFonts w:ascii="Arial" w:cs="Arial" w:eastAsia="Arial" w:hAnsi="Arial"/>
                  <w:sz w:val="18"/>
                  <w:szCs w:val="18"/>
                  <w:color w:val="0000FF"/>
                  <w:w w:val="79"/>
                </w:rPr>
                <w:t>3.</w:t>
              </w:r>
              <w:r>
                <w:rPr>
                  <w:rFonts w:ascii="Arial" w:cs="Arial" w:eastAsia="Arial" w:hAnsi="Arial"/>
                  <w:sz w:val="18"/>
                  <w:szCs w:val="18"/>
                  <w:u w:val="single" w:color="auto"/>
                  <w:color w:val="0000FF"/>
                  <w:w w:val="79"/>
                </w:rPr>
                <w:t>5</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vMerge w:val="restart"/>
          </w:tcPr>
          <w:p>
            <w:pPr>
              <w:spacing w:after="0"/>
              <w:rPr>
                <w:rFonts w:ascii="Arial" w:cs="Arial" w:eastAsia="Arial" w:hAnsi="Arial"/>
                <w:sz w:val="18"/>
                <w:szCs w:val="18"/>
                <w:color w:val="0000FF"/>
                <w:w w:val="98"/>
              </w:rPr>
            </w:pPr>
            <w:hyperlink r:id="rId696">
              <w:r>
                <w:rPr>
                  <w:rFonts w:ascii="Arial" w:cs="Arial" w:eastAsia="Arial" w:hAnsi="Arial"/>
                  <w:sz w:val="18"/>
                  <w:szCs w:val="18"/>
                  <w:color w:val="0000FF"/>
                  <w:w w:val="98"/>
                </w:rPr>
                <w:t>Bylaws</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6">
              <w:r>
                <w:rPr>
                  <w:rFonts w:ascii="Arial" w:cs="Arial" w:eastAsia="Arial" w:hAnsi="Arial"/>
                  <w:sz w:val="12"/>
                  <w:szCs w:val="12"/>
                  <w:color w:val="0000FF"/>
                  <w:w w:val="81"/>
                </w:rPr>
                <w:t>(1)</w:t>
              </w:r>
            </w:hyperlink>
          </w:p>
        </w:tc>
        <w:tc>
          <w:tcPr>
            <w:tcW w:w="2020" w:type="dxa"/>
            <w:vAlign w:val="bottom"/>
            <w:gridSpan w:val="5"/>
            <w:vMerge w:val="restart"/>
          </w:tcPr>
          <w:p>
            <w:pPr>
              <w:spacing w:after="0"/>
              <w:rPr>
                <w:sz w:val="24"/>
                <w:szCs w:val="24"/>
                <w:color w:val="auto"/>
              </w:rPr>
            </w:pPr>
          </w:p>
        </w:tc>
        <w:tc>
          <w:tcPr>
            <w:tcW w:w="540" w:type="dxa"/>
            <w:vAlign w:val="bottom"/>
            <w:gridSpan w:val="4"/>
            <w:vMerge w:val="restart"/>
          </w:tcPr>
          <w:p>
            <w:pPr>
              <w:spacing w:after="0"/>
              <w:rPr>
                <w:sz w:val="24"/>
                <w:szCs w:val="24"/>
                <w:color w:val="auto"/>
              </w:rPr>
            </w:pPr>
          </w:p>
        </w:tc>
        <w:tc>
          <w:tcPr>
            <w:tcW w:w="5400" w:type="dxa"/>
            <w:vAlign w:val="bottom"/>
            <w:gridSpan w:val="8"/>
            <w:vMerge w:val="restart"/>
          </w:tcPr>
          <w:p>
            <w:pPr>
              <w:spacing w:after="0"/>
              <w:rPr>
                <w:sz w:val="24"/>
                <w:szCs w:val="24"/>
                <w:color w:val="auto"/>
              </w:rPr>
            </w:pPr>
          </w:p>
        </w:tc>
        <w:tc>
          <w:tcPr>
            <w:tcW w:w="1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bottom w:val="single" w:sz="8" w:color="0000FF"/>
            </w:tcBorders>
            <w:vMerge w:val="continue"/>
          </w:tcPr>
          <w:p>
            <w:pPr>
              <w:spacing w:after="0"/>
              <w:rPr>
                <w:sz w:val="5"/>
                <w:szCs w:val="5"/>
                <w:color w:val="auto"/>
              </w:rPr>
            </w:pPr>
          </w:p>
        </w:tc>
        <w:tc>
          <w:tcPr>
            <w:tcW w:w="140" w:type="dxa"/>
            <w:vAlign w:val="bottom"/>
          </w:tcPr>
          <w:p>
            <w:pPr>
              <w:spacing w:after="0"/>
              <w:rPr>
                <w:sz w:val="5"/>
                <w:szCs w:val="5"/>
                <w:color w:val="auto"/>
              </w:rPr>
            </w:pPr>
          </w:p>
        </w:tc>
        <w:tc>
          <w:tcPr>
            <w:tcW w:w="2020" w:type="dxa"/>
            <w:vAlign w:val="bottom"/>
            <w:gridSpan w:val="5"/>
            <w:vMerge w:val="continue"/>
          </w:tcPr>
          <w:p>
            <w:pPr>
              <w:spacing w:after="0"/>
              <w:rPr>
                <w:sz w:val="5"/>
                <w:szCs w:val="5"/>
                <w:color w:val="auto"/>
              </w:rPr>
            </w:pPr>
          </w:p>
        </w:tc>
        <w:tc>
          <w:tcPr>
            <w:tcW w:w="540" w:type="dxa"/>
            <w:vAlign w:val="bottom"/>
            <w:gridSpan w:val="4"/>
            <w:vMerge w:val="continue"/>
          </w:tcPr>
          <w:p>
            <w:pPr>
              <w:spacing w:after="0"/>
              <w:rPr>
                <w:sz w:val="5"/>
                <w:szCs w:val="5"/>
                <w:color w:val="auto"/>
              </w:rPr>
            </w:pPr>
          </w:p>
        </w:tc>
        <w:tc>
          <w:tcPr>
            <w:tcW w:w="5400" w:type="dxa"/>
            <w:vAlign w:val="bottom"/>
            <w:gridSpan w:val="8"/>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7">
              <w:r>
                <w:rPr>
                  <w:rFonts w:ascii="Arial" w:cs="Arial" w:eastAsia="Arial" w:hAnsi="Arial"/>
                  <w:sz w:val="18"/>
                  <w:szCs w:val="18"/>
                  <w:color w:val="0000FF"/>
                  <w:w w:val="79"/>
                </w:rPr>
                <w:t>3.</w:t>
              </w:r>
              <w:r>
                <w:rPr>
                  <w:rFonts w:ascii="Arial" w:cs="Arial" w:eastAsia="Arial" w:hAnsi="Arial"/>
                  <w:sz w:val="18"/>
                  <w:szCs w:val="18"/>
                  <w:u w:val="single" w:color="auto"/>
                  <w:color w:val="0000FF"/>
                  <w:w w:val="79"/>
                </w:rPr>
                <w:t>6</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40" w:type="dxa"/>
            <w:vAlign w:val="bottom"/>
            <w:gridSpan w:val="18"/>
            <w:vMerge w:val="restart"/>
          </w:tcPr>
          <w:p>
            <w:pPr>
              <w:spacing w:after="0"/>
              <w:rPr>
                <w:rFonts w:ascii="Arial" w:cs="Arial" w:eastAsia="Arial" w:hAnsi="Arial"/>
                <w:sz w:val="18"/>
                <w:szCs w:val="18"/>
                <w:color w:val="0000FF"/>
                <w:w w:val="91"/>
              </w:rPr>
            </w:pPr>
            <w:hyperlink r:id="rId697">
              <w:r>
                <w:rPr>
                  <w:rFonts w:ascii="Arial" w:cs="Arial" w:eastAsia="Arial" w:hAnsi="Arial"/>
                  <w:sz w:val="18"/>
                  <w:szCs w:val="18"/>
                  <w:color w:val="0000FF"/>
                  <w:w w:val="91"/>
                </w:rPr>
                <w:t>Form of Amended and Restated Limited Partnership Agreement of CapitalSouth Partners Fund II Limited Partnership</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7">
              <w:r>
                <w:rPr>
                  <w:rFonts w:ascii="Arial" w:cs="Arial" w:eastAsia="Arial" w:hAnsi="Arial"/>
                  <w:sz w:val="12"/>
                  <w:szCs w:val="12"/>
                  <w:color w:val="0000FF"/>
                  <w:w w:val="81"/>
                </w:rPr>
                <w:t>(3)</w:t>
              </w:r>
            </w:hyperlink>
          </w:p>
        </w:tc>
        <w:tc>
          <w:tcPr>
            <w:tcW w:w="14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540" w:type="dxa"/>
            <w:vAlign w:val="bottom"/>
            <w:tcBorders>
              <w:bottom w:val="single" w:sz="8" w:color="0000FF"/>
            </w:tcBorders>
            <w:gridSpan w:val="18"/>
            <w:vMerge w:val="continue"/>
          </w:tcPr>
          <w:p>
            <w:pPr>
              <w:spacing w:after="0"/>
              <w:rPr>
                <w:sz w:val="5"/>
                <w:szCs w:val="5"/>
                <w:color w:val="auto"/>
              </w:rPr>
            </w:pPr>
          </w:p>
        </w:tc>
        <w:tc>
          <w:tcPr>
            <w:tcW w:w="14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240" w:type="dxa"/>
            <w:vAlign w:val="bottom"/>
            <w:gridSpan w:val="2"/>
          </w:tcPr>
          <w:p>
            <w:pPr>
              <w:ind w:left="20"/>
              <w:spacing w:after="0"/>
              <w:rPr>
                <w:rFonts w:ascii="Arial" w:cs="Arial" w:eastAsia="Arial" w:hAnsi="Arial"/>
                <w:sz w:val="18"/>
                <w:szCs w:val="18"/>
                <w:color w:val="0000FF"/>
                <w:w w:val="79"/>
              </w:rPr>
            </w:pPr>
            <w:hyperlink r:id="rId69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7</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FF"/>
                <w:w w:val="92"/>
              </w:rPr>
            </w:pPr>
            <w:hyperlink r:id="rId698">
              <w:r>
                <w:rPr>
                  <w:rFonts w:ascii="Arial" w:cs="Arial" w:eastAsia="Arial" w:hAnsi="Arial"/>
                  <w:sz w:val="18"/>
                  <w:szCs w:val="18"/>
                  <w:color w:val="0000FF"/>
                  <w:w w:val="92"/>
                </w:rPr>
                <w:t>Form of Amended and Restated Agreement of Limited Partnership of Certificate of Limited Partnership of CapitalSouth Fund III, L.P. (f/k/a</w:t>
              </w:r>
            </w:hyperlink>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140" w:type="dxa"/>
            <w:vAlign w:val="bottom"/>
            <w:tcBorders>
              <w:top w:val="single" w:sz="8" w:color="0000FF"/>
              <w:bottom w:val="single" w:sz="8" w:color="0000FF"/>
            </w:tcBorders>
            <w:gridSpan w:val="10"/>
            <w:vMerge w:val="restart"/>
          </w:tcPr>
          <w:p>
            <w:pPr>
              <w:spacing w:after="0"/>
              <w:rPr>
                <w:rFonts w:ascii="Arial" w:cs="Arial" w:eastAsia="Arial" w:hAnsi="Arial"/>
                <w:sz w:val="18"/>
                <w:szCs w:val="18"/>
                <w:color w:val="0000FF"/>
                <w:w w:val="92"/>
              </w:rPr>
            </w:pPr>
            <w:hyperlink r:id="rId698">
              <w:r>
                <w:rPr>
                  <w:rFonts w:ascii="Arial" w:cs="Arial" w:eastAsia="Arial" w:hAnsi="Arial"/>
                  <w:sz w:val="18"/>
                  <w:szCs w:val="18"/>
                  <w:color w:val="0000FF"/>
                  <w:w w:val="92"/>
                </w:rPr>
                <w:t>CapitalSouth Partners SBIC Fund III, L.P.)</w:t>
              </w:r>
            </w:hyperlink>
          </w:p>
        </w:tc>
        <w:tc>
          <w:tcPr>
            <w:tcW w:w="140" w:type="dxa"/>
            <w:vAlign w:val="bottom"/>
            <w:tcBorders>
              <w:top w:val="single" w:sz="8" w:color="0000FF"/>
              <w:bottom w:val="single" w:sz="8" w:color="0000FF"/>
            </w:tcBorders>
          </w:tcPr>
          <w:p>
            <w:pPr>
              <w:jc w:val="right"/>
              <w:spacing w:after="0" w:line="115" w:lineRule="exact"/>
              <w:rPr>
                <w:rFonts w:ascii="Arial" w:cs="Arial" w:eastAsia="Arial" w:hAnsi="Arial"/>
                <w:sz w:val="12"/>
                <w:szCs w:val="12"/>
                <w:color w:val="0000FF"/>
                <w:w w:val="81"/>
              </w:rPr>
            </w:pPr>
            <w:hyperlink r:id="rId698">
              <w:r>
                <w:rPr>
                  <w:rFonts w:ascii="Arial" w:cs="Arial" w:eastAsia="Arial" w:hAnsi="Arial"/>
                  <w:sz w:val="12"/>
                  <w:szCs w:val="12"/>
                  <w:color w:val="0000FF"/>
                  <w:w w:val="81"/>
                </w:rPr>
                <w:t>(3)</w:t>
              </w:r>
            </w:hyperlink>
          </w:p>
        </w:tc>
        <w:tc>
          <w:tcPr>
            <w:tcW w:w="6860" w:type="dxa"/>
            <w:vAlign w:val="bottom"/>
            <w:tcBorders>
              <w:top w:val="single" w:sz="8" w:color="0000FF"/>
              <w:bottom w:val="single" w:sz="8" w:color="0000FF"/>
            </w:tcBorders>
            <w:gridSpan w:val="10"/>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3140" w:type="dxa"/>
            <w:vAlign w:val="bottom"/>
            <w:tcBorders>
              <w:bottom w:val="single" w:sz="8" w:color="0000FF"/>
            </w:tcBorders>
            <w:gridSpan w:val="10"/>
            <w:vMerge w:val="continue"/>
          </w:tcPr>
          <w:p>
            <w:pPr>
              <w:spacing w:after="0"/>
              <w:rPr>
                <w:sz w:val="5"/>
                <w:szCs w:val="5"/>
                <w:color w:val="auto"/>
              </w:rPr>
            </w:pPr>
          </w:p>
        </w:tc>
        <w:tc>
          <w:tcPr>
            <w:tcW w:w="140" w:type="dxa"/>
            <w:vAlign w:val="bottom"/>
          </w:tcPr>
          <w:p>
            <w:pPr>
              <w:spacing w:after="0"/>
              <w:rPr>
                <w:sz w:val="5"/>
                <w:szCs w:val="5"/>
                <w:color w:val="auto"/>
              </w:rPr>
            </w:pPr>
          </w:p>
        </w:tc>
        <w:tc>
          <w:tcPr>
            <w:tcW w:w="68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20" w:type="dxa"/>
            <w:vAlign w:val="bottom"/>
            <w:vMerge w:val="restart"/>
          </w:tcPr>
          <w:p>
            <w:pPr>
              <w:spacing w:after="0"/>
              <w:rPr>
                <w:sz w:val="24"/>
                <w:szCs w:val="24"/>
                <w:color w:val="auto"/>
              </w:rPr>
            </w:pPr>
          </w:p>
        </w:tc>
        <w:tc>
          <w:tcPr>
            <w:tcW w:w="220" w:type="dxa"/>
            <w:vAlign w:val="bottom"/>
            <w:vMerge w:val="restart"/>
          </w:tcPr>
          <w:p>
            <w:pPr>
              <w:spacing w:after="0"/>
              <w:rPr>
                <w:rFonts w:ascii="Arial" w:cs="Arial" w:eastAsia="Arial" w:hAnsi="Arial"/>
                <w:sz w:val="18"/>
                <w:szCs w:val="18"/>
                <w:color w:val="0000FF"/>
                <w:w w:val="79"/>
              </w:rPr>
            </w:pPr>
            <w:hyperlink r:id="rId699">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0" w:type="dxa"/>
            <w:vAlign w:val="bottom"/>
            <w:gridSpan w:val="6"/>
            <w:vMerge w:val="restart"/>
          </w:tcPr>
          <w:p>
            <w:pPr>
              <w:spacing w:after="0"/>
              <w:rPr>
                <w:rFonts w:ascii="Arial" w:cs="Arial" w:eastAsia="Arial" w:hAnsi="Arial"/>
                <w:sz w:val="18"/>
                <w:szCs w:val="18"/>
                <w:color w:val="0000FF"/>
                <w:w w:val="93"/>
              </w:rPr>
            </w:pPr>
            <w:hyperlink r:id="rId699">
              <w:r>
                <w:rPr>
                  <w:rFonts w:ascii="Arial" w:cs="Arial" w:eastAsia="Arial" w:hAnsi="Arial"/>
                  <w:sz w:val="18"/>
                  <w:szCs w:val="18"/>
                  <w:color w:val="0000FF"/>
                  <w:w w:val="93"/>
                </w:rPr>
                <w:t>Form of Common Stock Certificate</w:t>
              </w:r>
            </w:hyperlink>
          </w:p>
        </w:tc>
        <w:tc>
          <w:tcPr>
            <w:tcW w:w="140" w:type="dxa"/>
            <w:vAlign w:val="bottom"/>
            <w:tcBorders>
              <w:bottom w:val="single" w:sz="8" w:color="0000FF"/>
            </w:tcBorders>
          </w:tcPr>
          <w:p>
            <w:pPr>
              <w:jc w:val="right"/>
              <w:spacing w:after="0"/>
              <w:rPr>
                <w:rFonts w:ascii="Arial" w:cs="Arial" w:eastAsia="Arial" w:hAnsi="Arial"/>
                <w:sz w:val="12"/>
                <w:szCs w:val="12"/>
                <w:color w:val="0000FF"/>
                <w:w w:val="81"/>
              </w:rPr>
            </w:pPr>
            <w:hyperlink r:id="rId699">
              <w:r>
                <w:rPr>
                  <w:rFonts w:ascii="Arial" w:cs="Arial" w:eastAsia="Arial" w:hAnsi="Arial"/>
                  <w:sz w:val="12"/>
                  <w:szCs w:val="12"/>
                  <w:color w:val="0000FF"/>
                  <w:w w:val="81"/>
                </w:rPr>
                <w:t>(1)</w:t>
              </w:r>
            </w:hyperlink>
          </w:p>
        </w:tc>
        <w:tc>
          <w:tcPr>
            <w:tcW w:w="7400" w:type="dxa"/>
            <w:vAlign w:val="bottom"/>
            <w:gridSpan w:val="1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6"/>
        </w:trPr>
        <w:tc>
          <w:tcPr>
            <w:tcW w:w="20" w:type="dxa"/>
            <w:vAlign w:val="bottom"/>
            <w:vMerge w:val="continue"/>
          </w:tcPr>
          <w:p>
            <w:pPr>
              <w:spacing w:after="0"/>
              <w:rPr>
                <w:sz w:val="5"/>
                <w:szCs w:val="5"/>
                <w:color w:val="auto"/>
              </w:rPr>
            </w:pPr>
          </w:p>
        </w:tc>
        <w:tc>
          <w:tcPr>
            <w:tcW w:w="220" w:type="dxa"/>
            <w:vAlign w:val="bottom"/>
            <w:tcBorders>
              <w:bottom w:val="single" w:sz="8" w:color="0000FF"/>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0" w:type="dxa"/>
            <w:vAlign w:val="bottom"/>
            <w:tcBorders>
              <w:bottom w:val="single" w:sz="8" w:color="0000FF"/>
            </w:tcBorders>
            <w:gridSpan w:val="6"/>
            <w:vMerge w:val="continue"/>
          </w:tcPr>
          <w:p>
            <w:pPr>
              <w:spacing w:after="0"/>
              <w:rPr>
                <w:sz w:val="5"/>
                <w:szCs w:val="5"/>
                <w:color w:val="auto"/>
              </w:rPr>
            </w:pPr>
          </w:p>
        </w:tc>
        <w:tc>
          <w:tcPr>
            <w:tcW w:w="140" w:type="dxa"/>
            <w:vAlign w:val="bottom"/>
          </w:tcPr>
          <w:p>
            <w:pPr>
              <w:spacing w:after="0"/>
              <w:rPr>
                <w:sz w:val="5"/>
                <w:szCs w:val="5"/>
                <w:color w:val="auto"/>
              </w:rPr>
            </w:pPr>
          </w:p>
        </w:tc>
        <w:tc>
          <w:tcPr>
            <w:tcW w:w="7400" w:type="dxa"/>
            <w:vAlign w:val="bottom"/>
            <w:gridSpan w:val="1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66">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rFonts w:ascii="Arial" w:cs="Arial" w:eastAsia="Arial" w:hAnsi="Arial"/>
                <w:sz w:val="18"/>
                <w:szCs w:val="18"/>
                <w:color w:val="0000FF"/>
                <w:w w:val="93"/>
              </w:rPr>
            </w:pPr>
            <w:hyperlink w:anchor="page66">
              <w:r>
                <w:rPr>
                  <w:rFonts w:ascii="Arial" w:cs="Arial" w:eastAsia="Arial" w:hAnsi="Arial"/>
                  <w:sz w:val="18"/>
                  <w:szCs w:val="18"/>
                  <w:color w:val="0000FF"/>
                  <w:w w:val="93"/>
                </w:rPr>
                <w:t>Certification of Chief Executive Officer pursuant to Rule 13a-14 of the Securities Exchange Act of 1934, as adopted pursuant to Section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0" w:type="dxa"/>
            <w:vAlign w:val="bottom"/>
            <w:tcBorders>
              <w:bottom w:val="single" w:sz="8" w:color="0000FF"/>
            </w:tcBorders>
            <w:gridSpan w:val="13"/>
          </w:tcPr>
          <w:p>
            <w:pPr>
              <w:spacing w:after="0"/>
              <w:rPr>
                <w:rFonts w:ascii="Arial" w:cs="Arial" w:eastAsia="Arial" w:hAnsi="Arial"/>
                <w:sz w:val="18"/>
                <w:szCs w:val="18"/>
                <w:color w:val="0000FF"/>
                <w:w w:val="91"/>
              </w:rPr>
            </w:pPr>
            <w:hyperlink w:anchor="page66">
              <w:r>
                <w:rPr>
                  <w:rFonts w:ascii="Arial" w:cs="Arial" w:eastAsia="Arial" w:hAnsi="Arial"/>
                  <w:sz w:val="18"/>
                  <w:szCs w:val="18"/>
                  <w:color w:val="0000FF"/>
                  <w:w w:val="91"/>
                </w:rPr>
                <w:t>302 of the Sarbanes-Oxley Act of 2002 (filed herewith)</w:t>
              </w:r>
            </w:hyperlink>
          </w:p>
        </w:tc>
        <w:tc>
          <w:tcPr>
            <w:tcW w:w="61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493"/>
        </w:trPr>
        <w:tc>
          <w:tcPr>
            <w:tcW w:w="700" w:type="dxa"/>
            <w:vAlign w:val="bottom"/>
            <w:gridSpan w:val="4"/>
          </w:tcPr>
          <w:p>
            <w:pPr>
              <w:ind w:left="20"/>
              <w:spacing w:after="0"/>
              <w:rPr>
                <w:rFonts w:ascii="Arial" w:cs="Arial" w:eastAsia="Arial" w:hAnsi="Arial"/>
                <w:sz w:val="18"/>
                <w:szCs w:val="18"/>
                <w:color w:val="0000FF"/>
              </w:rPr>
            </w:pPr>
            <w:hyperlink w:anchor="page68">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FF"/>
                <w:w w:val="91"/>
              </w:rPr>
            </w:pPr>
            <w:hyperlink w:anchor="page68">
              <w:r>
                <w:rPr>
                  <w:rFonts w:ascii="Arial" w:cs="Arial" w:eastAsia="Arial" w:hAnsi="Arial"/>
                  <w:sz w:val="18"/>
                  <w:szCs w:val="18"/>
                  <w:color w:val="0000FF"/>
                  <w:w w:val="91"/>
                </w:rPr>
                <w:t>Certification of Chief Financial Officer pursuant to Rule 13a-14 of the Securities Exchange Act of 1934, as adopted pursuant to Section 302</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Borders>
              <w:top w:val="single" w:sz="8" w:color="0000FF"/>
            </w:tcBorders>
            <w:gridSpan w:val="21"/>
          </w:tcPr>
          <w:p>
            <w:pPr>
              <w:spacing w:after="0"/>
              <w:rPr>
                <w:rFonts w:ascii="Arial" w:cs="Arial" w:eastAsia="Arial" w:hAnsi="Arial"/>
                <w:sz w:val="18"/>
                <w:szCs w:val="18"/>
                <w:color w:val="0000FF"/>
              </w:rPr>
            </w:pPr>
            <w:hyperlink w:anchor="page68">
              <w:r>
                <w:rPr>
                  <w:rFonts w:ascii="Arial" w:cs="Arial" w:eastAsia="Arial" w:hAnsi="Arial"/>
                  <w:sz w:val="18"/>
                  <w:szCs w:val="18"/>
                  <w:color w:val="0000FF"/>
                </w:rPr>
                <w:t>of the Sarbanes-Oxley Act of 2002 (filed herewith)</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700" w:type="dxa"/>
            <w:vAlign w:val="bottom"/>
            <w:gridSpan w:val="4"/>
          </w:tcPr>
          <w:p>
            <w:pPr>
              <w:ind w:left="20"/>
              <w:spacing w:after="0"/>
              <w:rPr>
                <w:rFonts w:ascii="Arial" w:cs="Arial" w:eastAsia="Arial" w:hAnsi="Arial"/>
                <w:sz w:val="18"/>
                <w:szCs w:val="18"/>
                <w:color w:val="0000FF"/>
              </w:rPr>
            </w:pPr>
            <w:hyperlink w:anchor="page70">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1"/>
          </w:tcPr>
          <w:p>
            <w:pPr>
              <w:spacing w:after="0"/>
              <w:rPr>
                <w:rFonts w:ascii="Arial" w:cs="Arial" w:eastAsia="Arial" w:hAnsi="Arial"/>
                <w:sz w:val="18"/>
                <w:szCs w:val="18"/>
                <w:color w:val="0000FF"/>
                <w:w w:val="92"/>
              </w:rPr>
            </w:pPr>
            <w:hyperlink w:anchor="page70">
              <w:r>
                <w:rPr>
                  <w:rFonts w:ascii="Arial" w:cs="Arial" w:eastAsia="Arial" w:hAnsi="Arial"/>
                  <w:sz w:val="18"/>
                  <w:szCs w:val="18"/>
                  <w:color w:val="0000FF"/>
                  <w:w w:val="92"/>
                </w:rPr>
                <w:t>Certification of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tcBorders>
              <w:top w:val="single" w:sz="8" w:color="0000FF"/>
            </w:tcBorders>
            <w:gridSpan w:val="21"/>
          </w:tcPr>
          <w:p>
            <w:pPr>
              <w:spacing w:after="0"/>
              <w:rPr>
                <w:rFonts w:ascii="Arial" w:cs="Arial" w:eastAsia="Arial" w:hAnsi="Arial"/>
                <w:sz w:val="18"/>
                <w:szCs w:val="18"/>
                <w:color w:val="0000FF"/>
              </w:rPr>
            </w:pPr>
            <w:hyperlink w:anchor="page70">
              <w:r>
                <w:rPr>
                  <w:rFonts w:ascii="Arial" w:cs="Arial" w:eastAsia="Arial" w:hAnsi="Arial"/>
                  <w:sz w:val="18"/>
                  <w:szCs w:val="18"/>
                  <w:color w:val="0000FF"/>
                </w:rPr>
                <w:t>of 2002 (filed herewith)</w:t>
              </w:r>
            </w:hyperlink>
          </w:p>
        </w:tc>
        <w:tc>
          <w:tcPr>
            <w:tcW w:w="0" w:type="dxa"/>
            <w:vAlign w:val="bottom"/>
          </w:tcPr>
          <w:p>
            <w:pPr>
              <w:spacing w:after="0"/>
              <w:rPr>
                <w:sz w:val="1"/>
                <w:szCs w:val="1"/>
                <w:color w:val="auto"/>
              </w:rPr>
            </w:pPr>
          </w:p>
        </w:tc>
      </w:tr>
      <w:tr>
        <w:trPr>
          <w:trHeight w:val="20"/>
        </w:trPr>
        <w:tc>
          <w:tcPr>
            <w:tcW w:w="7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20" w:type="dxa"/>
            <w:vAlign w:val="bottom"/>
            <w:gridSpan w:val="4"/>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7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hyperlink>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0"/>
          </w:tcPr>
          <w:p>
            <w:pPr>
              <w:spacing w:after="0"/>
              <w:rPr>
                <w:rFonts w:ascii="Arial" w:cs="Arial" w:eastAsia="Arial" w:hAnsi="Arial"/>
                <w:sz w:val="18"/>
                <w:szCs w:val="18"/>
                <w:color w:val="0000FF"/>
                <w:w w:val="92"/>
              </w:rPr>
            </w:pPr>
            <w:hyperlink w:anchor="page71">
              <w:r>
                <w:rPr>
                  <w:rFonts w:ascii="Arial" w:cs="Arial" w:eastAsia="Arial" w:hAnsi="Arial"/>
                  <w:sz w:val="18"/>
                  <w:szCs w:val="18"/>
                  <w:color w:val="0000FF"/>
                  <w:w w:val="92"/>
                </w:rPr>
                <w:t>Certification of Chief Financial Officer pursuant to 18 U.S.C. Section 1350, as adopted pursuant to section 906 of the Sarbanes-Oxley Act</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140" w:type="dxa"/>
            <w:vAlign w:val="bottom"/>
            <w:gridSpan w:val="21"/>
          </w:tcPr>
          <w:p>
            <w:pPr>
              <w:spacing w:after="0"/>
              <w:rPr>
                <w:rFonts w:ascii="Arial" w:cs="Arial" w:eastAsia="Arial" w:hAnsi="Arial"/>
                <w:sz w:val="18"/>
                <w:szCs w:val="18"/>
                <w:color w:val="0000FF"/>
              </w:rPr>
            </w:pPr>
            <w:hyperlink w:anchor="page71">
              <w:r>
                <w:rPr>
                  <w:rFonts w:ascii="Arial" w:cs="Arial" w:eastAsia="Arial" w:hAnsi="Arial"/>
                  <w:sz w:val="18"/>
                  <w:szCs w:val="18"/>
                  <w:color w:val="0000FF"/>
                </w:rPr>
                <w:t>of 2002 (filed herewith)</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20"/>
        <w:spacing w:after="0"/>
        <w:rPr>
          <w:sz w:val="20"/>
          <w:szCs w:val="20"/>
          <w:color w:val="auto"/>
        </w:rPr>
      </w:pPr>
      <w:r>
        <w:rPr>
          <w:rFonts w:ascii="Arial" w:cs="Arial" w:eastAsia="Arial" w:hAnsi="Arial"/>
          <w:sz w:val="12"/>
          <w:szCs w:val="12"/>
          <w:color w:val="auto"/>
        </w:rPr>
        <w:t>(1)</w:t>
      </w:r>
    </w:p>
    <w:p>
      <w:pPr>
        <w:ind w:left="1100" w:right="20"/>
        <w:spacing w:after="0" w:line="274" w:lineRule="auto"/>
        <w:rPr>
          <w:sz w:val="20"/>
          <w:szCs w:val="20"/>
          <w:color w:val="auto"/>
        </w:rPr>
      </w:pPr>
      <w:r>
        <w:rPr>
          <w:rFonts w:ascii="Arial" w:cs="Arial" w:eastAsia="Arial" w:hAnsi="Arial"/>
          <w:sz w:val="18"/>
          <w:szCs w:val="18"/>
          <w:color w:val="auto"/>
        </w:rPr>
        <w:t>Previously filed in connection with the Pre-Effective Amendment No. 1 to Logan Ridge Finance Corporation’s registration statement on Form N-2 (File No. 333-188956) filed on September 9, 2013.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(2)</w:t>
      </w:r>
    </w:p>
    <w:p>
      <w:pPr>
        <w:ind w:left="1100" w:right="20"/>
        <w:spacing w:after="0" w:line="274" w:lineRule="auto"/>
        <w:rPr>
          <w:sz w:val="20"/>
          <w:szCs w:val="20"/>
          <w:color w:val="auto"/>
        </w:rPr>
      </w:pPr>
      <w:r>
        <w:rPr>
          <w:rFonts w:ascii="Arial" w:cs="Arial" w:eastAsia="Arial" w:hAnsi="Arial"/>
          <w:sz w:val="18"/>
          <w:szCs w:val="18"/>
          <w:color w:val="auto"/>
        </w:rPr>
        <w:t>Previously filed in connection with Pre-Effective Amendment No. 2 to Logan Ridge Finance Corporation’s registration statement on Form N-2 (File No. 333-188956) filed on September 17, 2013.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(3)</w:t>
      </w:r>
    </w:p>
    <w:p>
      <w:pPr>
        <w:ind w:left="1100" w:right="20"/>
        <w:spacing w:after="0" w:line="274" w:lineRule="auto"/>
        <w:rPr>
          <w:sz w:val="20"/>
          <w:szCs w:val="20"/>
          <w:color w:val="auto"/>
        </w:rPr>
      </w:pPr>
      <w:r>
        <w:rPr>
          <w:rFonts w:ascii="Arial" w:cs="Arial" w:eastAsia="Arial" w:hAnsi="Arial"/>
          <w:sz w:val="18"/>
          <w:szCs w:val="18"/>
          <w:color w:val="auto"/>
        </w:rPr>
        <w:t>Previously filed in connection with Pre-Effective Amendment No. 5 to Logan Ridge Finance Corporation’s registration statement on Form N-2 (File No. 333-188956) filed on September 24, 2013.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2"/>
          <w:szCs w:val="12"/>
          <w:color w:val="auto"/>
        </w:rPr>
        <w:t>(4)</w:t>
      </w:r>
    </w:p>
    <w:p>
      <w:pPr>
        <w:ind w:left="1100"/>
        <w:spacing w:after="0"/>
        <w:rPr>
          <w:sz w:val="20"/>
          <w:szCs w:val="20"/>
          <w:color w:val="auto"/>
        </w:rPr>
      </w:pPr>
      <w:r>
        <w:rPr>
          <w:rFonts w:ascii="Arial" w:cs="Arial" w:eastAsia="Arial" w:hAnsi="Arial"/>
          <w:sz w:val="18"/>
          <w:szCs w:val="18"/>
          <w:color w:val="auto"/>
        </w:rPr>
        <w:t>Previously filed in connection with Logan Ridge Finance Corporation's report on Form 8-K on August 4, 2020.</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74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10, 2021</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Ted Goldthorpe</w:t>
            </w:r>
          </w:p>
        </w:tc>
      </w:tr>
      <w:tr>
        <w:trPr>
          <w:trHeight w:val="243"/>
        </w:trPr>
        <w:tc>
          <w:tcPr>
            <w:tcW w:w="37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Ted Goldthorpe</w:t>
            </w:r>
          </w:p>
        </w:tc>
      </w:tr>
      <w:tr>
        <w:trPr>
          <w:trHeight w:val="257"/>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r>
      <w:tr>
        <w:trPr>
          <w:trHeight w:val="257"/>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256"/>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Logan Ridge Finance Corporation</w:t>
            </w:r>
          </w:p>
        </w:tc>
      </w:tr>
      <w:tr>
        <w:trPr>
          <w:trHeight w:val="520"/>
        </w:trPr>
        <w:tc>
          <w:tcPr>
            <w:tcW w:w="3720" w:type="dxa"/>
            <w:vAlign w:val="bottom"/>
          </w:tcPr>
          <w:p>
            <w:pPr>
              <w:ind w:left="20"/>
              <w:spacing w:after="0"/>
              <w:rPr>
                <w:sz w:val="20"/>
                <w:szCs w:val="20"/>
                <w:color w:val="auto"/>
              </w:rPr>
            </w:pPr>
            <w:r>
              <w:rPr>
                <w:rFonts w:ascii="Arial" w:cs="Arial" w:eastAsia="Arial" w:hAnsi="Arial"/>
                <w:sz w:val="18"/>
                <w:szCs w:val="18"/>
                <w:color w:val="auto"/>
              </w:rPr>
              <w:t>Date: November 10, 2021</w:t>
            </w:r>
          </w:p>
        </w:tc>
        <w:tc>
          <w:tcPr>
            <w:tcW w:w="2380" w:type="dxa"/>
            <w:vAlign w:val="bottom"/>
          </w:tcPr>
          <w:p>
            <w:pPr>
              <w:ind w:left="202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Roos</w:t>
            </w:r>
          </w:p>
        </w:tc>
      </w:tr>
      <w:tr>
        <w:trPr>
          <w:trHeight w:val="243"/>
        </w:trPr>
        <w:tc>
          <w:tcPr>
            <w:tcW w:w="37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Jason Roos</w:t>
            </w:r>
          </w:p>
        </w:tc>
      </w:tr>
      <w:tr>
        <w:trPr>
          <w:trHeight w:val="257"/>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56"/>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r>
        <w:trPr>
          <w:trHeight w:val="257"/>
        </w:trPr>
        <w:tc>
          <w:tcPr>
            <w:tcW w:w="3720" w:type="dxa"/>
            <w:vAlign w:val="bottom"/>
          </w:tcPr>
          <w:p>
            <w:pPr>
              <w:spacing w:after="0"/>
              <w:rPr>
                <w:sz w:val="22"/>
                <w:szCs w:val="22"/>
                <w:color w:val="auto"/>
              </w:rPr>
            </w:pPr>
          </w:p>
        </w:tc>
        <w:tc>
          <w:tcPr>
            <w:tcW w:w="238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Logan Ridge Finance Corporation</w:t>
            </w:r>
          </w:p>
        </w:tc>
      </w:tr>
      <w:tr>
        <w:trPr>
          <w:trHeight w:val="688"/>
        </w:trPr>
        <w:tc>
          <w:tcPr>
            <w:tcW w:w="3720" w:type="dxa"/>
            <w:vAlign w:val="bottom"/>
          </w:tcPr>
          <w:p>
            <w:pPr>
              <w:spacing w:after="0"/>
              <w:rPr>
                <w:sz w:val="24"/>
                <w:szCs w:val="24"/>
                <w:color w:val="auto"/>
              </w:rPr>
            </w:pPr>
          </w:p>
        </w:tc>
        <w:tc>
          <w:tcPr>
            <w:tcW w:w="2380" w:type="dxa"/>
            <w:vAlign w:val="bottom"/>
          </w:tcPr>
          <w:p>
            <w:pPr>
              <w:jc w:val="right"/>
              <w:ind w:right="290"/>
              <w:spacing w:after="0"/>
              <w:rPr>
                <w:sz w:val="20"/>
                <w:szCs w:val="20"/>
                <w:color w:val="auto"/>
              </w:rPr>
            </w:pPr>
            <w:r>
              <w:rPr>
                <w:rFonts w:ascii="Arial" w:cs="Arial" w:eastAsia="Arial" w:hAnsi="Arial"/>
                <w:sz w:val="18"/>
                <w:szCs w:val="18"/>
                <w:color w:val="auto"/>
              </w:rPr>
              <w:t>65</w:t>
            </w:r>
          </w:p>
        </w:tc>
        <w:tc>
          <w:tcPr>
            <w:tcW w:w="514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5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CERTIFICATION OF CHIEF EXECUTIVE OFFICER PURSUANT TO RULE 13A-14 OF THE SECURITIES EXCHANGE ACT OF 1934, 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 Ted Goldthorpe, certify that:</w:t>
      </w:r>
    </w:p>
    <w:p>
      <w:pPr>
        <w:spacing w:after="0" w:line="266" w:lineRule="exact"/>
        <w:rPr>
          <w:sz w:val="20"/>
          <w:szCs w:val="20"/>
          <w:color w:val="auto"/>
        </w:rPr>
      </w:pPr>
    </w:p>
    <w:p>
      <w:pPr>
        <w:ind w:left="380" w:hanging="332"/>
        <w:spacing w:after="0"/>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Logan Ridge Finance Corporation;</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jc w:val="both"/>
        <w:ind w:left="380" w:right="20" w:hanging="332"/>
        <w:spacing w:after="0" w:line="279"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18"/>
          <w:szCs w:val="18"/>
          <w:color w:val="auto"/>
        </w:rPr>
      </w:pPr>
    </w:p>
    <w:p>
      <w:pPr>
        <w:ind w:left="380" w:right="20" w:hanging="332"/>
        <w:spacing w:after="0" w:line="324"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380" w:right="20" w:hanging="332"/>
        <w:spacing w:after="0" w:line="279"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380" w:right="20" w:hanging="332"/>
        <w:spacing w:after="0" w:line="324" w:lineRule="auto"/>
        <w:tabs>
          <w:tab w:leader="none" w:pos="3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620" w:right="20" w:hanging="789"/>
        <w:spacing w:after="0" w:line="359" w:lineRule="auto"/>
        <w:tabs>
          <w:tab w:leader="none" w:pos="16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6"/>
          <w:szCs w:val="16"/>
          <w:color w:val="auto"/>
        </w:rPr>
      </w:pPr>
    </w:p>
    <w:p>
      <w:pPr>
        <w:ind w:left="1620" w:right="20" w:hanging="789"/>
        <w:spacing w:after="0" w:line="293" w:lineRule="auto"/>
        <w:tabs>
          <w:tab w:leader="none" w:pos="16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Date: November 10, 2021</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Ted Goldthorpe</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 and President</w:t>
      </w:r>
    </w:p>
    <w:p>
      <w:pPr>
        <w:spacing w:after="0" w:line="73"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516255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0"/>
        <w:spacing w:after="0" w:line="281" w:lineRule="auto"/>
        <w:rPr>
          <w:sz w:val="20"/>
          <w:szCs w:val="20"/>
          <w:color w:val="auto"/>
        </w:rPr>
      </w:pPr>
      <w:r>
        <w:rPr>
          <w:rFonts w:ascii="Arial" w:cs="Arial" w:eastAsia="Arial" w:hAnsi="Arial"/>
          <w:sz w:val="18"/>
          <w:szCs w:val="18"/>
          <w:b w:val="1"/>
          <w:bCs w:val="1"/>
          <w:color w:val="auto"/>
        </w:rPr>
        <w:t>CERTIFICATION OF CHIEF FINANCIAL OFFICER PURSUANT TO RULE 13A-14 OF THE SECURITIES EXCHANGE ACT OF 1934, AS ADOPTED PURSUANT TO SECTION 302 OF THE SARBANES-OXLEY ACT OF 2002</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 Jason Roos, certify that:</w:t>
      </w:r>
    </w:p>
    <w:p>
      <w:pPr>
        <w:spacing w:after="0" w:line="266" w:lineRule="exact"/>
        <w:rPr>
          <w:sz w:val="20"/>
          <w:szCs w:val="20"/>
          <w:color w:val="auto"/>
        </w:rPr>
      </w:pPr>
    </w:p>
    <w:p>
      <w:pPr>
        <w:ind w:left="380" w:hanging="359"/>
        <w:spacing w:after="0"/>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Logan Ridge Finance Corporation;</w:t>
      </w:r>
    </w:p>
    <w:p>
      <w:pPr>
        <w:spacing w:after="0" w:line="279" w:lineRule="exact"/>
        <w:rPr>
          <w:rFonts w:ascii="Arial" w:cs="Arial" w:eastAsia="Arial" w:hAnsi="Arial"/>
          <w:sz w:val="18"/>
          <w:szCs w:val="18"/>
          <w:color w:val="auto"/>
        </w:rPr>
      </w:pPr>
    </w:p>
    <w:p>
      <w:pPr>
        <w:jc w:val="both"/>
        <w:ind w:left="380" w:right="20" w:hanging="359"/>
        <w:spacing w:after="0" w:line="27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3" w:lineRule="exact"/>
        <w:rPr>
          <w:rFonts w:ascii="Arial" w:cs="Arial" w:eastAsia="Arial" w:hAnsi="Arial"/>
          <w:sz w:val="18"/>
          <w:szCs w:val="18"/>
          <w:color w:val="auto"/>
        </w:rPr>
      </w:pPr>
    </w:p>
    <w:p>
      <w:pPr>
        <w:ind w:left="380" w:right="20" w:hanging="359"/>
        <w:spacing w:after="0" w:line="324"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Arial" w:cs="Arial" w:eastAsia="Arial" w:hAnsi="Arial"/>
          <w:sz w:val="17"/>
          <w:szCs w:val="17"/>
          <w:color w:val="auto"/>
        </w:rPr>
      </w:pPr>
    </w:p>
    <w:p>
      <w:pPr>
        <w:jc w:val="both"/>
        <w:ind w:left="380" w:right="20" w:hanging="359"/>
        <w:spacing w:after="0" w:line="279" w:lineRule="auto"/>
        <w:tabs>
          <w:tab w:leader="none" w:pos="3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Securities Exchange Act of 1934, as amended (the "Exchange Act") Rules 13a-15(e) and 15d-15(e)) and internal control over financial reporting (as defined in Exchange Act Rules 13a-15(f) and 15d-15(f)) for the registrant and have:</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23" w:lineRule="exact"/>
        <w:rPr>
          <w:rFonts w:ascii="Arial" w:cs="Arial" w:eastAsia="Arial" w:hAnsi="Arial"/>
          <w:sz w:val="18"/>
          <w:szCs w:val="18"/>
          <w:color w:val="auto"/>
        </w:rPr>
      </w:pPr>
    </w:p>
    <w:p>
      <w:pPr>
        <w:jc w:val="both"/>
        <w:ind w:left="1620" w:right="20" w:hanging="789"/>
        <w:spacing w:after="0" w:line="279"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3" w:lineRule="exact"/>
        <w:rPr>
          <w:rFonts w:ascii="Arial" w:cs="Arial" w:eastAsia="Arial" w:hAnsi="Arial"/>
          <w:sz w:val="18"/>
          <w:szCs w:val="18"/>
          <w:color w:val="auto"/>
        </w:rPr>
      </w:pPr>
    </w:p>
    <w:p>
      <w:pPr>
        <w:ind w:left="380" w:right="20" w:hanging="359"/>
        <w:spacing w:after="0" w:line="324" w:lineRule="auto"/>
        <w:tabs>
          <w:tab w:leader="none" w:pos="3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7" w:lineRule="exact"/>
        <w:rPr>
          <w:rFonts w:ascii="Arial" w:cs="Arial" w:eastAsia="Arial" w:hAnsi="Arial"/>
          <w:sz w:val="17"/>
          <w:szCs w:val="17"/>
          <w:color w:val="auto"/>
        </w:rPr>
      </w:pPr>
    </w:p>
    <w:p>
      <w:pPr>
        <w:ind w:left="1620" w:right="20" w:hanging="789"/>
        <w:spacing w:after="0" w:line="359" w:lineRule="auto"/>
        <w:tabs>
          <w:tab w:leader="none" w:pos="16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5" w:lineRule="exact"/>
        <w:rPr>
          <w:rFonts w:ascii="Arial" w:cs="Arial" w:eastAsia="Arial" w:hAnsi="Arial"/>
          <w:sz w:val="16"/>
          <w:szCs w:val="16"/>
          <w:color w:val="auto"/>
        </w:rPr>
      </w:pPr>
    </w:p>
    <w:p>
      <w:pPr>
        <w:ind w:left="1620" w:right="20" w:hanging="789"/>
        <w:spacing w:after="0" w:line="293" w:lineRule="auto"/>
        <w:tabs>
          <w:tab w:leader="none" w:pos="1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763905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Date: November 10, 2021</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Jason Roos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385445</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PURSUANT TO 18 U.S.C. SECTION 1350, AS ADOPTED</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51"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8"/>
          <w:szCs w:val="18"/>
          <w:color w:val="auto"/>
        </w:rPr>
        <w:t>I, Ted Goldthorpe, Chief Executive Officer and President, in connection with the Quarterly Report of Logan Ridge Finance Corporation (the “Company”) on Form 10-Q for the quarterly period ended September 30, 2021, as filed with the U.S. Securities and Exchange Commission on the date hereof (the “Quarterly Report”), certify, pursuant to Section 906 of the Sarbanes-Oxley Act of 2002, that:</w:t>
      </w:r>
    </w:p>
    <w:p>
      <w:pPr>
        <w:spacing w:after="0" w:line="210" w:lineRule="exact"/>
        <w:rPr>
          <w:sz w:val="20"/>
          <w:szCs w:val="20"/>
          <w:color w:val="auto"/>
        </w:rPr>
      </w:pPr>
    </w:p>
    <w:p>
      <w:pPr>
        <w:ind w:left="1620" w:right="20" w:hanging="789"/>
        <w:spacing w:after="0" w:line="29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1620" w:right="20" w:hanging="789"/>
        <w:spacing w:after="0" w:line="293"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Ted Goldthorpe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Ted Goldthorpe</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President</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95" w:lineRule="exact"/>
        <w:rPr>
          <w:sz w:val="20"/>
          <w:szCs w:val="20"/>
          <w:color w:val="auto"/>
        </w:rPr>
      </w:pPr>
    </w:p>
    <w:p>
      <w:pPr>
        <w:jc w:val="both"/>
        <w:ind w:firstLine="374"/>
        <w:spacing w:after="0" w:line="279" w:lineRule="auto"/>
        <w:rPr>
          <w:sz w:val="20"/>
          <w:szCs w:val="20"/>
          <w:color w:val="auto"/>
        </w:rPr>
      </w:pPr>
      <w:r>
        <w:rPr>
          <w:rFonts w:ascii="Arial" w:cs="Arial" w:eastAsia="Arial" w:hAnsi="Arial"/>
          <w:sz w:val="18"/>
          <w:szCs w:val="18"/>
          <w:color w:val="auto"/>
        </w:rPr>
        <w:t>I, Jason Roos, Chief Financial Officer, in connection with the Quarterly Report of Logan Ridge Finance Corporation (the “Company”) on Form 10-Q for the quarterly period ended September 30, 2021, as filed with the U.S. Securities and Exchange Commission on the date hereof (the “Quarterly Report”), certify, pursuant to Section 906 of the Sarbanes-Oxley Act of 2002, that:</w:t>
      </w:r>
    </w:p>
    <w:p>
      <w:pPr>
        <w:spacing w:after="0" w:line="210" w:lineRule="exact"/>
        <w:rPr>
          <w:sz w:val="20"/>
          <w:szCs w:val="20"/>
          <w:color w:val="auto"/>
        </w:rPr>
      </w:pPr>
    </w:p>
    <w:p>
      <w:pPr>
        <w:ind w:left="1620" w:right="20" w:hanging="789"/>
        <w:spacing w:after="0" w:line="29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Quarterly Report fully complies with the requirements of Section 13(a) or 15(d) of the Securities Exchange Act of 1934, as amended; and</w:t>
      </w:r>
    </w:p>
    <w:p>
      <w:pPr>
        <w:spacing w:after="0" w:line="210" w:lineRule="exact"/>
        <w:rPr>
          <w:rFonts w:ascii="Arial" w:cs="Arial" w:eastAsia="Arial" w:hAnsi="Arial"/>
          <w:sz w:val="18"/>
          <w:szCs w:val="18"/>
          <w:color w:val="auto"/>
        </w:rPr>
      </w:pPr>
    </w:p>
    <w:p>
      <w:pPr>
        <w:ind w:left="1620" w:right="20" w:hanging="789"/>
        <w:spacing w:after="0" w:line="293"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Jason Roos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Jason Roos</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Financial Officer)</w:t>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Logan Ridge Finance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x"/>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1"/>
    </w:lvl>
  </w:abstractNum>
  <w:abstractNum w:abstractNumId="5">
    <w:nsid w:val="62BBD95A"/>
    <w:multiLevelType w:val="hybridMultilevel"/>
    <w:lvl w:ilvl="0">
      <w:lvlJc w:val="left"/>
      <w:lvlText w:val="(%1)"/>
      <w:numFmt w:val="decimal"/>
      <w:start w:val="5"/>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1)"/>
      <w:numFmt w:val="decimal"/>
      <w:start w:val="2"/>
    </w:lvl>
  </w:abstractNum>
  <w:abstractNum w:abstractNumId="8">
    <w:nsid w:val="333AB105"/>
    <w:multiLevelType w:val="hybridMultilevel"/>
    <w:lvl w:ilvl="0">
      <w:lvlJc w:val="left"/>
      <w:lvlText w:val="%1"/>
      <w:numFmt w:val="upperLetter"/>
      <w:start w:val="35"/>
    </w:lvl>
  </w:abstractNum>
  <w:abstractNum w:abstractNumId="9">
    <w:nsid w:val="721DA317"/>
    <w:multiLevelType w:val="hybridMultilevel"/>
    <w:lvl w:ilvl="0">
      <w:lvlJc w:val="left"/>
      <w:lvlText w:val="\emdash "/>
      <w:numFmt w:val="bullet"/>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4"/>
    </w:lvl>
  </w:abstractNum>
  <w:abstractNum w:abstractNumId="25">
    <w:nsid w:val="8138641"/>
    <w:multiLevelType w:val="hybridMultilevel"/>
    <w:lvl w:ilvl="0">
      <w:lvlJc w:val="left"/>
      <w:lvlText w:val="%1"/>
      <w:numFmt w:val="upperLetter"/>
      <w:start w:val="35"/>
    </w:lvl>
  </w:abstractNum>
  <w:abstractNum w:abstractNumId="26">
    <w:nsid w:val="1E7FF521"/>
    <w:multiLevelType w:val="hybridMultilevel"/>
    <w:lvl w:ilvl="0">
      <w:lvlJc w:val="left"/>
      <w:lvlText w:val="\emdash "/>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ldblquote"/>
      <w:numFmt w:val="bullet"/>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700" Type="http://schemas.openxmlformats.org/officeDocument/2006/relationships/image" Target="media/image685.png"/><Relationship Id="rId701" Type="http://schemas.openxmlformats.org/officeDocument/2006/relationships/image" Target="media/image686.png"/><Relationship Id="rId702" Type="http://schemas.openxmlformats.org/officeDocument/2006/relationships/image" Target="media/image687.png"/><Relationship Id="rId703" Type="http://schemas.openxmlformats.org/officeDocument/2006/relationships/image" Target="media/image688.png"/><Relationship Id="rId704" Type="http://schemas.openxmlformats.org/officeDocument/2006/relationships/image" Target="media/image689.png"/><Relationship Id="rId705" Type="http://schemas.openxmlformats.org/officeDocument/2006/relationships/image" Target="media/image690.png"/><Relationship Id="rId706" Type="http://schemas.openxmlformats.org/officeDocument/2006/relationships/image" Target="media/image691.png"/><Relationship Id="rId707" Type="http://schemas.openxmlformats.org/officeDocument/2006/relationships/image" Target="media/image692.png"/><Relationship Id="rId708" Type="http://schemas.openxmlformats.org/officeDocument/2006/relationships/image" Target="media/image693.png"/><Relationship Id="rId709" Type="http://schemas.openxmlformats.org/officeDocument/2006/relationships/image" Target="media/image694.png"/><Relationship Id="rId710" Type="http://schemas.openxmlformats.org/officeDocument/2006/relationships/image" Target="media/image695.png"/><Relationship Id="rId711" Type="http://schemas.openxmlformats.org/officeDocument/2006/relationships/image" Target="media/image696.png"/><Relationship Id="rId712" Type="http://schemas.openxmlformats.org/officeDocument/2006/relationships/image" Target="media/image697.png"/><Relationship Id="rId692" Type="http://schemas.openxmlformats.org/officeDocument/2006/relationships/hyperlink" Target="https://www.sec.gov/Archives/edgar/data/1221483/000119312513361263/d505298dex99a1.htm" TargetMode="External"/><Relationship Id="rId693" Type="http://schemas.openxmlformats.org/officeDocument/2006/relationships/hyperlink" Target="https://www.sec.gov/Archives/edgar/data/1571329/000110465920090336/tm2026478d1_ex3-1.htm" TargetMode="External"/><Relationship Id="rId694" Type="http://schemas.openxmlformats.org/officeDocument/2006/relationships/hyperlink" Target="https://www.sec.gov/Archives/edgar/data/1221483/000119312513368161/d505298dex99a2.htm" TargetMode="External"/><Relationship Id="rId695" Type="http://schemas.openxmlformats.org/officeDocument/2006/relationships/hyperlink" Target="https://www.sec.gov/Archives/edgar/data/1221483/000119312513368161/d505298dex99a3.htm" TargetMode="External"/><Relationship Id="rId696" Type="http://schemas.openxmlformats.org/officeDocument/2006/relationships/hyperlink" Target="https://www.sec.gov/Archives/edgar/data/1221483/000119312513361263/d505298dex99b1.htm" TargetMode="External"/><Relationship Id="rId697" Type="http://schemas.openxmlformats.org/officeDocument/2006/relationships/hyperlink" Target="https://www.sec.gov/Archives/edgar/data/1571329/000119312513376445/d505298dex99b2.htm" TargetMode="External"/><Relationship Id="rId698" Type="http://schemas.openxmlformats.org/officeDocument/2006/relationships/hyperlink" Target="https://www.sec.gov/Archives/edgar/data/1571329/000119312513376445/d505298dex99b3.htm" TargetMode="External"/><Relationship Id="rId699" Type="http://schemas.openxmlformats.org/officeDocument/2006/relationships/hyperlink" Target="https://www.sec.gov/Archives/edgar/data/1221483/000119312513361263/d505298dex99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2021-11-10T15:25:38Z</dcterms:created>
  <dcterms:modified xsi:type="dcterms:W3CDTF">2021-11-10T15:25:38Z</dcterms:modified>
</cp:coreProperties>
</file>