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2280" w:type="dxa"/>
            <w:vAlign w:val="bottom"/>
          </w:tcPr>
          <w:p>
            <w:pPr>
              <w:spacing w:after="0"/>
              <w:rPr>
                <w:sz w:val="18"/>
                <w:szCs w:val="18"/>
                <w:color w:val="auto"/>
              </w:rPr>
            </w:pPr>
          </w:p>
        </w:tc>
      </w:tr>
      <w:tr>
        <w:trPr>
          <w:trHeight w:val="216"/>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Commission</w:t>
            </w:r>
          </w:p>
        </w:tc>
        <w:tc>
          <w:tcPr>
            <w:tcW w:w="6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address of principal executive office, telephone number and</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File Number</w:t>
            </w: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Number</w:t>
            </w:r>
          </w:p>
        </w:tc>
      </w:tr>
      <w:tr>
        <w:trPr>
          <w:trHeight w:val="272"/>
        </w:trPr>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120" w:type="dxa"/>
            <w:vAlign w:val="bottom"/>
          </w:tcPr>
          <w:p>
            <w:pPr>
              <w:spacing w:after="0"/>
              <w:rPr>
                <w:sz w:val="23"/>
                <w:szCs w:val="23"/>
                <w:color w:val="auto"/>
              </w:rPr>
            </w:pPr>
          </w:p>
        </w:tc>
        <w:tc>
          <w:tcPr>
            <w:tcW w:w="6600" w:type="dxa"/>
            <w:vAlign w:val="bottom"/>
            <w:tcBorders>
              <w:top w:val="single" w:sz="8" w:color="auto"/>
            </w:tcBorders>
          </w:tcPr>
          <w:p>
            <w:pPr>
              <w:jc w:val="center"/>
              <w:spacing w:after="0" w:line="272" w:lineRule="exact"/>
              <w:rPr>
                <w:sz w:val="20"/>
                <w:szCs w:val="20"/>
                <w:color w:val="auto"/>
              </w:rPr>
            </w:pPr>
            <w:r>
              <w:rPr>
                <w:rFonts w:ascii="Arial" w:cs="Arial" w:eastAsia="Arial" w:hAnsi="Arial"/>
                <w:sz w:val="25"/>
                <w:szCs w:val="25"/>
                <w:b w:val="1"/>
                <w:bCs w:val="1"/>
                <w:color w:val="auto"/>
                <w:w w:val="93"/>
              </w:rPr>
              <w:t>Capitala Finance Corp.</w:t>
            </w:r>
          </w:p>
        </w:tc>
        <w:tc>
          <w:tcPr>
            <w:tcW w:w="120" w:type="dxa"/>
            <w:vAlign w:val="bottom"/>
          </w:tcPr>
          <w:p>
            <w:pPr>
              <w:spacing w:after="0"/>
              <w:rPr>
                <w:sz w:val="23"/>
                <w:szCs w:val="23"/>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90-0945675</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4201 Congress St., Suite 360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Charlotte, North Carolina 28209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State of Incorporation: Maryland</w:t>
            </w:r>
          </w:p>
        </w:tc>
        <w:tc>
          <w:tcPr>
            <w:tcW w:w="22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Telephone: (704) 376-5502</w:t>
            </w:r>
          </w:p>
        </w:tc>
        <w:tc>
          <w:tcPr>
            <w:tcW w:w="228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Each Class</w:t>
            </w:r>
          </w:p>
        </w:tc>
        <w:tc>
          <w:tcPr>
            <w:tcW w:w="3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Trading symbol(s)</w:t>
            </w: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191"/>
        </w:trPr>
        <w:tc>
          <w:tcPr>
            <w:tcW w:w="4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CPTA</w:t>
            </w:r>
          </w:p>
        </w:tc>
        <w:tc>
          <w:tcPr>
            <w:tcW w:w="120" w:type="dxa"/>
            <w:vAlign w:val="bottom"/>
          </w:tcPr>
          <w:p>
            <w:pPr>
              <w:spacing w:after="0"/>
              <w:rPr>
                <w:sz w:val="16"/>
                <w:szCs w:val="16"/>
                <w:color w:val="auto"/>
              </w:rPr>
            </w:pPr>
          </w:p>
        </w:tc>
        <w:tc>
          <w:tcPr>
            <w:tcW w:w="4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16"/>
        </w:trPr>
        <w:tc>
          <w:tcPr>
            <w:tcW w:w="4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5.75% Convertible Notes due 2022</w:t>
            </w:r>
          </w:p>
        </w:tc>
        <w:tc>
          <w:tcPr>
            <w:tcW w:w="3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CPTAG</w:t>
            </w: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4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6.00% Notes due 2022</w:t>
            </w:r>
          </w:p>
        </w:tc>
        <w:tc>
          <w:tcPr>
            <w:tcW w:w="3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CPTAL</w:t>
            </w: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2"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5720"/>
        <w:spacing w:after="0" w:line="207" w:lineRule="exact"/>
        <w:tabs>
          <w:tab w:leader="none" w:pos="7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4"/>
          <w:szCs w:val="24"/>
          <w:color w:val="auto"/>
        </w:rPr>
      </w:pPr>
    </w:p>
    <w:p>
      <w:pPr>
        <w:ind w:left="5720"/>
        <w:spacing w:after="0" w:line="207" w:lineRule="exact"/>
        <w:tabs>
          <w:tab w:leader="none" w:pos="7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6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1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20" w:type="dxa"/>
            <w:vAlign w:val="bottom"/>
          </w:tcPr>
          <w:p>
            <w:pPr>
              <w:ind w:left="10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783" w:right="239" w:bottom="1440" w:gutter="0" w:footer="0" w:header="0"/>
        </w:sectPr>
      </w:pP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5980" w:space="100"/>
            <w:col w:w="1200" w:space="720"/>
            <w:col w:w="220" w:space="140"/>
            <w:col w:w="3060"/>
          </w:cols>
          <w:pgMar w:left="240" w:top="783" w:right="239" w:bottom="1440"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of Capitala Finance Corp.’s common stock, $0.01 par value, outstanding as of August 2, 2019 was 16,130,669.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gridSpan w:val="10"/>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June 30, 2019 (unaudited) and December 31, 2018</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June 30, 2019 and 2018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Net Assets for the six months ended June 30, 2019 and 2018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six months ended June 30, 2019 and 2018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as of June 30, 2019 (unaudited) and December 31, 2018</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Notes to Consolidated Financial Statements as of June 30, 2019 (unaudited)</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55</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Quantitative and Qualitative Disclosures About Market Risk</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78</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4.</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79</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II.</w:t>
              </w:r>
            </w:hyperlink>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OTHER INFORMATION</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80</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Legal Proceedings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80</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1A.</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Risk Factors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80</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Defaults Upon Senior Securities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4.</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Mine Safety Disclosures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5.</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6.</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82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83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460" w:type="dxa"/>
            <w:vAlign w:val="bottom"/>
            <w:tcBorders>
              <w:top w:val="single" w:sz="8" w:color="CCEEFF"/>
              <w:bottom w:val="single" w:sz="8" w:color="auto"/>
            </w:tcBorders>
            <w:gridSpan w:val="12"/>
          </w:tcPr>
          <w:p>
            <w:pPr>
              <w:ind w:left="4500"/>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80" w:type="dxa"/>
            <w:vAlign w:val="bottom"/>
          </w:tcPr>
          <w:p>
            <w:pPr>
              <w:jc w:val="center"/>
              <w:ind w:left="311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80" w:type="dxa"/>
            <w:vAlign w:val="bottom"/>
          </w:tcPr>
          <w:p>
            <w:pPr>
              <w:jc w:val="center"/>
              <w:ind w:left="3130"/>
              <w:spacing w:after="0"/>
              <w:rPr>
                <w:sz w:val="20"/>
                <w:szCs w:val="20"/>
                <w:color w:val="auto"/>
              </w:rPr>
            </w:pPr>
            <w:r>
              <w:rPr>
                <w:rFonts w:ascii="Arial" w:cs="Arial" w:eastAsia="Arial" w:hAnsi="Arial"/>
                <w:sz w:val="18"/>
                <w:szCs w:val="18"/>
                <w:b w:val="1"/>
                <w:bCs w:val="1"/>
                <w:color w:val="auto"/>
                <w:w w:val="92"/>
              </w:rPr>
              <w:t>Capitala Finance Corp.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80" w:type="dxa"/>
            <w:vAlign w:val="bottom"/>
          </w:tcPr>
          <w:p>
            <w:pPr>
              <w:jc w:val="center"/>
              <w:ind w:left="311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tcPr>
          <w:p>
            <w:pPr>
              <w:jc w:val="center"/>
              <w:ind w:left="31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8"/>
              </w:rPr>
              <w:t>June 30, 2019</w:t>
            </w: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 (amortized cost of $260,927 and $280,114, respectively)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270,677</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Affiliate investments (amortized cost of $73,803 and $72,300,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89,505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 (amortized cost of $43,272 and $67,556, respectively)</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30,877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Total investments at fair value (amortized cost of $378,002 and $419,970, respectively)</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43,474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Deferred tax asset,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437,307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493,165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(net of deferred financing costs of $1,264 and $1,688, respectively)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148,736</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2022 Notes (net of deferred financing costs of $1,721 and $1,987,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73,279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 (net of deferred financing costs of $1,090 and $1,259, respectively)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50,998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Credit Facility (net of deferred financing costs of $828 and $983,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4,172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3,583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283,444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$0.01, 100,000,000 common shares authorized, 16,118,948 and 16,051,547 common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respectively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242,307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distributable loss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(88,605)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153,863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437,307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80" w:type="dxa"/>
            <w:vAlign w:val="bottom"/>
          </w:tcPr>
          <w:p>
            <w:pPr>
              <w:jc w:val="center"/>
              <w:ind w:left="31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180" w:type="dxa"/>
            <w:vAlign w:val="bottom"/>
            <w:tcBorders>
              <w:bottom w:val="single" w:sz="8" w:color="auto"/>
            </w:tcBorders>
          </w:tcPr>
          <w:p>
            <w:pPr>
              <w:jc w:val="center"/>
              <w:ind w:left="3110"/>
              <w:spacing w:after="0"/>
              <w:rPr>
                <w:sz w:val="20"/>
                <w:szCs w:val="20"/>
                <w:color w:val="auto"/>
              </w:rPr>
            </w:pPr>
            <w:r>
              <w:rPr>
                <w:rFonts w:ascii="Arial" w:cs="Arial" w:eastAsia="Arial" w:hAnsi="Arial"/>
                <w:sz w:val="18"/>
                <w:szCs w:val="18"/>
                <w:color w:val="auto"/>
                <w:w w:val="99"/>
              </w:rPr>
              <w:t>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60" w:type="dxa"/>
            <w:vAlign w:val="bottom"/>
            <w:gridSpan w:val="5"/>
          </w:tcPr>
          <w:p>
            <w:pPr>
              <w:jc w:val="center"/>
              <w:ind w:left="4350"/>
              <w:spacing w:after="0"/>
              <w:rPr>
                <w:sz w:val="20"/>
                <w:szCs w:val="20"/>
                <w:color w:val="auto"/>
              </w:rPr>
            </w:pPr>
            <w:r>
              <w:rPr>
                <w:rFonts w:ascii="Arial" w:cs="Arial" w:eastAsia="Arial" w:hAnsi="Arial"/>
                <w:sz w:val="18"/>
                <w:szCs w:val="18"/>
                <w:b w:val="1"/>
                <w:bCs w:val="1"/>
                <w:color w:val="auto"/>
                <w:w w:val="92"/>
              </w:rPr>
              <w:t>Capitala Finance Corp.</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20" w:type="dxa"/>
            <w:vAlign w:val="bottom"/>
            <w:gridSpan w:val="7"/>
          </w:tcPr>
          <w:p>
            <w:pPr>
              <w:jc w:val="center"/>
              <w:ind w:left="37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7"/>
          </w:tcPr>
          <w:p>
            <w:pPr>
              <w:jc w:val="center"/>
              <w:ind w:left="37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gridSpan w:val="5"/>
          </w:tcPr>
          <w:p>
            <w:pPr>
              <w:jc w:val="center"/>
              <w:ind w:left="43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100" w:type="dxa"/>
            <w:vAlign w:val="bottom"/>
            <w:gridSpan w:val="8"/>
          </w:tcPr>
          <w:p>
            <w:pPr>
              <w:ind w:left="60"/>
              <w:spacing w:after="0"/>
              <w:rPr>
                <w:sz w:val="20"/>
                <w:szCs w:val="20"/>
                <w:color w:val="auto"/>
              </w:rPr>
            </w:pPr>
            <w:r>
              <w:rPr>
                <w:rFonts w:ascii="Arial" w:cs="Arial" w:eastAsia="Arial" w:hAnsi="Arial"/>
                <w:sz w:val="18"/>
                <w:szCs w:val="18"/>
                <w:b w:val="1"/>
                <w:bCs w:val="1"/>
                <w:color w:val="auto"/>
                <w:w w:val="94"/>
              </w:rPr>
              <w:t>For the Three Months Ended June 30,</w:t>
            </w:r>
          </w:p>
        </w:tc>
        <w:tc>
          <w:tcPr>
            <w:tcW w:w="2880" w:type="dxa"/>
            <w:vAlign w:val="bottom"/>
            <w:gridSpan w:val="7"/>
          </w:tcPr>
          <w:p>
            <w:pPr>
              <w:ind w:left="80"/>
              <w:spacing w:after="0"/>
              <w:rPr>
                <w:sz w:val="20"/>
                <w:szCs w:val="20"/>
                <w:color w:val="auto"/>
              </w:rPr>
            </w:pPr>
            <w:r>
              <w:rPr>
                <w:rFonts w:ascii="Arial" w:cs="Arial" w:eastAsia="Arial" w:hAnsi="Arial"/>
                <w:sz w:val="18"/>
                <w:szCs w:val="18"/>
                <w:b w:val="1"/>
                <w:bCs w:val="1"/>
                <w:color w:val="auto"/>
                <w:w w:val="92"/>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7,541</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6,867</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14,826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4,680</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20,812</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Dividend income: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Base management fee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4,138</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2,129</w:t>
            </w: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incentive fee waiver</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Incentive fee waiver (See Note 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incentive fee waiver</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8,157</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2,276</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Net realized loss on investments</w:t>
            </w: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(20,924)</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25,093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3,021</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(9,708)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(13,984)</w:t>
            </w: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unrealized appreciation (depreciation) on investments</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Net realized and unrealized loss on investments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(32,472)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(36,824)</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0"/>
              </w:rPr>
              <w:t>Total net realized and unrealized gain (loss) on investments, net of taxes</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(33,166</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(37,452</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w w:val="97"/>
              </w:rPr>
              <w:t>NET INCREASE (DECREASE) IN NET ASSETS RESULTING FROM</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OPERATIONS</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(29,144)</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4,948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(29,295)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NET INCREASE (DECREASE) IN NET ASSETS PER SHARE</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RESULTING FROM OPERATIONS – BASIC (SEE NOTE 11)</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7"/>
              </w:rPr>
              <w:t>WEIGHTED AVERAGE COMMON STOCK OUTSTANDING – BASIC</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16,096,678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15,981,857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16,079,885</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15,970,599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NET INCREASE (DECREASE) IN NET ASSETS PER SHARE</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RESULTING FROM OPERATIONS – DILUTED (SEE NOTE 11)</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WEIGHTED AVERAGE COMMON STOCK OUTSTANDING -</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16,096,678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19,297,331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16,079,885</w:t>
            </w:r>
          </w:p>
        </w:tc>
        <w:tc>
          <w:tcPr>
            <w:tcW w:w="2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19,286,073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904"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80" w:type="dxa"/>
            <w:vAlign w:val="bottom"/>
            <w:gridSpan w:val="5"/>
          </w:tcPr>
          <w:p>
            <w:pPr>
              <w:ind w:left="680"/>
              <w:spacing w:after="0"/>
              <w:rPr>
                <w:sz w:val="20"/>
                <w:szCs w:val="20"/>
                <w:color w:val="auto"/>
              </w:rPr>
            </w:pPr>
            <w:r>
              <w:rPr>
                <w:rFonts w:ascii="Arial" w:cs="Arial" w:eastAsia="Arial" w:hAnsi="Arial"/>
                <w:sz w:val="18"/>
                <w:szCs w:val="18"/>
                <w:b w:val="1"/>
                <w:bCs w:val="1"/>
                <w:color w:val="auto"/>
              </w:rPr>
              <w:t>Common Stock</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 Paid</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9"/>
              </w:rPr>
              <w:t>Total Distributable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7"/>
              </w:rPr>
              <w:t>Number of Shares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Par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 Capital</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Earnings (Loss)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3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15,974,218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4,231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 on investments</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unrealized appreciation on investments</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21,994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Distributions to Shareholders: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Stock issued under dividend reinvestment plan</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20,472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Distributions declared</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(3,994)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15,994,690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16,084,143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(55,439)</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 on investments</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(17,395)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provision</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Distributions to Shareholders: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Stock issued under dividend reinvestment plan</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34,805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Distributions declared</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16,118,948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80" w:type="dxa"/>
            <w:vAlign w:val="bottom"/>
            <w:gridSpan w:val="5"/>
          </w:tcPr>
          <w:p>
            <w:pPr>
              <w:ind w:left="680"/>
              <w:spacing w:after="0"/>
              <w:rPr>
                <w:sz w:val="20"/>
                <w:szCs w:val="20"/>
                <w:color w:val="auto"/>
              </w:rPr>
            </w:pPr>
            <w:r>
              <w:rPr>
                <w:rFonts w:ascii="Arial" w:cs="Arial" w:eastAsia="Arial" w:hAnsi="Arial"/>
                <w:sz w:val="18"/>
                <w:szCs w:val="18"/>
                <w:b w:val="1"/>
                <w:bCs w:val="1"/>
                <w:color w:val="auto"/>
              </w:rPr>
              <w:t>Common Stock</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 Paid</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9"/>
              </w:rPr>
              <w:t>Total Distributable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7"/>
              </w:rPr>
              <w:t>Number of Shares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Par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 Capital</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Earnings (Loss)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3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15,951,231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241,027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8,669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 on investments</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unrealized appreciation on investments</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21,602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Distributions to Shareholders: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Stock issued under dividend reinvestment plan</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Distributions declared</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15,994,690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16,051,547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(51,274)</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8,157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 on investments</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provision</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Distributions to Shareholders: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Stock issued under dividend reinvestment plan</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67,401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Distributions declared</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(8,036)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16,118,948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60" w:type="dxa"/>
            <w:vAlign w:val="bottom"/>
          </w:tcPr>
          <w:p>
            <w:pPr>
              <w:jc w:val="center"/>
              <w:ind w:left="2950"/>
              <w:spacing w:after="0"/>
              <w:rPr>
                <w:sz w:val="20"/>
                <w:szCs w:val="20"/>
                <w:color w:val="auto"/>
              </w:rPr>
            </w:pPr>
            <w:r>
              <w:rPr>
                <w:rFonts w:ascii="Arial" w:cs="Arial" w:eastAsia="Arial" w:hAnsi="Arial"/>
                <w:sz w:val="18"/>
                <w:szCs w:val="18"/>
                <w:b w:val="1"/>
                <w:bCs w:val="1"/>
                <w:color w:val="auto"/>
                <w:w w:val="92"/>
              </w:rPr>
              <w:t>Capitala Finance Corp.</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60" w:type="dxa"/>
            <w:vAlign w:val="bottom"/>
          </w:tcPr>
          <w:p>
            <w:pPr>
              <w:jc w:val="center"/>
              <w:ind w:left="29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jc w:val="center"/>
              <w:ind w:left="293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60" w:type="dxa"/>
            <w:vAlign w:val="bottom"/>
          </w:tcPr>
          <w:p>
            <w:pPr>
              <w:jc w:val="center"/>
              <w:ind w:left="293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3040" w:type="dxa"/>
            <w:vAlign w:val="bottom"/>
            <w:gridSpan w:val="8"/>
          </w:tcPr>
          <w:p>
            <w:pPr>
              <w:ind w:left="240"/>
              <w:spacing w:after="0"/>
              <w:rPr>
                <w:sz w:val="20"/>
                <w:szCs w:val="20"/>
                <w:color w:val="auto"/>
              </w:rPr>
            </w:pPr>
            <w:r>
              <w:rPr>
                <w:rFonts w:ascii="Arial" w:cs="Arial" w:eastAsia="Arial" w:hAnsi="Arial"/>
                <w:sz w:val="18"/>
                <w:szCs w:val="18"/>
                <w:b w:val="1"/>
                <w:bCs w:val="1"/>
                <w:color w:val="auto"/>
                <w:w w:val="92"/>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Net increase (decrease) in net assets resulting from operations</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(29,295)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Adjustments to reconcile net increase (decrease) in net assets resulting from operations to net cash provided by</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Purchase of investments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(34,924)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and sales of investments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Net realized loss on investments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(appreciation) depreciation on investments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Payment-in-kind interest and dividends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original issue discount on investments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provision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and dividend receivable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Management and incentive fees payable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Arial" w:cs="Arial" w:eastAsia="Arial" w:hAnsi="Arial"/>
                <w:sz w:val="18"/>
                <w:szCs w:val="18"/>
                <w:color w:val="auto"/>
              </w:rPr>
              <w:t>Interest and financing fees payable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tcPr>
          <w:p>
            <w:pPr>
              <w:ind w:left="480"/>
              <w:spacing w:after="0"/>
              <w:rPr>
                <w:sz w:val="20"/>
                <w:szCs w:val="20"/>
                <w:color w:val="auto"/>
              </w:rPr>
            </w:pPr>
            <w:r>
              <w:rPr>
                <w:rFonts w:ascii="Arial" w:cs="Arial" w:eastAsia="Arial" w:hAnsi="Arial"/>
                <w:sz w:val="18"/>
                <w:szCs w:val="18"/>
                <w:color w:val="auto"/>
              </w:rPr>
              <w:t>Trade settlement payable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Paydowns on SBA debentures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Credit Facility</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Payments to Credit Facility</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to shareholders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Deferred financing fees paid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4,179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9,605</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39,295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31,221</w:t>
            </w: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43,474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40,826</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00" w:space="720"/>
            <w:col w:w="280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7,279</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TRANSACTIONS</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(5)</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Principal</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Non-control/non-affiliated investments - 175.9%</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4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Non-control/non-affiliated investments - United States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 Bridge Solutions,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IT Consulting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(11.4%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+ 9.0%,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12/4/22)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13,784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13,784</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13,784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3 Bridge Solutions,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IT Consulting</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Preferred Units (965 units, 8.0%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2"/>
                <w:szCs w:val="22"/>
                <w:color w:val="auto"/>
                <w:vertAlign w:val="superscript"/>
              </w:rPr>
              <w:t>(6)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1,090</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 Bridge Solutions,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IT Consulting</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Membership Units (39,000 units)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14,884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14,591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 Solutions,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(9.4%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12/18/22)</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Alternative Biomedical Solutions,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Healthcare</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(12.4%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12/18/22) </w:t>
            </w:r>
            <w:r>
              <w:rPr>
                <w:rFonts w:ascii="Arial" w:cs="Arial" w:eastAsia="Arial" w:hAnsi="Arial"/>
                <w:sz w:val="22"/>
                <w:szCs w:val="22"/>
                <w:color w:val="auto"/>
                <w:vertAlign w:val="superscript"/>
              </w:rPr>
              <w:t>(7)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10,282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Alternative Biomedical Solutions,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Membership Units (20,092 units)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13,911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10,393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American Clinical Solutions,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Healthcare</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(10.5%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2.0% PIK, Due 6/11/20) </w:t>
            </w:r>
            <w:r>
              <w:rPr>
                <w:rFonts w:ascii="Arial" w:cs="Arial" w:eastAsia="Arial" w:hAnsi="Arial"/>
                <w:sz w:val="23"/>
                <w:szCs w:val="23"/>
                <w:color w:val="auto"/>
                <w:vertAlign w:val="superscript"/>
              </w:rPr>
              <w:t>(8)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9,388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8,919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6,551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8,919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6,551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AmeriMark Direct,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(12.8%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Due 9/8/21)</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17,800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17,585</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17,518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17,585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17,518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Consumer Products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(14.4%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11/14/21) </w:t>
            </w:r>
            <w:r>
              <w:rPr>
                <w:rFonts w:ascii="Arial" w:cs="Arial" w:eastAsia="Arial" w:hAnsi="Arial"/>
                <w:sz w:val="22"/>
                <w:szCs w:val="22"/>
                <w:color w:val="auto"/>
                <w:vertAlign w:val="superscript"/>
              </w:rPr>
              <w:t>(7)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8,746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8,746</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8,746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BigMouth,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A Preferred Stock</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(350,000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9,157</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9,035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 Merchandise</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(9.9%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Retailer</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+ 7.5%,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11/7/20)</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3,654</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3,654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Home Repair Parts</w:t>
            </w: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Membership Units (14 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2,416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2,416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California Pizza Kitchen,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Restaurant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Second Lien Debt (12.5%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(3 month LIBOR + 10.0%,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8/23/23)</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4,915</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(5)</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Principal</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Chicken Soup for the Soul,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Multi-platform Media and</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(10.9%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+ 8.5%, 1.5%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12/13/20)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13,000</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CIS Secure Computing,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Government Services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(10.9%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+ 8.5%,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1.0% PIK, Due 9/14/22)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9,712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9,712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CIS Secure Computing, Inc.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Government 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Common Stock (46,163 shares)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10,712</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Sales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Subordinated Debt (9.0%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 PIK, Due 11/29/21)</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19,132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19,132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Sales &amp; Marketing</w:t>
            </w: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Common Stock (15,750 shares)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20,707</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Currency Capital,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Financial Services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(14.4%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month LIBOR + 12.0%, 0.5%</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Floor), 2.0% PIK, Due 1/2/20) </w:t>
            </w:r>
            <w:r>
              <w:rPr>
                <w:rFonts w:ascii="Arial" w:cs="Arial" w:eastAsia="Arial" w:hAnsi="Arial"/>
                <w:sz w:val="22"/>
                <w:szCs w:val="22"/>
                <w:color w:val="auto"/>
                <w:vertAlign w:val="superscript"/>
              </w:rPr>
              <w:t>(9)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16,530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16,530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Currency Capital,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Financial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Class A Preferred Units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(2,000,000 units) </w:t>
            </w:r>
            <w:r>
              <w:rPr>
                <w:rFonts w:ascii="Arial" w:cs="Arial" w:eastAsia="Arial" w:hAnsi="Arial"/>
                <w:sz w:val="23"/>
                <w:szCs w:val="23"/>
                <w:color w:val="auto"/>
                <w:vertAlign w:val="superscript"/>
              </w:rPr>
              <w:t>(9)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18,530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Food Product Manufacturer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(8.1% Cash (3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+ 5.8%,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4/3/20)</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5,789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5,755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Food Product Manufacturer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Second Lien Debt (12.3%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(3 month LIBOR + 10.0%,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10/3/21)</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11,843</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17,598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Freedom Electronics,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7"/>
              </w:rPr>
              <w:t>Electronic Machine Repair</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(9.1% Cash, Due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12/20/23) </w:t>
            </w:r>
            <w:r>
              <w:rPr>
                <w:rFonts w:ascii="Arial" w:cs="Arial" w:eastAsia="Arial" w:hAnsi="Arial"/>
                <w:sz w:val="22"/>
                <w:szCs w:val="22"/>
                <w:color w:val="auto"/>
                <w:vertAlign w:val="superscript"/>
              </w:rPr>
              <w:t>(7)(10)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5,970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5,970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Electronic Machine Repair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(181,818</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6,152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Installs,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Logistics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(9.4%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6/20/23)</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2,977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2,977</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2,977</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Jurassic Quest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Entertainment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(9.9%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month LIBOR + 7.5%, 2.0%</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Floor), Due 5/1/24) </w:t>
            </w:r>
            <w:r>
              <w:rPr>
                <w:rFonts w:ascii="Arial" w:cs="Arial" w:eastAsia="Arial" w:hAnsi="Arial"/>
                <w:sz w:val="22"/>
                <w:szCs w:val="22"/>
                <w:color w:val="auto"/>
                <w:vertAlign w:val="superscript"/>
              </w:rPr>
              <w:t>(10)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10,570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10,570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Jurassic Quest Holdings,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Entertainment</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Preferred Units (375,000 units,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8.0% PIK) </w:t>
            </w:r>
            <w:r>
              <w:rPr>
                <w:rFonts w:ascii="Arial" w:cs="Arial" w:eastAsia="Arial" w:hAnsi="Arial"/>
                <w:sz w:val="23"/>
                <w:szCs w:val="23"/>
                <w:color w:val="auto"/>
                <w:vertAlign w:val="superscript"/>
              </w:rPr>
              <w:t>(6)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(5)</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(9.4%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12/22/22)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(9.4%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12/22/22)</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4,168</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color w:val="auto"/>
              </w:rPr>
              <w:t>Nth Degree, Inc.</w:t>
            </w:r>
          </w:p>
        </w:tc>
        <w:tc>
          <w:tcPr>
            <w:tcW w:w="2340" w:type="dxa"/>
            <w:vAlign w:val="bottom"/>
          </w:tcPr>
          <w:p>
            <w:pPr>
              <w:ind w:left="700"/>
              <w:spacing w:after="0"/>
              <w:rPr>
                <w:sz w:val="20"/>
                <w:szCs w:val="20"/>
                <w:color w:val="auto"/>
              </w:rPr>
            </w:pPr>
            <w:r>
              <w:rPr>
                <w:rFonts w:ascii="Arial" w:cs="Arial" w:eastAsia="Arial" w:hAnsi="Arial"/>
                <w:sz w:val="14"/>
                <w:szCs w:val="14"/>
                <w:color w:val="auto"/>
              </w:rPr>
              <w:t>Business Services</w:t>
            </w:r>
          </w:p>
        </w:tc>
        <w:tc>
          <w:tcPr>
            <w:tcW w:w="2400" w:type="dxa"/>
            <w:vAlign w:val="bottom"/>
          </w:tcPr>
          <w:p>
            <w:pPr>
              <w:ind w:left="200"/>
              <w:spacing w:after="0"/>
              <w:rPr>
                <w:sz w:val="20"/>
                <w:szCs w:val="20"/>
                <w:color w:val="auto"/>
              </w:rPr>
            </w:pPr>
            <w:r>
              <w:rPr>
                <w:rFonts w:ascii="Arial" w:cs="Arial" w:eastAsia="Arial" w:hAnsi="Arial"/>
                <w:sz w:val="14"/>
                <w:szCs w:val="14"/>
                <w:color w:val="auto"/>
              </w:rPr>
              <w:t>First Lien Debt (13.9% Cash (1</w:t>
            </w:r>
          </w:p>
        </w:tc>
        <w:tc>
          <w:tcPr>
            <w:tcW w:w="680" w:type="dxa"/>
            <w:vAlign w:val="bottom"/>
          </w:tcPr>
          <w:p>
            <w:pPr>
              <w:spacing w:after="0"/>
              <w:rPr>
                <w:sz w:val="14"/>
                <w:szCs w:val="14"/>
                <w:color w:val="auto"/>
              </w:rPr>
            </w:pPr>
          </w:p>
        </w:tc>
      </w:tr>
      <w:tr>
        <w:trPr>
          <w:trHeight w:val="149"/>
        </w:trPr>
        <w:tc>
          <w:tcPr>
            <w:tcW w:w="29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month LIBOR + 11.5%, 1.0%</w:t>
            </w:r>
          </w:p>
        </w:tc>
        <w:tc>
          <w:tcPr>
            <w:tcW w:w="680" w:type="dxa"/>
            <w:vAlign w:val="bottom"/>
          </w:tcPr>
          <w:p>
            <w:pPr>
              <w:spacing w:after="0"/>
              <w:rPr>
                <w:sz w:val="12"/>
                <w:szCs w:val="12"/>
                <w:color w:val="auto"/>
              </w:rPr>
            </w:pPr>
          </w:p>
        </w:tc>
      </w:tr>
      <w:tr>
        <w:trPr>
          <w:trHeight w:val="158"/>
        </w:trPr>
        <w:tc>
          <w:tcPr>
            <w:tcW w:w="29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400" w:type="dxa"/>
            <w:vAlign w:val="bottom"/>
          </w:tcPr>
          <w:p>
            <w:pPr>
              <w:ind w:left="200"/>
              <w:spacing w:after="0" w:line="159" w:lineRule="exact"/>
              <w:rPr>
                <w:sz w:val="20"/>
                <w:szCs w:val="20"/>
                <w:color w:val="auto"/>
              </w:rPr>
            </w:pPr>
            <w:r>
              <w:rPr>
                <w:rFonts w:ascii="Arial" w:cs="Arial" w:eastAsia="Arial" w:hAnsi="Arial"/>
                <w:sz w:val="14"/>
                <w:szCs w:val="14"/>
                <w:color w:val="auto"/>
              </w:rPr>
              <w:t>Floor), 2.0% PIK, Due 3/29/23)</w:t>
            </w:r>
          </w:p>
        </w:tc>
        <w:tc>
          <w:tcPr>
            <w:tcW w:w="680" w:type="dxa"/>
            <w:vAlign w:val="bottom"/>
          </w:tcPr>
          <w:p>
            <w:pPr>
              <w:spacing w:after="0"/>
              <w:rPr>
                <w:sz w:val="13"/>
                <w:szCs w:val="13"/>
                <w:color w:val="auto"/>
              </w:rPr>
            </w:pPr>
          </w:p>
        </w:tc>
      </w:tr>
      <w:tr>
        <w:trPr>
          <w:trHeight w:val="186"/>
        </w:trPr>
        <w:tc>
          <w:tcPr>
            <w:tcW w:w="29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0" w:type="dxa"/>
            <w:vAlign w:val="bottom"/>
          </w:tcPr>
          <w:p>
            <w:pPr>
              <w:ind w:left="200"/>
              <w:spacing w:after="0"/>
              <w:rPr>
                <w:sz w:val="20"/>
                <w:szCs w:val="20"/>
                <w:color w:val="auto"/>
              </w:rPr>
            </w:pPr>
            <w:r>
              <w:rPr>
                <w:rFonts w:ascii="Arial" w:cs="Arial" w:eastAsia="Arial" w:hAnsi="Arial"/>
                <w:sz w:val="12"/>
                <w:szCs w:val="12"/>
                <w:color w:val="auto"/>
              </w:rPr>
              <w:t>(11)</w:t>
            </w:r>
          </w:p>
        </w:tc>
        <w:tc>
          <w:tcPr>
            <w:tcW w:w="680" w:type="dxa"/>
            <w:vAlign w:val="bottom"/>
          </w:tcPr>
          <w:p>
            <w:pPr>
              <w:jc w:val="right"/>
              <w:spacing w:after="0"/>
              <w:rPr>
                <w:sz w:val="20"/>
                <w:szCs w:val="20"/>
                <w:color w:val="auto"/>
              </w:rPr>
            </w:pPr>
            <w:r>
              <w:rPr>
                <w:rFonts w:ascii="Arial" w:cs="Arial" w:eastAsia="Arial" w:hAnsi="Arial"/>
                <w:sz w:val="14"/>
                <w:szCs w:val="14"/>
                <w:color w:val="auto"/>
              </w:rPr>
              <w:t>7,272</w:t>
            </w:r>
          </w:p>
        </w:tc>
      </w:tr>
      <w:tr>
        <w:trPr>
          <w:trHeight w:val="273"/>
        </w:trPr>
        <w:tc>
          <w:tcPr>
            <w:tcW w:w="2960" w:type="dxa"/>
            <w:vAlign w:val="bottom"/>
          </w:tcPr>
          <w:p>
            <w:pPr>
              <w:spacing w:after="0"/>
              <w:rPr>
                <w:sz w:val="20"/>
                <w:szCs w:val="20"/>
                <w:color w:val="auto"/>
              </w:rPr>
            </w:pPr>
            <w:r>
              <w:rPr>
                <w:rFonts w:ascii="Arial" w:cs="Arial" w:eastAsia="Arial" w:hAnsi="Arial"/>
                <w:sz w:val="14"/>
                <w:szCs w:val="14"/>
                <w:color w:val="auto"/>
              </w:rPr>
              <w:t>Nth Degree, Inc.</w:t>
            </w:r>
          </w:p>
        </w:tc>
        <w:tc>
          <w:tcPr>
            <w:tcW w:w="2340" w:type="dxa"/>
            <w:vAlign w:val="bottom"/>
          </w:tcPr>
          <w:p>
            <w:pPr>
              <w:ind w:left="700"/>
              <w:spacing w:after="0"/>
              <w:rPr>
                <w:sz w:val="20"/>
                <w:szCs w:val="20"/>
                <w:color w:val="auto"/>
              </w:rPr>
            </w:pPr>
            <w:r>
              <w:rPr>
                <w:rFonts w:ascii="Arial" w:cs="Arial" w:eastAsia="Arial" w:hAnsi="Arial"/>
                <w:sz w:val="14"/>
                <w:szCs w:val="14"/>
                <w:color w:val="auto"/>
              </w:rPr>
              <w:t>Business Services</w:t>
            </w:r>
          </w:p>
        </w:tc>
        <w:tc>
          <w:tcPr>
            <w:tcW w:w="2400" w:type="dxa"/>
            <w:vAlign w:val="bottom"/>
          </w:tcPr>
          <w:p>
            <w:pPr>
              <w:ind w:left="200"/>
              <w:spacing w:after="0"/>
              <w:rPr>
                <w:sz w:val="20"/>
                <w:szCs w:val="20"/>
                <w:color w:val="auto"/>
              </w:rPr>
            </w:pPr>
            <w:r>
              <w:rPr>
                <w:rFonts w:ascii="Arial" w:cs="Arial" w:eastAsia="Arial" w:hAnsi="Arial"/>
                <w:sz w:val="14"/>
                <w:szCs w:val="14"/>
                <w:color w:val="auto"/>
              </w:rPr>
              <w:t>Preferred Stock (2,400 Units,</w:t>
            </w:r>
          </w:p>
        </w:tc>
        <w:tc>
          <w:tcPr>
            <w:tcW w:w="680" w:type="dxa"/>
            <w:vAlign w:val="bottom"/>
          </w:tcPr>
          <w:p>
            <w:pPr>
              <w:spacing w:after="0"/>
              <w:rPr>
                <w:sz w:val="23"/>
                <w:szCs w:val="23"/>
                <w:color w:val="auto"/>
              </w:rPr>
            </w:pPr>
          </w:p>
        </w:tc>
      </w:tr>
      <w:tr>
        <w:trPr>
          <w:trHeight w:val="313"/>
        </w:trPr>
        <w:tc>
          <w:tcPr>
            <w:tcW w:w="2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 xml:space="preserve">10.0% PIK dividend) </w:t>
            </w:r>
            <w:r>
              <w:rPr>
                <w:rFonts w:ascii="Arial" w:cs="Arial" w:eastAsia="Arial" w:hAnsi="Arial"/>
                <w:sz w:val="23"/>
                <w:szCs w:val="23"/>
                <w:color w:val="auto"/>
                <w:vertAlign w:val="superscript"/>
              </w:rPr>
              <w:t>(6)</w:t>
            </w:r>
          </w:p>
        </w:tc>
        <w:tc>
          <w:tcPr>
            <w:tcW w:w="680" w:type="dxa"/>
            <w:vAlign w:val="bottom"/>
          </w:tcPr>
          <w:p>
            <w:pPr>
              <w:spacing w:after="0"/>
              <w:rPr>
                <w:sz w:val="24"/>
                <w:szCs w:val="24"/>
                <w:color w:val="auto"/>
              </w:rPr>
            </w:pPr>
          </w:p>
        </w:tc>
      </w:tr>
      <w:tr>
        <w:trPr>
          <w:trHeight w:val="514"/>
        </w:trPr>
        <w:tc>
          <w:tcPr>
            <w:tcW w:w="2960" w:type="dxa"/>
            <w:vAlign w:val="bottom"/>
          </w:tcPr>
          <w:p>
            <w:pPr>
              <w:spacing w:after="0"/>
              <w:rPr>
                <w:sz w:val="20"/>
                <w:szCs w:val="20"/>
                <w:color w:val="auto"/>
              </w:rPr>
            </w:pPr>
            <w:r>
              <w:rPr>
                <w:rFonts w:ascii="Arial" w:cs="Arial" w:eastAsia="Arial" w:hAnsi="Arial"/>
                <w:sz w:val="14"/>
                <w:szCs w:val="14"/>
                <w:color w:val="auto"/>
              </w:rPr>
              <w:t>Seitel, Inc.</w:t>
            </w:r>
          </w:p>
        </w:tc>
        <w:tc>
          <w:tcPr>
            <w:tcW w:w="2340" w:type="dxa"/>
            <w:vAlign w:val="bottom"/>
          </w:tcPr>
          <w:p>
            <w:pPr>
              <w:ind w:left="700"/>
              <w:spacing w:after="0"/>
              <w:rPr>
                <w:sz w:val="20"/>
                <w:szCs w:val="20"/>
                <w:color w:val="auto"/>
              </w:rPr>
            </w:pPr>
            <w:r>
              <w:rPr>
                <w:rFonts w:ascii="Arial" w:cs="Arial" w:eastAsia="Arial" w:hAnsi="Arial"/>
                <w:sz w:val="14"/>
                <w:szCs w:val="14"/>
                <w:color w:val="auto"/>
              </w:rPr>
              <w:t>Data Services</w:t>
            </w:r>
          </w:p>
        </w:tc>
        <w:tc>
          <w:tcPr>
            <w:tcW w:w="2400" w:type="dxa"/>
            <w:vAlign w:val="bottom"/>
          </w:tcPr>
          <w:p>
            <w:pPr>
              <w:ind w:left="200"/>
              <w:spacing w:after="0"/>
              <w:rPr>
                <w:sz w:val="20"/>
                <w:szCs w:val="20"/>
                <w:color w:val="auto"/>
              </w:rPr>
            </w:pPr>
            <w:r>
              <w:rPr>
                <w:rFonts w:ascii="Arial" w:cs="Arial" w:eastAsia="Arial" w:hAnsi="Arial"/>
                <w:sz w:val="14"/>
                <w:szCs w:val="14"/>
                <w:color w:val="auto"/>
              </w:rPr>
              <w:t>First Lien Debt (10.7% Cash (3</w:t>
            </w:r>
          </w:p>
        </w:tc>
        <w:tc>
          <w:tcPr>
            <w:tcW w:w="680" w:type="dxa"/>
            <w:vAlign w:val="bottom"/>
          </w:tcPr>
          <w:p>
            <w:pPr>
              <w:spacing w:after="0"/>
              <w:rPr>
                <w:sz w:val="24"/>
                <w:szCs w:val="24"/>
                <w:color w:val="auto"/>
              </w:rPr>
            </w:pPr>
          </w:p>
        </w:tc>
      </w:tr>
      <w:tr>
        <w:trPr>
          <w:trHeight w:val="149"/>
        </w:trPr>
        <w:tc>
          <w:tcPr>
            <w:tcW w:w="29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month LIBOR + 8.3%, 1.0%</w:t>
            </w:r>
          </w:p>
        </w:tc>
        <w:tc>
          <w:tcPr>
            <w:tcW w:w="680" w:type="dxa"/>
            <w:vAlign w:val="bottom"/>
          </w:tcPr>
          <w:p>
            <w:pPr>
              <w:spacing w:after="0"/>
              <w:rPr>
                <w:sz w:val="12"/>
                <w:szCs w:val="12"/>
                <w:color w:val="auto"/>
              </w:rPr>
            </w:pPr>
          </w:p>
        </w:tc>
      </w:tr>
      <w:tr>
        <w:trPr>
          <w:trHeight w:val="182"/>
        </w:trPr>
        <w:tc>
          <w:tcPr>
            <w:tcW w:w="29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Floor), Due 3/15/23)</w:t>
            </w:r>
          </w:p>
        </w:tc>
        <w:tc>
          <w:tcPr>
            <w:tcW w:w="680" w:type="dxa"/>
            <w:vAlign w:val="bottom"/>
          </w:tcPr>
          <w:p>
            <w:pPr>
              <w:jc w:val="right"/>
              <w:spacing w:after="0"/>
              <w:rPr>
                <w:sz w:val="20"/>
                <w:szCs w:val="20"/>
                <w:color w:val="auto"/>
              </w:rPr>
            </w:pPr>
            <w:r>
              <w:rPr>
                <w:rFonts w:ascii="Arial" w:cs="Arial" w:eastAsia="Arial" w:hAnsi="Arial"/>
                <w:sz w:val="14"/>
                <w:szCs w:val="14"/>
                <w:color w:val="auto"/>
              </w:rPr>
              <w:t>4,938</w:t>
            </w:r>
          </w:p>
        </w:tc>
      </w:tr>
      <w:tr>
        <w:trPr>
          <w:trHeight w:val="615"/>
        </w:trPr>
        <w:tc>
          <w:tcPr>
            <w:tcW w:w="2960" w:type="dxa"/>
            <w:vAlign w:val="bottom"/>
          </w:tcPr>
          <w:p>
            <w:pPr>
              <w:spacing w:after="0"/>
              <w:rPr>
                <w:sz w:val="20"/>
                <w:szCs w:val="20"/>
                <w:color w:val="auto"/>
              </w:rPr>
            </w:pPr>
            <w:r>
              <w:rPr>
                <w:rFonts w:ascii="Arial" w:cs="Arial" w:eastAsia="Arial" w:hAnsi="Arial"/>
                <w:sz w:val="14"/>
                <w:szCs w:val="14"/>
                <w:color w:val="auto"/>
              </w:rPr>
              <w:t>Sequoia Healthcare Management, LLC</w:t>
            </w:r>
          </w:p>
        </w:tc>
        <w:tc>
          <w:tcPr>
            <w:tcW w:w="2340" w:type="dxa"/>
            <w:vAlign w:val="bottom"/>
          </w:tcPr>
          <w:p>
            <w:pPr>
              <w:ind w:left="700"/>
              <w:spacing w:after="0"/>
              <w:rPr>
                <w:sz w:val="20"/>
                <w:szCs w:val="20"/>
                <w:color w:val="auto"/>
              </w:rPr>
            </w:pPr>
            <w:r>
              <w:rPr>
                <w:rFonts w:ascii="Arial" w:cs="Arial" w:eastAsia="Arial" w:hAnsi="Arial"/>
                <w:sz w:val="14"/>
                <w:szCs w:val="14"/>
                <w:color w:val="auto"/>
              </w:rPr>
              <w:t>Healthcare Management</w:t>
            </w:r>
          </w:p>
        </w:tc>
        <w:tc>
          <w:tcPr>
            <w:tcW w:w="2400" w:type="dxa"/>
            <w:vAlign w:val="bottom"/>
          </w:tcPr>
          <w:p>
            <w:pPr>
              <w:ind w:left="200"/>
              <w:spacing w:after="0"/>
              <w:rPr>
                <w:sz w:val="20"/>
                <w:szCs w:val="20"/>
                <w:color w:val="auto"/>
              </w:rPr>
            </w:pPr>
            <w:r>
              <w:rPr>
                <w:rFonts w:ascii="Arial" w:cs="Arial" w:eastAsia="Arial" w:hAnsi="Arial"/>
                <w:sz w:val="14"/>
                <w:szCs w:val="14"/>
                <w:color w:val="auto"/>
              </w:rPr>
              <w:t>First Lien Debt (12.9% Cash (1</w:t>
            </w:r>
          </w:p>
        </w:tc>
        <w:tc>
          <w:tcPr>
            <w:tcW w:w="680" w:type="dxa"/>
            <w:vAlign w:val="bottom"/>
          </w:tcPr>
          <w:p>
            <w:pPr>
              <w:spacing w:after="0"/>
              <w:rPr>
                <w:sz w:val="24"/>
                <w:szCs w:val="24"/>
                <w:color w:val="auto"/>
              </w:rPr>
            </w:pPr>
          </w:p>
        </w:tc>
      </w:tr>
      <w:tr>
        <w:trPr>
          <w:trHeight w:val="149"/>
        </w:trPr>
        <w:tc>
          <w:tcPr>
            <w:tcW w:w="29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month LIBOR + 10.5%, 1.8%</w:t>
            </w:r>
          </w:p>
        </w:tc>
        <w:tc>
          <w:tcPr>
            <w:tcW w:w="680" w:type="dxa"/>
            <w:vAlign w:val="bottom"/>
          </w:tcPr>
          <w:p>
            <w:pPr>
              <w:spacing w:after="0"/>
              <w:rPr>
                <w:sz w:val="12"/>
                <w:szCs w:val="12"/>
                <w:color w:val="auto"/>
              </w:rPr>
            </w:pPr>
          </w:p>
        </w:tc>
      </w:tr>
      <w:tr>
        <w:trPr>
          <w:trHeight w:val="182"/>
        </w:trPr>
        <w:tc>
          <w:tcPr>
            <w:tcW w:w="29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Floor), Due 8/21/23)</w:t>
            </w:r>
          </w:p>
        </w:tc>
        <w:tc>
          <w:tcPr>
            <w:tcW w:w="680" w:type="dxa"/>
            <w:vAlign w:val="bottom"/>
          </w:tcPr>
          <w:p>
            <w:pPr>
              <w:jc w:val="right"/>
              <w:spacing w:after="0"/>
              <w:rPr>
                <w:sz w:val="20"/>
                <w:szCs w:val="20"/>
                <w:color w:val="auto"/>
              </w:rPr>
            </w:pPr>
            <w:r>
              <w:rPr>
                <w:rFonts w:ascii="Arial" w:cs="Arial" w:eastAsia="Arial" w:hAnsi="Arial"/>
                <w:sz w:val="14"/>
                <w:szCs w:val="14"/>
                <w:color w:val="auto"/>
              </w:rPr>
              <w:t>13,277</w:t>
            </w:r>
          </w:p>
        </w:tc>
      </w:tr>
      <w:tr>
        <w:trPr>
          <w:trHeight w:val="615"/>
        </w:trPr>
        <w:tc>
          <w:tcPr>
            <w:tcW w:w="2960" w:type="dxa"/>
            <w:vAlign w:val="bottom"/>
          </w:tcPr>
          <w:p>
            <w:pPr>
              <w:spacing w:after="0"/>
              <w:rPr>
                <w:sz w:val="20"/>
                <w:szCs w:val="20"/>
                <w:color w:val="auto"/>
              </w:rPr>
            </w:pPr>
            <w:r>
              <w:rPr>
                <w:rFonts w:ascii="Arial" w:cs="Arial" w:eastAsia="Arial" w:hAnsi="Arial"/>
                <w:sz w:val="14"/>
                <w:szCs w:val="14"/>
                <w:color w:val="auto"/>
              </w:rPr>
              <w:t>Sunset Digital Holdings, LLC</w:t>
            </w:r>
          </w:p>
        </w:tc>
        <w:tc>
          <w:tcPr>
            <w:tcW w:w="2340" w:type="dxa"/>
            <w:vAlign w:val="bottom"/>
          </w:tcPr>
          <w:p>
            <w:pPr>
              <w:ind w:left="700"/>
              <w:spacing w:after="0"/>
              <w:rPr>
                <w:sz w:val="20"/>
                <w:szCs w:val="20"/>
                <w:color w:val="auto"/>
              </w:rPr>
            </w:pPr>
            <w:r>
              <w:rPr>
                <w:rFonts w:ascii="Arial" w:cs="Arial" w:eastAsia="Arial" w:hAnsi="Arial"/>
                <w:sz w:val="14"/>
                <w:szCs w:val="14"/>
                <w:color w:val="auto"/>
              </w:rPr>
              <w:t>Telecommunications</w:t>
            </w:r>
          </w:p>
        </w:tc>
        <w:tc>
          <w:tcPr>
            <w:tcW w:w="2400" w:type="dxa"/>
            <w:vAlign w:val="bottom"/>
          </w:tcPr>
          <w:p>
            <w:pPr>
              <w:ind w:left="200"/>
              <w:spacing w:after="0"/>
              <w:rPr>
                <w:sz w:val="20"/>
                <w:szCs w:val="20"/>
                <w:color w:val="auto"/>
              </w:rPr>
            </w:pPr>
            <w:r>
              <w:rPr>
                <w:rFonts w:ascii="Arial" w:cs="Arial" w:eastAsia="Arial" w:hAnsi="Arial"/>
                <w:sz w:val="14"/>
                <w:szCs w:val="14"/>
                <w:color w:val="auto"/>
              </w:rPr>
              <w:t>First Lien Debt (9.7% Cash (1</w:t>
            </w:r>
          </w:p>
        </w:tc>
        <w:tc>
          <w:tcPr>
            <w:tcW w:w="680" w:type="dxa"/>
            <w:vAlign w:val="bottom"/>
          </w:tcPr>
          <w:p>
            <w:pPr>
              <w:spacing w:after="0"/>
              <w:rPr>
                <w:sz w:val="24"/>
                <w:szCs w:val="24"/>
                <w:color w:val="auto"/>
              </w:rPr>
            </w:pPr>
          </w:p>
        </w:tc>
      </w:tr>
      <w:tr>
        <w:trPr>
          <w:trHeight w:val="149"/>
        </w:trPr>
        <w:tc>
          <w:tcPr>
            <w:tcW w:w="29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month LIBOR + 7.3%, 1.5%</w:t>
            </w:r>
          </w:p>
        </w:tc>
        <w:tc>
          <w:tcPr>
            <w:tcW w:w="680" w:type="dxa"/>
            <w:vAlign w:val="bottom"/>
          </w:tcPr>
          <w:p>
            <w:pPr>
              <w:spacing w:after="0"/>
              <w:rPr>
                <w:sz w:val="12"/>
                <w:szCs w:val="12"/>
                <w:color w:val="auto"/>
              </w:rPr>
            </w:pPr>
          </w:p>
        </w:tc>
      </w:tr>
      <w:tr>
        <w:trPr>
          <w:trHeight w:val="182"/>
        </w:trPr>
        <w:tc>
          <w:tcPr>
            <w:tcW w:w="29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Floor), Due 8/2/19)</w:t>
            </w:r>
          </w:p>
        </w:tc>
        <w:tc>
          <w:tcPr>
            <w:tcW w:w="680" w:type="dxa"/>
            <w:vAlign w:val="bottom"/>
          </w:tcPr>
          <w:p>
            <w:pPr>
              <w:jc w:val="right"/>
              <w:spacing w:after="0"/>
              <w:rPr>
                <w:sz w:val="20"/>
                <w:szCs w:val="20"/>
                <w:color w:val="auto"/>
              </w:rPr>
            </w:pPr>
            <w:r>
              <w:rPr>
                <w:rFonts w:ascii="Arial" w:cs="Arial" w:eastAsia="Arial" w:hAnsi="Arial"/>
                <w:sz w:val="14"/>
                <w:szCs w:val="14"/>
                <w:color w:val="auto"/>
              </w:rPr>
              <w:t>18,000</w:t>
            </w:r>
          </w:p>
        </w:tc>
      </w:tr>
      <w:tr>
        <w:trPr>
          <w:trHeight w:val="615"/>
        </w:trPr>
        <w:tc>
          <w:tcPr>
            <w:tcW w:w="2960" w:type="dxa"/>
            <w:vAlign w:val="bottom"/>
          </w:tcPr>
          <w:p>
            <w:pPr>
              <w:spacing w:after="0"/>
              <w:rPr>
                <w:sz w:val="20"/>
                <w:szCs w:val="20"/>
                <w:color w:val="auto"/>
              </w:rPr>
            </w:pPr>
            <w:r>
              <w:rPr>
                <w:rFonts w:ascii="Arial" w:cs="Arial" w:eastAsia="Arial" w:hAnsi="Arial"/>
                <w:sz w:val="14"/>
                <w:szCs w:val="14"/>
                <w:color w:val="auto"/>
              </w:rPr>
              <w:t>Sur La Table, Inc.</w:t>
            </w:r>
          </w:p>
        </w:tc>
        <w:tc>
          <w:tcPr>
            <w:tcW w:w="2340" w:type="dxa"/>
            <w:vAlign w:val="bottom"/>
          </w:tcPr>
          <w:p>
            <w:pPr>
              <w:ind w:left="700"/>
              <w:spacing w:after="0"/>
              <w:rPr>
                <w:sz w:val="20"/>
                <w:szCs w:val="20"/>
                <w:color w:val="auto"/>
              </w:rPr>
            </w:pPr>
            <w:r>
              <w:rPr>
                <w:rFonts w:ascii="Arial" w:cs="Arial" w:eastAsia="Arial" w:hAnsi="Arial"/>
                <w:sz w:val="14"/>
                <w:szCs w:val="14"/>
                <w:color w:val="auto"/>
              </w:rPr>
              <w:t>Retail</w:t>
            </w:r>
          </w:p>
        </w:tc>
        <w:tc>
          <w:tcPr>
            <w:tcW w:w="2400" w:type="dxa"/>
            <w:vAlign w:val="bottom"/>
          </w:tcPr>
          <w:p>
            <w:pPr>
              <w:ind w:left="200"/>
              <w:spacing w:after="0"/>
              <w:rPr>
                <w:sz w:val="20"/>
                <w:szCs w:val="20"/>
                <w:color w:val="auto"/>
              </w:rPr>
            </w:pPr>
            <w:r>
              <w:rPr>
                <w:rFonts w:ascii="Arial" w:cs="Arial" w:eastAsia="Arial" w:hAnsi="Arial"/>
                <w:sz w:val="14"/>
                <w:szCs w:val="14"/>
                <w:color w:val="auto"/>
              </w:rPr>
              <w:t>First Lien Debt (11.4% Cash (3</w:t>
            </w:r>
          </w:p>
        </w:tc>
        <w:tc>
          <w:tcPr>
            <w:tcW w:w="680" w:type="dxa"/>
            <w:vAlign w:val="bottom"/>
          </w:tcPr>
          <w:p>
            <w:pPr>
              <w:spacing w:after="0"/>
              <w:rPr>
                <w:sz w:val="24"/>
                <w:szCs w:val="24"/>
                <w:color w:val="auto"/>
              </w:rPr>
            </w:pPr>
          </w:p>
        </w:tc>
      </w:tr>
      <w:tr>
        <w:trPr>
          <w:trHeight w:val="158"/>
        </w:trPr>
        <w:tc>
          <w:tcPr>
            <w:tcW w:w="29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400" w:type="dxa"/>
            <w:vAlign w:val="bottom"/>
          </w:tcPr>
          <w:p>
            <w:pPr>
              <w:ind w:left="200"/>
              <w:spacing w:after="0" w:line="159" w:lineRule="exact"/>
              <w:rPr>
                <w:sz w:val="20"/>
                <w:szCs w:val="20"/>
                <w:color w:val="auto"/>
              </w:rPr>
            </w:pPr>
            <w:r>
              <w:rPr>
                <w:rFonts w:ascii="Arial" w:cs="Arial" w:eastAsia="Arial" w:hAnsi="Arial"/>
                <w:sz w:val="14"/>
                <w:szCs w:val="14"/>
                <w:color w:val="auto"/>
              </w:rPr>
              <w:t>month LIBOR + 9.0%, 1.0%</w:t>
            </w:r>
          </w:p>
        </w:tc>
        <w:tc>
          <w:tcPr>
            <w:tcW w:w="680" w:type="dxa"/>
            <w:vAlign w:val="bottom"/>
          </w:tcPr>
          <w:p>
            <w:pPr>
              <w:spacing w:after="0"/>
              <w:rPr>
                <w:sz w:val="13"/>
                <w:szCs w:val="13"/>
                <w:color w:val="auto"/>
              </w:rPr>
            </w:pPr>
          </w:p>
        </w:tc>
      </w:tr>
      <w:tr>
        <w:trPr>
          <w:trHeight w:val="313"/>
        </w:trPr>
        <w:tc>
          <w:tcPr>
            <w:tcW w:w="2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 xml:space="preserve">Floor), Due 7/31/22) </w:t>
            </w:r>
            <w:r>
              <w:rPr>
                <w:rFonts w:ascii="Arial" w:cs="Arial" w:eastAsia="Arial" w:hAnsi="Arial"/>
                <w:sz w:val="23"/>
                <w:szCs w:val="23"/>
                <w:color w:val="auto"/>
                <w:vertAlign w:val="superscript"/>
              </w:rPr>
              <w:t>(11)</w:t>
            </w:r>
          </w:p>
        </w:tc>
        <w:tc>
          <w:tcPr>
            <w:tcW w:w="680" w:type="dxa"/>
            <w:vAlign w:val="bottom"/>
          </w:tcPr>
          <w:p>
            <w:pPr>
              <w:jc w:val="right"/>
              <w:spacing w:after="0"/>
              <w:rPr>
                <w:sz w:val="20"/>
                <w:szCs w:val="20"/>
                <w:color w:val="auto"/>
              </w:rPr>
            </w:pPr>
            <w:r>
              <w:rPr>
                <w:rFonts w:ascii="Arial" w:cs="Arial" w:eastAsia="Arial" w:hAnsi="Arial"/>
                <w:sz w:val="14"/>
                <w:szCs w:val="14"/>
                <w:color w:val="auto"/>
              </w:rPr>
              <w:t>10,500</w:t>
            </w:r>
          </w:p>
        </w:tc>
      </w:tr>
      <w:tr>
        <w:trPr>
          <w:trHeight w:val="514"/>
        </w:trPr>
        <w:tc>
          <w:tcPr>
            <w:tcW w:w="2960" w:type="dxa"/>
            <w:vAlign w:val="bottom"/>
          </w:tcPr>
          <w:p>
            <w:pPr>
              <w:spacing w:after="0"/>
              <w:rPr>
                <w:sz w:val="20"/>
                <w:szCs w:val="20"/>
                <w:color w:val="auto"/>
              </w:rPr>
            </w:pPr>
            <w:r>
              <w:rPr>
                <w:rFonts w:ascii="Arial" w:cs="Arial" w:eastAsia="Arial" w:hAnsi="Arial"/>
                <w:sz w:val="14"/>
                <w:szCs w:val="14"/>
                <w:color w:val="auto"/>
              </w:rPr>
              <w:t>Taylor Precision Products, Inc.</w:t>
            </w:r>
          </w:p>
        </w:tc>
        <w:tc>
          <w:tcPr>
            <w:tcW w:w="2340" w:type="dxa"/>
            <w:vAlign w:val="bottom"/>
          </w:tcPr>
          <w:p>
            <w:pPr>
              <w:ind w:left="700"/>
              <w:spacing w:after="0"/>
              <w:rPr>
                <w:sz w:val="20"/>
                <w:szCs w:val="20"/>
                <w:color w:val="auto"/>
              </w:rPr>
            </w:pPr>
            <w:r>
              <w:rPr>
                <w:rFonts w:ascii="Arial" w:cs="Arial" w:eastAsia="Arial" w:hAnsi="Arial"/>
                <w:sz w:val="14"/>
                <w:szCs w:val="14"/>
                <w:color w:val="auto"/>
              </w:rPr>
              <w:t>Household Product</w:t>
            </w:r>
          </w:p>
        </w:tc>
        <w:tc>
          <w:tcPr>
            <w:tcW w:w="2400" w:type="dxa"/>
            <w:vAlign w:val="bottom"/>
          </w:tcPr>
          <w:p>
            <w:pPr>
              <w:ind w:left="200"/>
              <w:spacing w:after="0"/>
              <w:rPr>
                <w:sz w:val="20"/>
                <w:szCs w:val="20"/>
                <w:color w:val="auto"/>
              </w:rPr>
            </w:pPr>
            <w:r>
              <w:rPr>
                <w:rFonts w:ascii="Arial" w:cs="Arial" w:eastAsia="Arial" w:hAnsi="Arial"/>
                <w:sz w:val="14"/>
                <w:szCs w:val="14"/>
                <w:color w:val="auto"/>
              </w:rPr>
              <w:t>Series C Preferred Stock (379</w:t>
            </w:r>
          </w:p>
        </w:tc>
        <w:tc>
          <w:tcPr>
            <w:tcW w:w="680" w:type="dxa"/>
            <w:vAlign w:val="bottom"/>
          </w:tcPr>
          <w:p>
            <w:pPr>
              <w:spacing w:after="0"/>
              <w:rPr>
                <w:sz w:val="24"/>
                <w:szCs w:val="24"/>
                <w:color w:val="auto"/>
              </w:rPr>
            </w:pPr>
          </w:p>
        </w:tc>
      </w:tr>
      <w:tr>
        <w:trPr>
          <w:trHeight w:val="182"/>
        </w:trPr>
        <w:tc>
          <w:tcPr>
            <w:tcW w:w="2960" w:type="dxa"/>
            <w:vAlign w:val="bottom"/>
          </w:tcPr>
          <w:p>
            <w:pPr>
              <w:spacing w:after="0"/>
              <w:rPr>
                <w:sz w:val="15"/>
                <w:szCs w:val="15"/>
                <w:color w:val="auto"/>
              </w:rPr>
            </w:pPr>
          </w:p>
        </w:tc>
        <w:tc>
          <w:tcPr>
            <w:tcW w:w="2340" w:type="dxa"/>
            <w:vAlign w:val="bottom"/>
          </w:tcPr>
          <w:p>
            <w:pPr>
              <w:ind w:left="700"/>
              <w:spacing w:after="0"/>
              <w:rPr>
                <w:sz w:val="20"/>
                <w:szCs w:val="20"/>
                <w:color w:val="auto"/>
              </w:rPr>
            </w:pPr>
            <w:r>
              <w:rPr>
                <w:rFonts w:ascii="Arial" w:cs="Arial" w:eastAsia="Arial" w:hAnsi="Arial"/>
                <w:sz w:val="14"/>
                <w:szCs w:val="14"/>
                <w:color w:val="auto"/>
              </w:rPr>
              <w:t>Manufacturer</w:t>
            </w:r>
          </w:p>
        </w:tc>
        <w:tc>
          <w:tcPr>
            <w:tcW w:w="2400" w:type="dxa"/>
            <w:vAlign w:val="bottom"/>
          </w:tcPr>
          <w:p>
            <w:pPr>
              <w:ind w:left="200"/>
              <w:spacing w:after="0"/>
              <w:rPr>
                <w:sz w:val="20"/>
                <w:szCs w:val="20"/>
                <w:color w:val="auto"/>
              </w:rPr>
            </w:pPr>
            <w:r>
              <w:rPr>
                <w:rFonts w:ascii="Arial" w:cs="Arial" w:eastAsia="Arial" w:hAnsi="Arial"/>
                <w:sz w:val="14"/>
                <w:szCs w:val="14"/>
                <w:color w:val="auto"/>
              </w:rPr>
              <w:t>shares)</w:t>
            </w:r>
          </w:p>
        </w:tc>
        <w:tc>
          <w:tcPr>
            <w:tcW w:w="680" w:type="dxa"/>
            <w:vAlign w:val="bottom"/>
          </w:tcPr>
          <w:p>
            <w:pPr>
              <w:spacing w:after="0"/>
              <w:rPr>
                <w:sz w:val="15"/>
                <w:szCs w:val="15"/>
                <w:color w:val="auto"/>
              </w:rPr>
            </w:pPr>
          </w:p>
        </w:tc>
      </w:tr>
      <w:tr>
        <w:trPr>
          <w:trHeight w:val="624"/>
        </w:trPr>
        <w:tc>
          <w:tcPr>
            <w:tcW w:w="2960" w:type="dxa"/>
            <w:vAlign w:val="bottom"/>
          </w:tcPr>
          <w:p>
            <w:pPr>
              <w:spacing w:after="0"/>
              <w:rPr>
                <w:sz w:val="20"/>
                <w:szCs w:val="20"/>
                <w:color w:val="auto"/>
              </w:rPr>
            </w:pPr>
            <w:r>
              <w:rPr>
                <w:rFonts w:ascii="Arial" w:cs="Arial" w:eastAsia="Arial" w:hAnsi="Arial"/>
                <w:sz w:val="14"/>
                <w:szCs w:val="14"/>
                <w:color w:val="auto"/>
              </w:rPr>
              <w:t>U.S. BioTek Laboratories, LLC</w:t>
            </w:r>
          </w:p>
        </w:tc>
        <w:tc>
          <w:tcPr>
            <w:tcW w:w="2340" w:type="dxa"/>
            <w:vAlign w:val="bottom"/>
          </w:tcPr>
          <w:p>
            <w:pPr>
              <w:ind w:left="700"/>
              <w:spacing w:after="0"/>
              <w:rPr>
                <w:sz w:val="20"/>
                <w:szCs w:val="20"/>
                <w:color w:val="auto"/>
              </w:rPr>
            </w:pPr>
            <w:r>
              <w:rPr>
                <w:rFonts w:ascii="Arial" w:cs="Arial" w:eastAsia="Arial" w:hAnsi="Arial"/>
                <w:sz w:val="14"/>
                <w:szCs w:val="14"/>
                <w:color w:val="auto"/>
              </w:rPr>
              <w:t>Testing laboratories</w:t>
            </w:r>
          </w:p>
        </w:tc>
        <w:tc>
          <w:tcPr>
            <w:tcW w:w="2400" w:type="dxa"/>
            <w:vAlign w:val="bottom"/>
          </w:tcPr>
          <w:p>
            <w:pPr>
              <w:ind w:left="200"/>
              <w:spacing w:after="0"/>
              <w:rPr>
                <w:sz w:val="20"/>
                <w:szCs w:val="20"/>
                <w:color w:val="auto"/>
              </w:rPr>
            </w:pPr>
            <w:r>
              <w:rPr>
                <w:rFonts w:ascii="Arial" w:cs="Arial" w:eastAsia="Arial" w:hAnsi="Arial"/>
                <w:sz w:val="14"/>
                <w:szCs w:val="14"/>
                <w:color w:val="auto"/>
              </w:rPr>
              <w:t>First Lien Debt (9.8% Cash, Due</w:t>
            </w:r>
          </w:p>
        </w:tc>
        <w:tc>
          <w:tcPr>
            <w:tcW w:w="680" w:type="dxa"/>
            <w:vAlign w:val="bottom"/>
          </w:tcPr>
          <w:p>
            <w:pPr>
              <w:spacing w:after="0"/>
              <w:rPr>
                <w:sz w:val="24"/>
                <w:szCs w:val="24"/>
                <w:color w:val="auto"/>
              </w:rPr>
            </w:pPr>
          </w:p>
        </w:tc>
      </w:tr>
      <w:tr>
        <w:trPr>
          <w:trHeight w:val="313"/>
        </w:trPr>
        <w:tc>
          <w:tcPr>
            <w:tcW w:w="2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 xml:space="preserve">12/14/23) </w:t>
            </w:r>
            <w:r>
              <w:rPr>
                <w:rFonts w:ascii="Arial" w:cs="Arial" w:eastAsia="Arial" w:hAnsi="Arial"/>
                <w:sz w:val="23"/>
                <w:szCs w:val="23"/>
                <w:color w:val="auto"/>
                <w:vertAlign w:val="superscript"/>
              </w:rPr>
              <w:t>(7)(10)</w:t>
            </w:r>
          </w:p>
        </w:tc>
        <w:tc>
          <w:tcPr>
            <w:tcW w:w="680" w:type="dxa"/>
            <w:vAlign w:val="bottom"/>
          </w:tcPr>
          <w:p>
            <w:pPr>
              <w:jc w:val="right"/>
              <w:spacing w:after="0"/>
              <w:rPr>
                <w:sz w:val="20"/>
                <w:szCs w:val="20"/>
                <w:color w:val="auto"/>
              </w:rPr>
            </w:pPr>
            <w:r>
              <w:rPr>
                <w:rFonts w:ascii="Arial" w:cs="Arial" w:eastAsia="Arial" w:hAnsi="Arial"/>
                <w:sz w:val="14"/>
                <w:szCs w:val="14"/>
                <w:color w:val="auto"/>
              </w:rPr>
              <w:t>6,965</w:t>
            </w:r>
          </w:p>
        </w:tc>
      </w:tr>
      <w:tr>
        <w:trPr>
          <w:trHeight w:val="173"/>
        </w:trPr>
        <w:tc>
          <w:tcPr>
            <w:tcW w:w="2960" w:type="dxa"/>
            <w:vAlign w:val="bottom"/>
          </w:tcPr>
          <w:p>
            <w:pPr>
              <w:spacing w:after="0"/>
              <w:rPr>
                <w:sz w:val="20"/>
                <w:szCs w:val="20"/>
                <w:color w:val="auto"/>
              </w:rPr>
            </w:pPr>
            <w:r>
              <w:rPr>
                <w:rFonts w:ascii="Arial" w:cs="Arial" w:eastAsia="Arial" w:hAnsi="Arial"/>
                <w:sz w:val="14"/>
                <w:szCs w:val="14"/>
                <w:color w:val="auto"/>
              </w:rPr>
              <w:t>U.S. BioTek Laboratories, LLC</w:t>
            </w:r>
          </w:p>
        </w:tc>
        <w:tc>
          <w:tcPr>
            <w:tcW w:w="2340" w:type="dxa"/>
            <w:vAlign w:val="bottom"/>
          </w:tcPr>
          <w:p>
            <w:pPr>
              <w:ind w:left="700"/>
              <w:spacing w:after="0"/>
              <w:rPr>
                <w:sz w:val="20"/>
                <w:szCs w:val="20"/>
                <w:color w:val="auto"/>
              </w:rPr>
            </w:pPr>
            <w:r>
              <w:rPr>
                <w:rFonts w:ascii="Arial" w:cs="Arial" w:eastAsia="Arial" w:hAnsi="Arial"/>
                <w:sz w:val="14"/>
                <w:szCs w:val="14"/>
                <w:color w:val="auto"/>
              </w:rPr>
              <w:t>Testing laboratories</w:t>
            </w:r>
          </w:p>
        </w:tc>
        <w:tc>
          <w:tcPr>
            <w:tcW w:w="2400" w:type="dxa"/>
            <w:vAlign w:val="bottom"/>
          </w:tcPr>
          <w:p>
            <w:pPr>
              <w:ind w:left="200"/>
              <w:spacing w:after="0"/>
              <w:rPr>
                <w:sz w:val="20"/>
                <w:szCs w:val="20"/>
                <w:color w:val="auto"/>
              </w:rPr>
            </w:pPr>
            <w:r>
              <w:rPr>
                <w:rFonts w:ascii="Arial" w:cs="Arial" w:eastAsia="Arial" w:hAnsi="Arial"/>
                <w:sz w:val="14"/>
                <w:szCs w:val="14"/>
                <w:color w:val="auto"/>
              </w:rPr>
              <w:t>Class A Preferred Units (500</w:t>
            </w:r>
          </w:p>
        </w:tc>
        <w:tc>
          <w:tcPr>
            <w:tcW w:w="680" w:type="dxa"/>
            <w:vAlign w:val="bottom"/>
          </w:tcPr>
          <w:p>
            <w:pPr>
              <w:spacing w:after="0"/>
              <w:rPr>
                <w:sz w:val="15"/>
                <w:szCs w:val="15"/>
                <w:color w:val="auto"/>
              </w:rPr>
            </w:pPr>
          </w:p>
        </w:tc>
      </w:tr>
      <w:tr>
        <w:trPr>
          <w:trHeight w:val="313"/>
        </w:trPr>
        <w:tc>
          <w:tcPr>
            <w:tcW w:w="2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 xml:space="preserve">Units, 10.0% PIK) </w:t>
            </w:r>
            <w:r>
              <w:rPr>
                <w:rFonts w:ascii="Arial" w:cs="Arial" w:eastAsia="Arial" w:hAnsi="Arial"/>
                <w:sz w:val="23"/>
                <w:szCs w:val="23"/>
                <w:color w:val="auto"/>
                <w:vertAlign w:val="superscript"/>
              </w:rPr>
              <w:t>(6)</w:t>
            </w:r>
          </w:p>
        </w:tc>
        <w:tc>
          <w:tcPr>
            <w:tcW w:w="680" w:type="dxa"/>
            <w:vAlign w:val="bottom"/>
          </w:tcPr>
          <w:p>
            <w:pPr>
              <w:spacing w:after="0"/>
              <w:rPr>
                <w:sz w:val="24"/>
                <w:szCs w:val="24"/>
                <w:color w:val="auto"/>
              </w:rPr>
            </w:pPr>
          </w:p>
        </w:tc>
      </w:tr>
      <w:tr>
        <w:trPr>
          <w:trHeight w:val="197"/>
        </w:trPr>
        <w:tc>
          <w:tcPr>
            <w:tcW w:w="2960" w:type="dxa"/>
            <w:vAlign w:val="bottom"/>
          </w:tcPr>
          <w:p>
            <w:pPr>
              <w:spacing w:after="0"/>
              <w:rPr>
                <w:sz w:val="20"/>
                <w:szCs w:val="20"/>
                <w:color w:val="auto"/>
              </w:rPr>
            </w:pPr>
            <w:r>
              <w:rPr>
                <w:rFonts w:ascii="Arial" w:cs="Arial" w:eastAsia="Arial" w:hAnsi="Arial"/>
                <w:sz w:val="14"/>
                <w:szCs w:val="14"/>
                <w:color w:val="auto"/>
              </w:rPr>
              <w:t>U.S. BioTek Laboratories, LLC</w:t>
            </w:r>
          </w:p>
        </w:tc>
        <w:tc>
          <w:tcPr>
            <w:tcW w:w="2340" w:type="dxa"/>
            <w:vAlign w:val="bottom"/>
          </w:tcPr>
          <w:p>
            <w:pPr>
              <w:ind w:left="700"/>
              <w:spacing w:after="0"/>
              <w:rPr>
                <w:sz w:val="20"/>
                <w:szCs w:val="20"/>
                <w:color w:val="auto"/>
              </w:rPr>
            </w:pPr>
            <w:r>
              <w:rPr>
                <w:rFonts w:ascii="Arial" w:cs="Arial" w:eastAsia="Arial" w:hAnsi="Arial"/>
                <w:sz w:val="14"/>
                <w:szCs w:val="14"/>
                <w:color w:val="auto"/>
              </w:rPr>
              <w:t>Testing laboratories</w:t>
            </w:r>
          </w:p>
        </w:tc>
        <w:tc>
          <w:tcPr>
            <w:tcW w:w="2400" w:type="dxa"/>
            <w:vAlign w:val="bottom"/>
          </w:tcPr>
          <w:p>
            <w:pPr>
              <w:ind w:left="200"/>
              <w:spacing w:after="0"/>
              <w:rPr>
                <w:sz w:val="20"/>
                <w:szCs w:val="20"/>
                <w:color w:val="auto"/>
              </w:rPr>
            </w:pPr>
            <w:r>
              <w:rPr>
                <w:rFonts w:ascii="Arial" w:cs="Arial" w:eastAsia="Arial" w:hAnsi="Arial"/>
                <w:sz w:val="14"/>
                <w:szCs w:val="14"/>
                <w:color w:val="auto"/>
              </w:rPr>
              <w:t>Class C Units (500 Units)</w:t>
            </w:r>
          </w:p>
        </w:tc>
        <w:tc>
          <w:tcPr>
            <w:tcW w:w="6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-4871085</wp:posOffset>
            </wp:positionV>
            <wp:extent cx="72466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-4665345</wp:posOffset>
            </wp:positionV>
            <wp:extent cx="724662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-4185285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-3859530</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-3653790</wp:posOffset>
            </wp:positionV>
            <wp:extent cx="72466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-3258820</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-3053080</wp:posOffset>
            </wp:positionV>
            <wp:extent cx="72466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-2658745</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-2453005</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-2058670</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-1852930</wp:posOffset>
            </wp:positionV>
            <wp:extent cx="7246620"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-1432560</wp:posOffset>
            </wp:positionV>
            <wp:extent cx="72466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-1226820</wp:posOffset>
            </wp:positionV>
            <wp:extent cx="724662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-926465</wp:posOffset>
            </wp:positionV>
            <wp:extent cx="72466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2466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80" w:type="dxa"/>
            <w:vAlign w:val="bottom"/>
          </w:tcPr>
          <w:p>
            <w:pPr>
              <w:jc w:val="right"/>
              <w:spacing w:after="0"/>
              <w:rPr>
                <w:sz w:val="20"/>
                <w:szCs w:val="20"/>
                <w:color w:val="auto"/>
              </w:rPr>
            </w:pPr>
            <w:r>
              <w:rPr>
                <w:rFonts w:ascii="Arial" w:cs="Arial" w:eastAsia="Arial" w:hAnsi="Arial"/>
                <w:sz w:val="14"/>
                <w:szCs w:val="14"/>
                <w:color w:val="auto"/>
              </w:rPr>
              <w:t>4,658</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4,658</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765"/>
        </w:trPr>
        <w:tc>
          <w:tcPr>
            <w:tcW w:w="680" w:type="dxa"/>
            <w:vAlign w:val="bottom"/>
          </w:tcPr>
          <w:p>
            <w:pPr>
              <w:jc w:val="right"/>
              <w:spacing w:after="0"/>
              <w:rPr>
                <w:sz w:val="20"/>
                <w:szCs w:val="20"/>
                <w:color w:val="auto"/>
              </w:rPr>
            </w:pPr>
            <w:r>
              <w:rPr>
                <w:rFonts w:ascii="Arial" w:cs="Arial" w:eastAsia="Arial" w:hAnsi="Arial"/>
                <w:sz w:val="14"/>
                <w:szCs w:val="14"/>
                <w:color w:val="auto"/>
              </w:rPr>
              <w:t>7,272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7,272</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w:t>
            </w:r>
          </w:p>
        </w:tc>
      </w:tr>
      <w:tr>
        <w:trPr>
          <w:trHeight w:val="485"/>
        </w:trPr>
        <w:tc>
          <w:tcPr>
            <w:tcW w:w="680" w:type="dxa"/>
            <w:vAlign w:val="bottom"/>
          </w:tcPr>
          <w:p>
            <w:pPr>
              <w:jc w:val="right"/>
              <w:spacing w:after="0"/>
              <w:rPr>
                <w:sz w:val="20"/>
                <w:szCs w:val="20"/>
                <w:color w:val="auto"/>
              </w:rPr>
            </w:pPr>
            <w:r>
              <w:rPr>
                <w:rFonts w:ascii="Arial" w:cs="Arial" w:eastAsia="Arial" w:hAnsi="Arial"/>
                <w:sz w:val="14"/>
                <w:szCs w:val="14"/>
                <w:color w:val="auto"/>
              </w:rPr>
              <w:t>3,406</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20,667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13.4%</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304"/>
        </w:trPr>
        <w:tc>
          <w:tcPr>
            <w:tcW w:w="680" w:type="dxa"/>
            <w:vAlign w:val="bottom"/>
          </w:tcPr>
          <w:p>
            <w:pPr>
              <w:jc w:val="right"/>
              <w:spacing w:after="0"/>
              <w:rPr>
                <w:sz w:val="20"/>
                <w:szCs w:val="20"/>
                <w:color w:val="auto"/>
              </w:rPr>
            </w:pPr>
            <w:r>
              <w:rPr>
                <w:rFonts w:ascii="Arial" w:cs="Arial" w:eastAsia="Arial" w:hAnsi="Arial"/>
                <w:sz w:val="14"/>
                <w:szCs w:val="14"/>
                <w:color w:val="auto"/>
              </w:rPr>
              <w:t>10,678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27,939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18.1%</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601"/>
        </w:trPr>
        <w:tc>
          <w:tcPr>
            <w:tcW w:w="680" w:type="dxa"/>
            <w:vAlign w:val="bottom"/>
          </w:tcPr>
          <w:p>
            <w:pPr>
              <w:jc w:val="right"/>
              <w:spacing w:after="0"/>
              <w:rPr>
                <w:sz w:val="20"/>
                <w:szCs w:val="20"/>
                <w:color w:val="auto"/>
              </w:rPr>
            </w:pPr>
            <w:r>
              <w:rPr>
                <w:rFonts w:ascii="Arial" w:cs="Arial" w:eastAsia="Arial" w:hAnsi="Arial"/>
                <w:sz w:val="14"/>
                <w:szCs w:val="14"/>
                <w:color w:val="auto"/>
              </w:rPr>
              <w:t>4,938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4,938</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304"/>
        </w:trPr>
        <w:tc>
          <w:tcPr>
            <w:tcW w:w="680" w:type="dxa"/>
            <w:vAlign w:val="bottom"/>
          </w:tcPr>
          <w:p>
            <w:pPr>
              <w:jc w:val="right"/>
              <w:spacing w:after="0"/>
              <w:rPr>
                <w:sz w:val="20"/>
                <w:szCs w:val="20"/>
                <w:color w:val="auto"/>
              </w:rPr>
            </w:pPr>
            <w:r>
              <w:rPr>
                <w:rFonts w:ascii="Arial" w:cs="Arial" w:eastAsia="Arial" w:hAnsi="Arial"/>
                <w:sz w:val="14"/>
                <w:szCs w:val="14"/>
                <w:color w:val="auto"/>
              </w:rPr>
              <w:t>4,938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4,938</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601"/>
        </w:trPr>
        <w:tc>
          <w:tcPr>
            <w:tcW w:w="680" w:type="dxa"/>
            <w:vAlign w:val="bottom"/>
          </w:tcPr>
          <w:p>
            <w:pPr>
              <w:jc w:val="right"/>
              <w:spacing w:after="0"/>
              <w:rPr>
                <w:sz w:val="20"/>
                <w:szCs w:val="20"/>
                <w:color w:val="auto"/>
              </w:rPr>
            </w:pPr>
            <w:r>
              <w:rPr>
                <w:rFonts w:ascii="Arial" w:cs="Arial" w:eastAsia="Arial" w:hAnsi="Arial"/>
                <w:sz w:val="14"/>
                <w:szCs w:val="14"/>
                <w:color w:val="auto"/>
              </w:rPr>
              <w:t>13,277</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13,261</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304"/>
        </w:trPr>
        <w:tc>
          <w:tcPr>
            <w:tcW w:w="680" w:type="dxa"/>
            <w:vAlign w:val="bottom"/>
          </w:tcPr>
          <w:p>
            <w:pPr>
              <w:jc w:val="right"/>
              <w:spacing w:after="0"/>
              <w:rPr>
                <w:sz w:val="20"/>
                <w:szCs w:val="20"/>
                <w:color w:val="auto"/>
              </w:rPr>
            </w:pPr>
            <w:r>
              <w:rPr>
                <w:rFonts w:ascii="Arial" w:cs="Arial" w:eastAsia="Arial" w:hAnsi="Arial"/>
                <w:sz w:val="14"/>
                <w:szCs w:val="14"/>
                <w:color w:val="auto"/>
              </w:rPr>
              <w:t>13,277</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13,261</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680" w:type="dxa"/>
            <w:vAlign w:val="bottom"/>
          </w:tcPr>
          <w:p>
            <w:pPr>
              <w:jc w:val="right"/>
              <w:spacing w:after="0"/>
              <w:rPr>
                <w:sz w:val="20"/>
                <w:szCs w:val="20"/>
                <w:color w:val="auto"/>
              </w:rPr>
            </w:pPr>
            <w:r>
              <w:rPr>
                <w:rFonts w:ascii="Arial" w:cs="Arial" w:eastAsia="Arial" w:hAnsi="Arial"/>
                <w:sz w:val="14"/>
                <w:szCs w:val="14"/>
                <w:color w:val="auto"/>
              </w:rPr>
              <w:t>18,000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11.7%</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80" w:type="dxa"/>
            <w:vAlign w:val="bottom"/>
          </w:tcPr>
          <w:p>
            <w:pPr>
              <w:jc w:val="right"/>
              <w:spacing w:after="0"/>
              <w:rPr>
                <w:sz w:val="20"/>
                <w:szCs w:val="20"/>
                <w:color w:val="auto"/>
              </w:rPr>
            </w:pPr>
            <w:r>
              <w:rPr>
                <w:rFonts w:ascii="Arial" w:cs="Arial" w:eastAsia="Arial" w:hAnsi="Arial"/>
                <w:sz w:val="14"/>
                <w:szCs w:val="14"/>
                <w:color w:val="auto"/>
              </w:rPr>
              <w:t>18,000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11.7%</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68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304"/>
        </w:trPr>
        <w:tc>
          <w:tcPr>
            <w:tcW w:w="68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453"/>
        </w:trPr>
        <w:tc>
          <w:tcPr>
            <w:tcW w:w="68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304"/>
        </w:trPr>
        <w:tc>
          <w:tcPr>
            <w:tcW w:w="68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495"/>
        </w:trPr>
        <w:tc>
          <w:tcPr>
            <w:tcW w:w="680" w:type="dxa"/>
            <w:vAlign w:val="bottom"/>
          </w:tcPr>
          <w:p>
            <w:pPr>
              <w:jc w:val="right"/>
              <w:spacing w:after="0"/>
              <w:rPr>
                <w:sz w:val="20"/>
                <w:szCs w:val="20"/>
                <w:color w:val="auto"/>
              </w:rPr>
            </w:pPr>
            <w:r>
              <w:rPr>
                <w:rFonts w:ascii="Arial" w:cs="Arial" w:eastAsia="Arial" w:hAnsi="Arial"/>
                <w:sz w:val="14"/>
                <w:szCs w:val="14"/>
                <w:color w:val="auto"/>
              </w:rPr>
              <w:t>6,965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6,965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486"/>
        </w:trPr>
        <w:tc>
          <w:tcPr>
            <w:tcW w:w="680" w:type="dxa"/>
            <w:vAlign w:val="bottom"/>
          </w:tcPr>
          <w:p>
            <w:pPr>
              <w:jc w:val="right"/>
              <w:spacing w:after="0"/>
              <w:rPr>
                <w:sz w:val="20"/>
                <w:szCs w:val="20"/>
                <w:color w:val="auto"/>
              </w:rPr>
            </w:pPr>
            <w:r>
              <w:rPr>
                <w:rFonts w:ascii="Arial" w:cs="Arial" w:eastAsia="Arial" w:hAnsi="Arial"/>
                <w:sz w:val="14"/>
                <w:szCs w:val="14"/>
                <w:color w:val="auto"/>
              </w:rPr>
              <w:t>527</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96"/>
        </w:trPr>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304"/>
        </w:trPr>
        <w:tc>
          <w:tcPr>
            <w:tcW w:w="680" w:type="dxa"/>
            <w:vAlign w:val="bottom"/>
          </w:tcPr>
          <w:p>
            <w:pPr>
              <w:jc w:val="right"/>
              <w:spacing w:after="0"/>
              <w:rPr>
                <w:sz w:val="20"/>
                <w:szCs w:val="20"/>
                <w:color w:val="auto"/>
              </w:rPr>
            </w:pPr>
            <w:r>
              <w:rPr>
                <w:rFonts w:ascii="Arial" w:cs="Arial" w:eastAsia="Arial" w:hAnsi="Arial"/>
                <w:sz w:val="14"/>
                <w:szCs w:val="14"/>
                <w:color w:val="auto"/>
              </w:rPr>
              <w:t>7,493</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7,492</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80" w:space="240"/>
            <w:col w:w="2800"/>
          </w:cols>
          <w:pgMar w:left="240" w:top="904"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(5)</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U.S. Well Services, Inc.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Oil &amp; Gas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Class A Common Stock (77,073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22"/>
                <w:szCs w:val="22"/>
                <w:color w:val="auto"/>
                <w:vertAlign w:val="superscript"/>
              </w:rPr>
              <w:t>(9)(12)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U.S. Well Services, Inc.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Oil &amp; Gas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Class B Common Stock</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(1,125,426 shares) </w:t>
            </w:r>
            <w:r>
              <w:rPr>
                <w:rFonts w:ascii="Arial" w:cs="Arial" w:eastAsia="Arial" w:hAnsi="Arial"/>
                <w:sz w:val="23"/>
                <w:szCs w:val="23"/>
                <w:color w:val="auto"/>
                <w:vertAlign w:val="superscript"/>
              </w:rPr>
              <w:t>(9)(12)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7,472</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 Technology</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Subordinated Debt (15.0%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 month LIBOR + 14.0%,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Ceiling), 4.0% PIK, Due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6/30/20)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8,897</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8,897</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8,897</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 Technology</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(600,000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Sub Total Non-control/non-affiliated investments - United States</w:t>
            </w: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260,927</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270,677</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175.9</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- 58.2%</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(12.0%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3.0% PIK, Due 3/23/21)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14,699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14,699</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Class A</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(1,253,198 shares)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Class B</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(1,085,070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16,565</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Footwear Retail</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Membership Unit Warrants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(11.4% fully diluted) </w:t>
            </w:r>
            <w:r>
              <w:rPr>
                <w:rFonts w:ascii="Arial" w:cs="Arial" w:eastAsia="Arial" w:hAnsi="Arial"/>
                <w:sz w:val="23"/>
                <w:szCs w:val="23"/>
                <w:color w:val="auto"/>
                <w:vertAlign w:val="superscript"/>
              </w:rPr>
              <w:t>(13)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Subordinated Debt (15.5%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(3 month LIBOR + 13.0%, 0.5%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4/29/20)</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16,500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15,872</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(22.9%</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ownership)</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3,263</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15,533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19,135</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32,033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A-1 Preferred Stock</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(1,998 shares, 8.0% PIK</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3,323</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B-1 Common Stock</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(200,000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(5)</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7"/>
              </w:rPr>
              <w:t>Principal</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QSR Franchisor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(1,852,824</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1,268</w:t>
            </w:r>
          </w:p>
        </w:tc>
        <w:tc>
          <w:tcPr>
            <w:tcW w:w="22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Medical Device Distributor</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(12.0%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1/31/20) </w:t>
            </w:r>
            <w:r>
              <w:rPr>
                <w:rFonts w:ascii="Arial" w:cs="Arial" w:eastAsia="Arial" w:hAnsi="Arial"/>
                <w:sz w:val="22"/>
                <w:szCs w:val="22"/>
                <w:color w:val="auto"/>
                <w:vertAlign w:val="superscript"/>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2,600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Medical Device Distributor</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(6.0%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1/31/20) </w:t>
            </w:r>
            <w:r>
              <w:rPr>
                <w:rFonts w:ascii="Arial" w:cs="Arial" w:eastAsia="Arial" w:hAnsi="Arial"/>
                <w:sz w:val="22"/>
                <w:szCs w:val="22"/>
                <w:color w:val="auto"/>
                <w:vertAlign w:val="superscript"/>
              </w:rPr>
              <w:t>(11)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Medical Device Distributor</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Preferred Units (1,000 units,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6.0% PIK Dividend) </w:t>
            </w:r>
            <w:r>
              <w:rPr>
                <w:rFonts w:ascii="Arial" w:cs="Arial" w:eastAsia="Arial" w:hAnsi="Arial"/>
                <w:sz w:val="22"/>
                <w:szCs w:val="22"/>
                <w:color w:val="auto"/>
                <w:vertAlign w:val="superscript"/>
              </w:rPr>
              <w:t>(6)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1,522</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Medical Device Distributor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Membership Units (45</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4,510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(11.0%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line="208" w:lineRule="exact"/>
              <w:rPr>
                <w:sz w:val="20"/>
                <w:szCs w:val="20"/>
                <w:color w:val="auto"/>
              </w:rPr>
            </w:pPr>
            <w:r>
              <w:rPr>
                <w:rFonts w:ascii="Arial" w:cs="Arial" w:eastAsia="Arial" w:hAnsi="Arial"/>
                <w:sz w:val="14"/>
                <w:szCs w:val="14"/>
                <w:color w:val="auto"/>
              </w:rPr>
              <w:t xml:space="preserve">Due 6/30/23) </w:t>
            </w:r>
            <w:r>
              <w:rPr>
                <w:rFonts w:ascii="Arial" w:cs="Arial" w:eastAsia="Arial" w:hAnsi="Arial"/>
                <w:sz w:val="23"/>
                <w:szCs w:val="23"/>
                <w:color w:val="auto"/>
                <w:vertAlign w:val="superscript"/>
              </w:rPr>
              <w:t>(11)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Class A Preferred Stock (1,000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line="208" w:lineRule="exact"/>
              <w:rPr>
                <w:sz w:val="20"/>
                <w:szCs w:val="20"/>
                <w:color w:val="auto"/>
              </w:rPr>
            </w:pPr>
            <w:r>
              <w:rPr>
                <w:rFonts w:ascii="Arial" w:cs="Arial" w:eastAsia="Arial" w:hAnsi="Arial"/>
                <w:sz w:val="14"/>
                <w:szCs w:val="14"/>
                <w:color w:val="auto"/>
                <w:w w:val="97"/>
              </w:rPr>
              <w:t xml:space="preserve">shares, 10.0% Cash Dividend) </w:t>
            </w:r>
            <w:r>
              <w:rPr>
                <w:rFonts w:ascii="Arial" w:cs="Arial" w:eastAsia="Arial" w:hAnsi="Arial"/>
                <w:sz w:val="23"/>
                <w:szCs w:val="23"/>
                <w:color w:val="auto"/>
                <w:w w:val="97"/>
                <w:vertAlign w:val="superscript"/>
              </w:rPr>
              <w:t>(6)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Common Stock (60,000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11,100</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RAM Payment,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Financial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(10.8%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1/4/24) </w:t>
            </w:r>
            <w:r>
              <w:rPr>
                <w:rFonts w:ascii="Arial" w:cs="Arial" w:eastAsia="Arial" w:hAnsi="Arial"/>
                <w:sz w:val="22"/>
                <w:szCs w:val="22"/>
                <w:color w:val="auto"/>
                <w:vertAlign w:val="superscript"/>
              </w:rPr>
              <w:t>(7)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9,375</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9,375</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RAM Payment,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Financial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Preferred Units (86,000 units,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8.0% PIK) </w:t>
            </w:r>
            <w:r>
              <w:rPr>
                <w:rFonts w:ascii="Arial" w:cs="Arial" w:eastAsia="Arial" w:hAnsi="Arial"/>
                <w:sz w:val="23"/>
                <w:szCs w:val="23"/>
                <w:color w:val="auto"/>
                <w:vertAlign w:val="superscript"/>
              </w:rPr>
              <w:t>(6)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10,269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Oil &amp; Gas Engineering and</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(15,068,000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gridSpan w:val="3"/>
            <w:vMerge w:val="restart"/>
            <w:shd w:val="clear" w:color="auto" w:fill="CCEEFF"/>
          </w:tcPr>
          <w:p>
            <w:pPr>
              <w:ind w:left="220"/>
              <w:spacing w:after="0"/>
              <w:rPr>
                <w:sz w:val="20"/>
                <w:szCs w:val="20"/>
                <w:color w:val="auto"/>
              </w:rPr>
            </w:pPr>
            <w:r>
              <w:rPr>
                <w:rFonts w:ascii="Arial" w:cs="Arial" w:eastAsia="Arial" w:hAnsi="Arial"/>
                <w:sz w:val="14"/>
                <w:szCs w:val="14"/>
                <w:color w:val="auto"/>
              </w:rPr>
              <w:t xml:space="preserve">Subordinated Debt </w:t>
            </w:r>
            <w:r>
              <w:rPr>
                <w:rFonts w:ascii="Arial" w:cs="Arial" w:eastAsia="Arial" w:hAnsi="Arial"/>
                <w:sz w:val="23"/>
                <w:szCs w:val="23"/>
                <w:color w:val="auto"/>
                <w:vertAlign w:val="superscript"/>
              </w:rPr>
              <w:t>(14)</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Marketing</w:t>
            </w:r>
          </w:p>
        </w:tc>
        <w:tc>
          <w:tcPr>
            <w:tcW w:w="23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 - United States</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73,803</w:t>
            </w:r>
          </w:p>
        </w:tc>
        <w:tc>
          <w:tcPr>
            <w:tcW w:w="22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89,505</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58.2</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(5)</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- 20.1%</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(8.0% Cash, Due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6/30/21) </w:t>
            </w:r>
            <w:r>
              <w:rPr>
                <w:rFonts w:ascii="Arial" w:cs="Arial" w:eastAsia="Arial" w:hAnsi="Arial"/>
                <w:sz w:val="22"/>
                <w:szCs w:val="22"/>
                <w:color w:val="auto"/>
                <w:vertAlign w:val="superscript"/>
              </w:rPr>
              <w:t>(11)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(8.0% Cash, Due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6/30/21) </w:t>
            </w:r>
            <w:r>
              <w:rPr>
                <w:rFonts w:ascii="Arial" w:cs="Arial" w:eastAsia="Arial" w:hAnsi="Arial"/>
                <w:sz w:val="22"/>
                <w:szCs w:val="22"/>
                <w:color w:val="auto"/>
                <w:vertAlign w:val="superscript"/>
              </w:rPr>
              <w:t>(11)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3,689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3,689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3,689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Preferred Units - Series A1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(7,200,000 units)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5,373</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Preferred Units - Series A</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(4,000,000 units)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2,354</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(14.9% fully</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1,394</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Warrants (40.0%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fully diluted)</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13,810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4,689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Capitala Senior Loan Fund II,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Investment Funds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Membership Units (80.0%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ownership) </w:t>
            </w:r>
            <w:r>
              <w:rPr>
                <w:rFonts w:ascii="Arial" w:cs="Arial" w:eastAsia="Arial" w:hAnsi="Arial"/>
                <w:sz w:val="23"/>
                <w:szCs w:val="23"/>
                <w:color w:val="auto"/>
                <w:vertAlign w:val="superscript"/>
              </w:rPr>
              <w:t>(9)(15)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13,763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13,763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Conglomerate</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(10.0%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3/31/20) </w:t>
            </w:r>
            <w:r>
              <w:rPr>
                <w:rFonts w:ascii="Arial" w:cs="Arial" w:eastAsia="Arial" w:hAnsi="Arial"/>
                <w:sz w:val="22"/>
                <w:szCs w:val="22"/>
                <w:color w:val="auto"/>
                <w:vertAlign w:val="superscript"/>
              </w:rPr>
              <w:t>(11)</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Conglomerate</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(14.0%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4.0% PIK, Due 3/31/20) </w:t>
            </w:r>
            <w:r>
              <w:rPr>
                <w:rFonts w:ascii="Arial" w:cs="Arial" w:eastAsia="Arial" w:hAnsi="Arial"/>
                <w:sz w:val="22"/>
                <w:szCs w:val="22"/>
                <w:color w:val="auto"/>
                <w:vertAlign w:val="superscript"/>
              </w:rPr>
              <w:t>(11)</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4,413</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4,413</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Conglomerate</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A Preferred Units (47</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2,898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7,904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9,173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Professional and Personal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(9.0%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Digital Imaging</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Floor, 2.0% Ceiling), Due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12/31/22) </w:t>
            </w:r>
            <w:r>
              <w:rPr>
                <w:rFonts w:ascii="Arial" w:cs="Arial" w:eastAsia="Arial" w:hAnsi="Arial"/>
                <w:sz w:val="22"/>
                <w:szCs w:val="22"/>
                <w:color w:val="auto"/>
                <w:vertAlign w:val="superscript"/>
              </w:rPr>
              <w:t>(16)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Professional and Personal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(9.4%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Digital Imaging</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Floor, 5.0% Ceiling), Due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12/31/22) </w:t>
            </w:r>
            <w:r>
              <w:rPr>
                <w:rFonts w:ascii="Arial" w:cs="Arial" w:eastAsia="Arial" w:hAnsi="Arial"/>
                <w:sz w:val="22"/>
                <w:szCs w:val="22"/>
                <w:color w:val="auto"/>
                <w:vertAlign w:val="superscript"/>
              </w:rPr>
              <w:t>(8)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4,428</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2,172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Professional and Personal</w:t>
            </w: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Preferred Units (4,350,000 Units)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2,450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Professional and Personal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(150,000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7,958</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3,252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 - United States</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43,272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30,877</w:t>
            </w:r>
          </w:p>
        </w:tc>
        <w:tc>
          <w:tcPr>
            <w:tcW w:w="9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20.1</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 - 254.2%</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378,002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391,059</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254.2</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 unless otherwise noted.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$153,863 as of June 30, 2019.</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Capitala Finance Corp.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Security Act.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02"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June 30, 2019, 8.7% of the Company's total assets were non-qualifying assets.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is valued using observable inputs (Level 1). The stock of the company is traded on the NASDAQ Capital Market under the ticker "USWS."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earnout to be settled post-closing.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$6.4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$3.9 million unfunded commitment.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(19)</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Principal</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Non-control/non-affiliated investments - 150.4%</w:t>
            </w:r>
          </w:p>
        </w:tc>
        <w:tc>
          <w:tcPr>
            <w:tcW w:w="1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Non-control/non-affiliated investments - United States</w:t>
            </w:r>
          </w:p>
        </w:tc>
        <w:tc>
          <w:tcPr>
            <w:tcW w:w="1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 Bridge Solutions,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IT Consulting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(11.3%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+ 9.0%,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12/4/22)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13,954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13,954</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3 Bridge Solutions,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IT Consulting</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Preferred Units (965 units, 8.0%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 Bridge Solutions,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IT Consulting</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Membership Units (39,000 units)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15,013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 Solutions,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(9.5%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12/18/22)</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Alternative Biomedical Solutions,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Healthcare</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(12.4%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12/18/22) </w:t>
            </w:r>
            <w:r>
              <w:rPr>
                <w:rFonts w:ascii="Arial" w:cs="Arial" w:eastAsia="Arial" w:hAnsi="Arial"/>
                <w:sz w:val="22"/>
                <w:szCs w:val="22"/>
                <w:color w:val="auto"/>
                <w:vertAlign w:val="superscript"/>
              </w:rPr>
              <w:t>(6)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Alternative Biomedical Solutions,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Membership Units (20,092 units)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13,918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American Clinical Solutions,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Healthcare</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(10.5%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2.0% PIK, Due 6/11/20) </w:t>
            </w:r>
            <w:r>
              <w:rPr>
                <w:rFonts w:ascii="Arial" w:cs="Arial" w:eastAsia="Arial" w:hAnsi="Arial"/>
                <w:sz w:val="23"/>
                <w:szCs w:val="23"/>
                <w:color w:val="auto"/>
                <w:vertAlign w:val="superscript"/>
              </w:rPr>
              <w:t>(7)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9,293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8,918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8,918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AmeriMark Direct,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(12.8%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Due 9/8/21)</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18,300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18,029</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18,029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 Warrants</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(91,739 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Consumer Products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(14.3%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11/14/21) </w:t>
            </w:r>
            <w:r>
              <w:rPr>
                <w:rFonts w:ascii="Arial" w:cs="Arial" w:eastAsia="Arial" w:hAnsi="Arial"/>
                <w:sz w:val="22"/>
                <w:szCs w:val="22"/>
                <w:color w:val="auto"/>
                <w:vertAlign w:val="superscript"/>
              </w:rPr>
              <w:t>(6)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9,094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9,094</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Consumer Products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Series A Preferred Stock</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(350,000 shares, 8.0% PIK) </w:t>
            </w:r>
            <w:r>
              <w:rPr>
                <w:rFonts w:ascii="Arial" w:cs="Arial" w:eastAsia="Arial" w:hAnsi="Arial"/>
                <w:sz w:val="23"/>
                <w:szCs w:val="23"/>
                <w:color w:val="auto"/>
                <w:vertAlign w:val="superscript"/>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 Merchandise</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(10.0%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Retailer</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+ 7.5%,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11/7/20)</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3,779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3,762</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3,762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Home Repair Parts</w:t>
            </w: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Membership Units (14 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(19)</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California Pizza Kitchen,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Restaurant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Second Lien Debt (12.5%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 month LIBOR + 10.0%,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8/23/23)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4,903</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Cedar Ultimate Parent,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Electronics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C Preferred Stock</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(4,759,250 units)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Cedar Ultimate Parent,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Electronics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D Preferred Stock</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(16,562,190 units)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Cedar Ultimate Parent,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Electronics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E Common Units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(190,370 units)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Chicken Soup for the Soul,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Multi-platform Media and</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(10.9%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+ 8.5%, 1.5%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12/13/20)</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13,000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CIS Secure Computing,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Government Services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(10.8%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+ 8.5%,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1.0% PIK, Due 9/14/22)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10,428</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10,428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CIS Secure Computing, Inc.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Government 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Common Stock (46,163 shares)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11,428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Sales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Subordinated Debt (9.0%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 PIK, Due 11/29/21)</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18,940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18,940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Sales &amp; Marketing</w:t>
            </w: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Common Stock (15,750 shares)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20,515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Currency Capital,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Financial Services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(13.4%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month LIBOR + 11.0%, 0.5%</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Floor), Due 1/2/20) </w:t>
            </w:r>
            <w:r>
              <w:rPr>
                <w:rFonts w:ascii="Arial" w:cs="Arial" w:eastAsia="Arial" w:hAnsi="Arial"/>
                <w:sz w:val="22"/>
                <w:szCs w:val="22"/>
                <w:color w:val="auto"/>
                <w:vertAlign w:val="superscript"/>
              </w:rPr>
              <w:t>(8)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16,788</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16,788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Currency Capital,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Financial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Class A Preferred Units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(2,000,000 units) </w:t>
            </w:r>
            <w:r>
              <w:rPr>
                <w:rFonts w:ascii="Arial" w:cs="Arial" w:eastAsia="Arial" w:hAnsi="Arial"/>
                <w:sz w:val="23"/>
                <w:szCs w:val="23"/>
                <w:color w:val="auto"/>
                <w:vertAlign w:val="superscript"/>
              </w:rPr>
              <w:t>(8)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18,788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Food Product Manufacturer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(8.6% Cash (3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+ 5.8%,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4/3/20)</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6,300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6,241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Food Product Manufacturer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Second Lien Debt (12.8%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(3 month LIBOR + 10.0%,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10/3/21)</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12,000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11,809</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11,265</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(19)</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Electronic Machine Repair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(8.7%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month LIBOR + 6.3%, 2.0%</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Floor), Due 12/20/23) </w:t>
            </w:r>
            <w:r>
              <w:rPr>
                <w:rFonts w:ascii="Arial" w:cs="Arial" w:eastAsia="Arial" w:hAnsi="Arial"/>
                <w:sz w:val="22"/>
                <w:szCs w:val="22"/>
                <w:color w:val="auto"/>
                <w:vertAlign w:val="superscript"/>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Freedom Electronics,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7"/>
              </w:rPr>
              <w:t>Electronic Machine Repair</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(9.1% Cash, Due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12/20/23) </w:t>
            </w:r>
            <w:r>
              <w:rPr>
                <w:rFonts w:ascii="Arial" w:cs="Arial" w:eastAsia="Arial" w:hAnsi="Arial"/>
                <w:sz w:val="22"/>
                <w:szCs w:val="22"/>
                <w:color w:val="auto"/>
                <w:vertAlign w:val="superscript"/>
              </w:rPr>
              <w:t>(6)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6,000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Electronic Machine Repair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(181,818</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6,432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Installs,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Logistics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(9.3%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6/20/23)</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2,984</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(9.3%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month LIBOR + 7.0%, 1.0%</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Floor), Due 12/22/22) </w:t>
            </w:r>
            <w:r>
              <w:rPr>
                <w:rFonts w:ascii="Arial" w:cs="Arial" w:eastAsia="Arial" w:hAnsi="Arial"/>
                <w:sz w:val="22"/>
                <w:szCs w:val="22"/>
                <w:color w:val="auto"/>
                <w:vertAlign w:val="superscript"/>
              </w:rPr>
              <w:t>(10)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(9.3%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month LIBOR + 7.0%, 1.0%</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Floor), Due 12/22/22) </w:t>
            </w:r>
            <w:r>
              <w:rPr>
                <w:rFonts w:ascii="Arial" w:cs="Arial" w:eastAsia="Arial" w:hAnsi="Arial"/>
                <w:sz w:val="23"/>
                <w:szCs w:val="23"/>
                <w:color w:val="auto"/>
                <w:vertAlign w:val="superscript"/>
              </w:rPr>
              <w:t>(11)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3,905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Nth Degree,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(13.9%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+ 11.5%,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Floor), 2.0% PIK, Due 3/29/23)</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7,346</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7,346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Nth Degree, Inc.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Business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Preferred Stock (2,400 Units,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10.0% PIK dividend) </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10,590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23,836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Sequoia Healthcare Management,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 Management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(10.8%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+ 8.5%, 1.8%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8/21/23)</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13,792</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13,792</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13,792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Sunset Digital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Telecommunications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(9.6%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+ 7.3%, 1.5%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8/2/19)</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18,000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Sur La Table,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Retail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(12.0%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Due 7/28/20)</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15,000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Household Product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C Preferred Stock (379</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(19)</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U.S. BioTek Laboratories,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Testing laboratories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(10.1% Cash,</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12/14/23) </w:t>
            </w:r>
            <w:r>
              <w:rPr>
                <w:rFonts w:ascii="Arial" w:cs="Arial" w:eastAsia="Arial" w:hAnsi="Arial"/>
                <w:sz w:val="22"/>
                <w:szCs w:val="22"/>
                <w:color w:val="auto"/>
                <w:vertAlign w:val="superscript"/>
              </w:rPr>
              <w:t>(6)(13)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7,000</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U.S. BioTek Laboratories,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Testing laboratories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Class A Preferred Units (500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Units, 10.0% PIK) </w:t>
            </w:r>
            <w:r>
              <w:rPr>
                <w:rFonts w:ascii="Arial" w:cs="Arial" w:eastAsia="Arial" w:hAnsi="Arial"/>
                <w:sz w:val="22"/>
                <w:szCs w:val="22"/>
                <w:color w:val="auto"/>
                <w:vertAlign w:val="superscript"/>
              </w:rPr>
              <w:t>(5)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BioTek Laboratories,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Testing laboratories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C Units (500 Units)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7,503</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U.S. Well Services, Inc.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Oil &amp; Gas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Class A Common Stock (77,073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22"/>
                <w:szCs w:val="22"/>
                <w:color w:val="auto"/>
                <w:vertAlign w:val="superscript"/>
              </w:rPr>
              <w:t>(8)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U.S. Well Services, Inc.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Oil &amp; Gas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Class B Common Stock</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(1,125,426 shares) </w:t>
            </w:r>
            <w:r>
              <w:rPr>
                <w:rFonts w:ascii="Arial" w:cs="Arial" w:eastAsia="Arial" w:hAnsi="Arial"/>
                <w:sz w:val="23"/>
                <w:szCs w:val="23"/>
                <w:color w:val="auto"/>
                <w:vertAlign w:val="superscript"/>
              </w:rPr>
              <w:t>(8)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7,472</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 Technology</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Subordinated Debt (15.0%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 month LIBOR + 14.0%,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Ceiling), 4.0% PIK Due 6/30/20)</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8,720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8,720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8,720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 Technology</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Subordinated Debt (11.5%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Due 3/1/22)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15,750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 Technology</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(600,000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16,350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Sub Total Non-control/non-affiliated investments - United States</w:t>
            </w: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268,298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283,965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Non-control/non-affiliated investments - Brazil</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Velum Global Credit Management,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Financial Services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(15.0% PIK, Due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220"/>
              <w:spacing w:after="0" w:line="211" w:lineRule="exact"/>
              <w:rPr>
                <w:sz w:val="20"/>
                <w:szCs w:val="20"/>
                <w:color w:val="auto"/>
              </w:rPr>
            </w:pPr>
            <w:r>
              <w:rPr>
                <w:rFonts w:ascii="Arial" w:cs="Arial" w:eastAsia="Arial" w:hAnsi="Arial"/>
                <w:sz w:val="24"/>
                <w:szCs w:val="24"/>
                <w:color w:val="auto"/>
                <w:vertAlign w:val="subscript"/>
              </w:rPr>
              <w:t>12/31/17)</w:t>
            </w:r>
            <w:r>
              <w:rPr>
                <w:rFonts w:ascii="Arial" w:cs="Arial" w:eastAsia="Arial" w:hAnsi="Arial"/>
                <w:sz w:val="11"/>
                <w:szCs w:val="11"/>
                <w:color w:val="auto"/>
              </w:rPr>
              <w:t xml:space="preserve"> (7) (8) (12)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14,277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6"/>
              </w:rPr>
              <w:t>Sub Total Non-control/non-affiliated investments - Brazil</w:t>
            </w: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Non-control/non-affiliated investments</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280,114</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286,843</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150.4</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(19)</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Principal</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- 48.8%</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(12.0%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1.0% PIK, Due 3/23/21)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14,801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14,801</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Class A</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(1,253,198 shares)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w w:val="99"/>
              </w:rPr>
              <w:t>Common Stock Class B (900,000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16,605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Footwear Retail</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Membership Unit Warrants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(11.4% fully diluted) </w:t>
            </w:r>
            <w:r>
              <w:rPr>
                <w:rFonts w:ascii="Arial" w:cs="Arial" w:eastAsia="Arial" w:hAnsi="Arial"/>
                <w:sz w:val="23"/>
                <w:szCs w:val="23"/>
                <w:color w:val="auto"/>
                <w:vertAlign w:val="superscript"/>
              </w:rPr>
              <w:t>(14)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Subordinated Debt (15.8%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(3 month LIBOR + 13.0%, 0.5%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4/29/20)</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15,496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(22.9%</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ownership)</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3,263</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17,610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18,759</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34,110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A-1 Preferred Stock</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(1,998 shares, 8.0% PIK</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B-1 Common Stock</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(200,000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J&amp;J Produce Holdings, Inc.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Produce Distribution</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(13.0%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6/16/19) </w:t>
            </w:r>
            <w:r>
              <w:rPr>
                <w:rFonts w:ascii="Arial" w:cs="Arial" w:eastAsia="Arial" w:hAnsi="Arial"/>
                <w:sz w:val="22"/>
                <w:szCs w:val="22"/>
                <w:color w:val="auto"/>
                <w:vertAlign w:val="superscript"/>
              </w:rPr>
              <w:t>(12)</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6,406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Produce Distribution</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Stock (8,182 shares)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Produce Distribution</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Warrants (6,369</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7,224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QSR Franchisor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(1,587,848</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1,188</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Medical Device Distributor</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(12.0%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1/31/20) </w:t>
            </w:r>
            <w:r>
              <w:rPr>
                <w:rFonts w:ascii="Arial" w:cs="Arial" w:eastAsia="Arial" w:hAnsi="Arial"/>
                <w:sz w:val="22"/>
                <w:szCs w:val="22"/>
                <w:color w:val="auto"/>
                <w:vertAlign w:val="superscript"/>
              </w:rPr>
              <w:t>(12)</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Medical Device Distributor</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(6.0%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1/31/20) </w:t>
            </w:r>
            <w:r>
              <w:rPr>
                <w:rFonts w:ascii="Arial" w:cs="Arial" w:eastAsia="Arial" w:hAnsi="Arial"/>
                <w:sz w:val="22"/>
                <w:szCs w:val="22"/>
                <w:color w:val="auto"/>
                <w:vertAlign w:val="superscript"/>
              </w:rPr>
              <w:t>(12)</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Medical Device Distributor</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Preferred Units (1,000 units,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6.0% PIK Dividend) </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1,474</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Medical Device Distributor</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Membership Units (45</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(19)</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Oil &amp; Gas Engineering and</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(15,068,000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20" w:type="dxa"/>
            <w:vAlign w:val="bottom"/>
            <w:shd w:val="clear" w:color="auto" w:fill="CCEEFF"/>
          </w:tcPr>
          <w:p>
            <w:pPr>
              <w:jc w:val="right"/>
              <w:ind w:right="103"/>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Bath Group,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Building Products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(11.4% Cash (1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+ 9.0%, 1.0%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Floor), Due 1/2/23)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12,750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Bath Group,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Building Products</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(500,000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gridSpan w:val="3"/>
            <w:vMerge w:val="restart"/>
            <w:shd w:val="clear" w:color="auto" w:fill="CCEEFF"/>
          </w:tcPr>
          <w:p>
            <w:pPr>
              <w:ind w:left="220"/>
              <w:spacing w:after="0"/>
              <w:rPr>
                <w:sz w:val="20"/>
                <w:szCs w:val="20"/>
                <w:color w:val="auto"/>
              </w:rPr>
            </w:pPr>
            <w:r>
              <w:rPr>
                <w:rFonts w:ascii="Arial" w:cs="Arial" w:eastAsia="Arial" w:hAnsi="Arial"/>
                <w:sz w:val="14"/>
                <w:szCs w:val="14"/>
                <w:color w:val="auto"/>
              </w:rPr>
              <w:t xml:space="preserve">Subordinated Debt </w:t>
            </w:r>
            <w:r>
              <w:rPr>
                <w:rFonts w:ascii="Arial" w:cs="Arial" w:eastAsia="Arial" w:hAnsi="Arial"/>
                <w:sz w:val="23"/>
                <w:szCs w:val="23"/>
                <w:color w:val="auto"/>
                <w:vertAlign w:val="superscript"/>
              </w:rPr>
              <w:t>(15)</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Marketing</w:t>
            </w:r>
          </w:p>
        </w:tc>
        <w:tc>
          <w:tcPr>
            <w:tcW w:w="230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 - United States</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72,300</w:t>
            </w:r>
          </w:p>
        </w:tc>
        <w:tc>
          <w:tcPr>
            <w:tcW w:w="220" w:type="dxa"/>
            <w:vAlign w:val="bottom"/>
            <w:shd w:val="clear" w:color="auto" w:fill="CCEEFF"/>
          </w:tcPr>
          <w:p>
            <w:pPr>
              <w:jc w:val="right"/>
              <w:ind w:right="103"/>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92,939</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48.8</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- 36.3%</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Second Lien Debt (6.0%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Rental</w:t>
            </w:r>
          </w:p>
        </w:tc>
        <w:tc>
          <w:tcPr>
            <w:tcW w:w="2300" w:type="dxa"/>
            <w:vAlign w:val="bottom"/>
            <w:gridSpan w:val="3"/>
            <w:shd w:val="clear" w:color="auto" w:fill="CCEEFF"/>
          </w:tcPr>
          <w:p>
            <w:pPr>
              <w:ind w:left="220"/>
              <w:spacing w:after="0" w:line="208" w:lineRule="exact"/>
              <w:rPr>
                <w:sz w:val="20"/>
                <w:szCs w:val="20"/>
                <w:color w:val="auto"/>
              </w:rPr>
            </w:pPr>
            <w:r>
              <w:rPr>
                <w:rFonts w:ascii="Arial" w:cs="Arial" w:eastAsia="Arial" w:hAnsi="Arial"/>
                <w:sz w:val="14"/>
                <w:szCs w:val="14"/>
                <w:color w:val="auto"/>
              </w:rPr>
              <w:t xml:space="preserve">Due 8/24/19) </w:t>
            </w:r>
            <w:r>
              <w:rPr>
                <w:rFonts w:ascii="Arial" w:cs="Arial" w:eastAsia="Arial" w:hAnsi="Arial"/>
                <w:sz w:val="23"/>
                <w:szCs w:val="23"/>
                <w:color w:val="auto"/>
                <w:vertAlign w:val="superscript"/>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16,327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220" w:type="dxa"/>
            <w:vAlign w:val="bottom"/>
            <w:shd w:val="clear" w:color="auto" w:fill="CCEEFF"/>
          </w:tcPr>
          <w:p>
            <w:pPr>
              <w:jc w:val="right"/>
              <w:ind w:right="103"/>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(2.2% fully</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Rental</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w:t>
            </w: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Rental</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Warrants (37.8% fully diluted)</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16,344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(10.0% Cash,</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5/24/19) </w:t>
            </w:r>
            <w:r>
              <w:rPr>
                <w:rFonts w:ascii="Arial" w:cs="Arial" w:eastAsia="Arial" w:hAnsi="Arial"/>
                <w:sz w:val="22"/>
                <w:szCs w:val="22"/>
                <w:color w:val="auto"/>
                <w:vertAlign w:val="superscript"/>
              </w:rPr>
              <w:t>(16)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1,708</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First Lien Debt (12.0% Cash,</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4.0% PIK, Due 6/30/19) </w:t>
            </w:r>
            <w:r>
              <w:rPr>
                <w:rFonts w:ascii="Arial" w:cs="Arial" w:eastAsia="Arial" w:hAnsi="Arial"/>
                <w:sz w:val="22"/>
                <w:szCs w:val="22"/>
                <w:color w:val="auto"/>
                <w:vertAlign w:val="superscript"/>
              </w:rPr>
              <w:t>(12)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8,889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8,889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Preferred Units (4,000,000 units)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2,354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(21.3% fully</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1,394</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Warrants (10.0%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fully diluted )</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xml:space="preserve">Portfolio Company, Country </w:t>
            </w:r>
            <w:r>
              <w:rPr>
                <w:rFonts w:ascii="Arial" w:cs="Arial" w:eastAsia="Arial" w:hAnsi="Arial"/>
                <w:sz w:val="23"/>
                <w:szCs w:val="23"/>
                <w:b w:val="1"/>
                <w:bCs w:val="1"/>
                <w:color w:val="auto"/>
                <w:vertAlign w:val="superscript"/>
              </w:rPr>
              <w:t>(1), (2), (3), (4), (19)</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Principal</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Capitala Senior Loan Fund II,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Investment Funds</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Membership Units (80.0%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ownership) </w:t>
            </w:r>
            <w:r>
              <w:rPr>
                <w:rFonts w:ascii="Arial" w:cs="Arial" w:eastAsia="Arial" w:hAnsi="Arial"/>
                <w:sz w:val="23"/>
                <w:szCs w:val="23"/>
                <w:color w:val="auto"/>
                <w:vertAlign w:val="superscript"/>
              </w:rPr>
              <w:t>(8)(17)</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13,600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13,695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13,695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Conglomerate</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(10.0%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Due 1/1/19) </w:t>
            </w:r>
            <w:r>
              <w:rPr>
                <w:rFonts w:ascii="Arial" w:cs="Arial" w:eastAsia="Arial" w:hAnsi="Arial"/>
                <w:sz w:val="22"/>
                <w:szCs w:val="22"/>
                <w:color w:val="auto"/>
                <w:vertAlign w:val="superscript"/>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Conglomerate</w:t>
            </w:r>
          </w:p>
        </w:tc>
        <w:tc>
          <w:tcPr>
            <w:tcW w:w="23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(14.0% Cash,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4.0% PIK, Due 1/1/19) </w:t>
            </w:r>
            <w:r>
              <w:rPr>
                <w:rFonts w:ascii="Arial" w:cs="Arial" w:eastAsia="Arial" w:hAnsi="Arial"/>
                <w:sz w:val="22"/>
                <w:szCs w:val="22"/>
                <w:color w:val="auto"/>
                <w:vertAlign w:val="superscript"/>
              </w:rPr>
              <w:t>(12)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4,325</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4,325</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Conglomerate</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A Preferred Units (47</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7,816</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9,004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(15.0% Cash,</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line="208" w:lineRule="exact"/>
              <w:rPr>
                <w:sz w:val="20"/>
                <w:szCs w:val="20"/>
                <w:color w:val="auto"/>
              </w:rPr>
            </w:pPr>
            <w:r>
              <w:rPr>
                <w:rFonts w:ascii="Arial" w:cs="Arial" w:eastAsia="Arial" w:hAnsi="Arial"/>
                <w:sz w:val="14"/>
                <w:szCs w:val="14"/>
                <w:color w:val="auto"/>
              </w:rPr>
              <w:t xml:space="preserve">Due 10/30/20) </w:t>
            </w:r>
            <w:r>
              <w:rPr>
                <w:rFonts w:ascii="Arial" w:cs="Arial" w:eastAsia="Arial" w:hAnsi="Arial"/>
                <w:sz w:val="23"/>
                <w:szCs w:val="23"/>
                <w:color w:val="auto"/>
                <w:vertAlign w:val="superscript"/>
              </w:rPr>
              <w:t>(12)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Class A Preferred Stock (1,000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line="208" w:lineRule="exact"/>
              <w:rPr>
                <w:sz w:val="20"/>
                <w:szCs w:val="20"/>
                <w:color w:val="auto"/>
              </w:rPr>
            </w:pPr>
            <w:r>
              <w:rPr>
                <w:rFonts w:ascii="Arial" w:cs="Arial" w:eastAsia="Arial" w:hAnsi="Arial"/>
                <w:sz w:val="14"/>
                <w:szCs w:val="14"/>
                <w:color w:val="auto"/>
                <w:w w:val="97"/>
              </w:rPr>
              <w:t xml:space="preserve">shares, 10.0% Cash Dividend) </w:t>
            </w:r>
            <w:r>
              <w:rPr>
                <w:rFonts w:ascii="Arial" w:cs="Arial" w:eastAsia="Arial" w:hAnsi="Arial"/>
                <w:sz w:val="23"/>
                <w:szCs w:val="23"/>
                <w:color w:val="auto"/>
                <w:w w:val="97"/>
                <w:vertAlign w:val="superscript"/>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Common Stock (300,000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4,348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8,501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12,848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Professional and Personal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(9.0%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Digital Imaging</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Floor, 2.0% Ceiling), Due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12/31/22) </w:t>
            </w:r>
            <w:r>
              <w:rPr>
                <w:rFonts w:ascii="Arial" w:cs="Arial" w:eastAsia="Arial" w:hAnsi="Arial"/>
                <w:sz w:val="22"/>
                <w:szCs w:val="22"/>
                <w:color w:val="auto"/>
                <w:vertAlign w:val="superscript"/>
              </w:rPr>
              <w:t>(18)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Professional and Personal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(9.4% Cash (1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Digital Imaging</w:t>
            </w: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month LIBOR + 7.0%, 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Floor, 5.0% Ceiling), Due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12/31/22)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Professional and Personal</w:t>
            </w: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Preferred Units (4,350,000 Units)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2,450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2,174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Professional and Personal</w:t>
            </w:r>
          </w:p>
        </w:tc>
        <w:tc>
          <w:tcPr>
            <w:tcW w:w="23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Units (150,000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6,950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6,674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 - United States</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67,556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69,145</w:t>
            </w:r>
          </w:p>
        </w:tc>
        <w:tc>
          <w:tcPr>
            <w:tcW w:w="9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36.3</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 - 235.5%</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419,970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448,927</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235.5</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of $190,644 as of December 31,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2018, 9.2% of the Company's total assets were non-qualifying assets.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$0.8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$0.5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earnout to be settled post-closing.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$0.3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$6.4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$5.0 million unfunded commitment.</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Capitala Finance Corp.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2019</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subsidiary that is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w:t>
      </w:r>
    </w:p>
    <w:p>
      <w:pPr>
        <w:jc w:val="both"/>
        <w:ind w:firstLine="8"/>
        <w:spacing w:after="0" w:line="292" w:lineRule="auto"/>
        <w:tabs>
          <w:tab w:leader="none" w:pos="237" w:val="left"/>
        </w:tabs>
        <w:numPr>
          <w:ilvl w:val="0"/>
          <w:numId w:val="7"/>
        </w:numPr>
        <w:rPr>
          <w:rFonts w:ascii="Arial" w:cs="Arial" w:eastAsia="Arial" w:hAnsi="Arial"/>
          <w:sz w:val="16"/>
          <w:szCs w:val="16"/>
          <w:color w:val="auto"/>
        </w:rPr>
      </w:pPr>
      <w:r>
        <w:rPr>
          <w:rFonts w:ascii="Arial" w:cs="Arial" w:eastAsia="Arial" w:hAnsi="Arial"/>
          <w:sz w:val="16"/>
          <w:szCs w:val="16"/>
          <w:color w:val="auto"/>
        </w:rPr>
        <w:t>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and the Taxable Subsidiaries.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June 30, 2019 and December 31, 2018 and for the periods ended June 30, 2019 and June 30, 2018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2018, filed with the U.S. Securities and Exchange Commission (“SEC”) on March 4,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does not consolidate its interest in Capitala Senior Loan Fund II, LLC (“CSLF II”) because the investment is not considered a substantially wholly owned investment company subsidiary. Further, CSLF II is a joint venture for which shared power exists relating to the decisions that most significantly impact the economic performance of the entity. See Note 4 to the consolidated financial statements for a description of the Company’s investment in CSLF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uses net asset value (“NAV”) as the fair value for its equity investment in CSLF II. CSLF II records its underlying investments at fair value on a quarterly basis in accordance with the 1940 Act and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collected. The Company has loans in the portfolio that contain a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Company follows the guidance in ASC Topic 860 —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common stock assuming all potentially dilutive shares had been issued. Diluted EPS reflects the potential dilution, using the as-if-converted method for convertible debt, which could occur if all potentially dilutive securities were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June 30, 2019, the Company had outstanding unfunded commitments related to debt and equity investments in existing portfolio companies of $6.4 million (CSLF II), $3.9 million (Portrait Studio, LLC), $1.0 million (Freedom Electronics, LLC), $1.0 million (Jurassic Quest Holdings, LLC), and $1.0 million (U.S. BioTek Laboratories, LLC). As of December 31, 2018, the Company had outstanding unfunded commitments related to debt and equity investments in existing portfolio companies of $6.4 million (CSLF II), $5.0 million (Portrait Studio, LLC), $1.1 million (MC Sign Lessor, Corp.), $1.0 million (U.S. BioTek Laboratories, LLC), $0.8 million (Freedom Electronics, LLC), and $0.3 million (CableOrganizer Acquisition, LLC).</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June 30, 2019, the Company has evaluated the fair value of the guarantee under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determined that the fair value of the guarantee is immaterial as the risk of payment default for first-out loans in CSLF II is considered remote. The maximum exposure to credit risk as of June 30, 2019 and December 31, 2018, was $7.4 million and $4.3 million, respectively, and extends to the stated maturity of the underlying loans in CSLF II.</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268" w:lineRule="auto"/>
        <w:rPr>
          <w:sz w:val="20"/>
          <w:szCs w:val="20"/>
          <w:color w:val="auto"/>
        </w:rPr>
      </w:pPr>
      <w:r>
        <w:rPr>
          <w:rFonts w:ascii="Arial" w:cs="Arial" w:eastAsia="Arial" w:hAnsi="Arial"/>
          <w:sz w:val="17"/>
          <w:szCs w:val="17"/>
          <w:color w:val="auto"/>
        </w:rPr>
        <w:t xml:space="preserve">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complaint, as currently amended, alleges certain violations of the securities laws, including, </w:t>
      </w:r>
      <w:r>
        <w:rPr>
          <w:rFonts w:ascii="Arial" w:cs="Arial" w:eastAsia="Arial" w:hAnsi="Arial"/>
          <w:sz w:val="17"/>
          <w:szCs w:val="17"/>
          <w:i w:val="1"/>
          <w:iCs w:val="1"/>
          <w:color w:val="auto"/>
        </w:rPr>
        <w:t>inter alia</w:t>
      </w:r>
      <w:r>
        <w:rPr>
          <w:rFonts w:ascii="Arial" w:cs="Arial" w:eastAsia="Arial" w:hAnsi="Arial"/>
          <w:sz w:val="17"/>
          <w:szCs w:val="17"/>
          <w:color w:val="auto"/>
        </w:rPr>
        <w:t>, that the defendants made certain materially false and misleading statements and omissions regarding the Company’s business, operations, and prospects between January 4, 2016 and August 7, 2017. The plaintiffs in the Paskowitz Action seek compensatory damages and attorneys’ fees and costs, among other relief, but did not specify the amount of damages being sought. Defendants have moved to dismiss the amended complaint. While the Company intends to vigorously defend itself in this litigation, the outcome of these legal proceedings cannot be predicted with certainty.</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and adversely affect the Company’s financial condition, results of operations, or cash flows in any particular reporting period.</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June 30, 2019 and December 31, 2018.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648"/>
        <w:spacing w:after="0" w:line="257" w:lineRule="auto"/>
        <w:rPr>
          <w:sz w:val="20"/>
          <w:szCs w:val="20"/>
          <w:color w:val="auto"/>
        </w:rPr>
      </w:pPr>
      <w:r>
        <w:rPr>
          <w:rFonts w:ascii="Arial" w:cs="Arial" w:eastAsia="Arial" w:hAnsi="Arial"/>
          <w:sz w:val="18"/>
          <w:szCs w:val="18"/>
          <w:color w:val="auto"/>
        </w:rPr>
        <w:t>The Company elected to amend its tax year end from August 31 to December 31 and filed a tax return for the four months ended December 31, 2017. The tax periods ended December 31, 2018, December 31, 2017, August 31, 2017, and August 31, 2016 remain subject to examination by U.S. federal, state, and local tax authorities. No interest expense or penalties have been assessed for the three and six months ended June 30, 2019 and June 30, 2018. If the Company was required to recognize interest and penalties, if any, related to unrecognized tax benefits this would be recognized as income tax expense in the consolidated statements of operations.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U.S. federal income tax purposes, as of June 30, 2019, the aggregate net unrealized depreciation for all securities was $(5.7) million. As of June 30, 2019, gross unrealized appreciation was $22.4 million and gross unrealized depreciation was $(28.1) million. The aggregate cost of securities for U.S. federal income tax purposes was $396.7 million as of June 30, 2019. For U.S. federal income tax purposes, as of December 31, 2018, the aggregate net unrealized appreciation for all securities was $6.5 million. As of December 31, 2018, gross unrealized appreciation was $31.9 million and gross unrealized depreciation was $(25.4) million. The aggregate cost of securities for U.S. federal income tax purposes was $442.4 million as of December 31, 2018.</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Taxable Subsidiaries record deferred tax assets or liabilities related to temporary book versus tax differences on the income or loss generated by the underlying equity investments held by the Taxable Subsidiaries. As of June 30, 2019 and December 31, 2018, the Company recorded a net deferred tax asset of $0.0 million and $0.6 million, respectively. For the three months and six months ended June 30, 2019, the Company recorded a tax provision of $(0.7) million and $(0.6) million, respectively. For the three and six months ended June 30, 2018, the Company recorded a tax benefit of $1.3 million and $1.3 million, respectively. As of June 30, 2019 and December 31, 2018, the valuation allowance on the Company’s deferred tax asset was $2.4 million and $0.4 million, respectively. During the three months and six months ended June 30, 2019, the Company recognized an increase in the valuation allowance of $2.0 million. No change in the valuation allowance was recognized for the three and six months ended June 30, 2018.</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2019 and December 31, 2018,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Distributions to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Financial Accounting Standards Board (“FASB”) issued Accounting Standards Update 2018-13, Disclosure Framework — Changes to the Disclosure Requirement for Fair Value Measurement. The FASB issued the amendments as part of the disclosure framework project which is intended to improve the effectiveness of fair value disclosures in the notes to the financial statements by facilitating clear communication of the information required by U.S. GAAP that is most important to users of the financial statements. The standard is effective for interim and annual reporting periods in fiscal years that begin after December 15, 2019. Management is currently evaluating the impact these changes will have on the Company’s consolidated financial statements and disclosures.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2018, the SEC adopted amendments (the “Amendments”) to certain disclosure requirements that have become redundant, duplicative, overlapping, outdated, or superseded, in light of other SEC disclosure requirements, U.S. GAAP requirements, or changes in the information environment. In part, the Amendments require an investment company to present distributable earnings in total, rather than showing the three components of distributable earnings. The compliance date for the Amendments is for all filings on or after November 5, 2018. Management has adopted the Amendments and included the required disclosures in the Company’s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firstLine="648"/>
        <w:spacing w:after="0" w:line="287" w:lineRule="auto"/>
        <w:rPr>
          <w:sz w:val="20"/>
          <w:szCs w:val="20"/>
          <w:color w:val="auto"/>
        </w:rPr>
      </w:pPr>
      <w:r>
        <w:rPr>
          <w:rFonts w:ascii="Arial" w:cs="Arial" w:eastAsia="Arial" w:hAnsi="Arial"/>
          <w:sz w:val="16"/>
          <w:szCs w:val="16"/>
          <w:color w:val="auto"/>
        </w:rPr>
        <w:t>In May 2014, the FASB issued Accounting Standards Update 2014-09, Revenue from Contracts with Customers (ASC Topic 606) (“ASU 2014-09”). ASU 2014-09 supersedes the revenue recognition requirements under ASC Topic 605, Revenue Recognition, and most industry-specific guidance throughout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The new guidance significantly enhances comparability of revenue recognition practices across entities, industries, jurisdictions, and capital markets. Additionally, the guidance requires improved disclosures as to the nature, amount, timing, and uncertainty of revenue that is recognized. The new guidance became effective for the annual reporting period beginning January 1, 2018, including interim periods within that reporting period. The Company completed its assessment in evaluating the potential impact on its consolidated financial statements and based on its assessment, determined that its financial contracts are excluded from the scope of ASU 2014-09. As a result of the scope exception for financial contracts, the Company’s management has determined that there were no material changes to the recognition, timing, and classification of revenues and expenses; additionally, the Company’s management determined that the adoption of ASU 2014-09 did not have a significant impact on its consolidated financial statement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 As of June 30, 2019, our portfolio consisted of investments in 41 portfolio companies with a fair value of approximately $391.1 million.</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June 30, 2019, 17.6% of the fair value of our first lien loans consisted of last-out loans. As of December 31, 2018, 13.7% of the fair value of our first lien loans consisted of last-out loans. In some cases, first lien loans may be subordinated, solely with respect to the payment of cash interest, to an asset based revolving credit facility.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but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2019, the Company made approximately $13.8 million of investments and had approximately $46.6 million in repayments and sales, resulting in net repayments and sales of approximately $32.8 million for the period. During the three months ended June 30, 2018, the Company made approximately $11.2 million of investments and had approximately $32.3 million in repayments and sales, resulting in net repayments and sales of approximately $21.1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2019, the Company made approximately $34.9 million of investments and had approximately $58.1 million in repayments and sales, resulting in net repayments and sales of approximately $23.2 million for the period. During the six months ended June 30, 2018, the Company made approximately $39.0 million of investments and had approximately $53.7 million in repayments and sales, resulting in net repayments and sales of approximately $14.7 million for the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55" w:lineRule="auto"/>
        <w:rPr>
          <w:sz w:val="20"/>
          <w:szCs w:val="20"/>
          <w:color w:val="auto"/>
        </w:rPr>
      </w:pPr>
      <w:r>
        <w:rPr>
          <w:rFonts w:ascii="Arial" w:cs="Arial" w:eastAsia="Arial" w:hAnsi="Arial"/>
          <w:sz w:val="18"/>
          <w:szCs w:val="18"/>
          <w:color w:val="auto"/>
        </w:rPr>
        <w:t>During the three and six months ended June 30, 2019, the Company funded $2.8 million and $4.9 million, respectively, of previously committed capital to existing portfolio companies. During the three and six months ended June 30, 2019, the Company funded $11.0 million and $30.0 million, respectively, of investments in portfolio companies for which it was not previously committed to fund. During the three and six months ended June 30, 2018, the Company funded $4.2 million and $5.2 million, respectively, of previously committed capital to existing portfolio companies. During the three and six months ended June 30, 2018, the Company funded $7.0 million and $33.8 million, respectively, of investments in portfolio companies for which it was not previously committed to fund. During the three and six months ended June 30, 2019 and June 30, 2018, the Company did not lead any syndicates and did not assist any portfolio companies in obtaining indirect financing.</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 On August 27, 2018, FSC II exercised its option at the agreed upon strike price of $1.5 million.</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June 30, 2019,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242,894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235,010</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16,759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16,107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53,511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74,703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378,002</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391,059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2018,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0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Second Lien Debt</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33,040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32,495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72,562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Equity and Warrants</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48,594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92,054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20.5</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419,970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32</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789"/>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June 30, 2019 (dollars in thousands), according to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30"/>
                <w:szCs w:val="30"/>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235,010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Second Lien Debt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16,107</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16,107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51,476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Equity and 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68,907</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74,703</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5240" w:hanging="5612"/>
        <w:spacing w:after="0" w:line="906" w:lineRule="auto"/>
        <w:tabs>
          <w:tab w:leader="none" w:pos="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the Company’s $13.8 million investment in CSLF II, measured at NAV.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2018 (dollars in thousands), according to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6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30"/>
                <w:szCs w:val="30"/>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6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Second Lien Debt</w:t>
            </w:r>
          </w:p>
        </w:tc>
        <w:tc>
          <w:tcPr>
            <w:tcW w:w="10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32,495</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32,495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73,113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73,113</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Equity and Warrants</w:t>
            </w:r>
          </w:p>
        </w:tc>
        <w:tc>
          <w:tcPr>
            <w:tcW w:w="10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92,054</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92,054</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Excludes the Company’s $13.7 million investment in CSLF II, measured at NAV.</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First Lien</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Second Lien</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Subordinated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w w:val="91"/>
              </w:rPr>
              <w:t xml:space="preserve">Total </w:t>
            </w:r>
            <w:r>
              <w:rPr>
                <w:rFonts w:ascii="Arial" w:cs="Arial" w:eastAsia="Arial" w:hAnsi="Arial"/>
                <w:sz w:val="30"/>
                <w:szCs w:val="30"/>
                <w:b w:val="1"/>
                <w:bCs w:val="1"/>
                <w:color w:val="auto"/>
                <w:w w:val="91"/>
                <w:vertAlign w:val="superscript"/>
              </w:rPr>
              <w:t>(1)</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Debt</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rPr>
              <w:t>and Warrants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(2,773)</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(58,131)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29,636</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(20,924)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6,720</w:t>
            </w: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(18,203)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Transfers out of Level 3 </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as of June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235,010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68,907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the Company’s $13.8 million investment in CSLF II, measured at NAV.</w:t>
      </w:r>
    </w:p>
    <w:p>
      <w:pPr>
        <w:spacing w:after="0" w:line="225"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Company’s investment in U.S. Well Services, Inc. is traded on the NASDAQ Capital Market under the ticker “USWS”. Because the Company’s investment is now traded in an active market, the Company has reclassified its investment in U.S. Well Services, Inc. from Level 3 to Level 1 of the fair value hierarchy. Transfers between levels, if any, are recognized at the beginning of the period in which transfers occur. The unrealized depreciation on the Company’s investment in U.S. Well Services, Inc. for the six months ended June 30, 2019 was $(4.1) million.</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First Lien</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Second Lien</w:t>
            </w: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Subordinated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Debt</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rPr>
              <w:t>and Warrants</w:t>
            </w: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17,494</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(20,806)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3,312</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(51,472)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(53,656)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38,176</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38,976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(26,477)</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3,140</w:t>
            </w: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17,480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21,602</w:t>
            </w: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5" w:name="page36"/>
    <w:bookmarkEnd w:id="35"/>
    <w:p>
      <w:pPr>
        <w:ind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uses Level 3 inputs for the six months ended June 30, 2018 (dollars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540" w:type="dxa"/>
            <w:vAlign w:val="bottom"/>
            <w:gridSpan w:val="4"/>
          </w:tcPr>
          <w:p>
            <w:pPr>
              <w:ind w:left="1900"/>
              <w:spacing w:after="0"/>
              <w:rPr>
                <w:sz w:val="20"/>
                <w:szCs w:val="20"/>
                <w:color w:val="auto"/>
              </w:rPr>
            </w:pPr>
            <w:r>
              <w:rPr>
                <w:rFonts w:ascii="Arial" w:cs="Arial" w:eastAsia="Arial" w:hAnsi="Arial"/>
                <w:sz w:val="18"/>
                <w:szCs w:val="18"/>
                <w:b w:val="1"/>
                <w:bCs w:val="1"/>
                <w:color w:val="auto"/>
                <w:w w:val="99"/>
              </w:rPr>
              <w:t>Written Call Option</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2018</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net change in unrealized depreciation on investments held as of June 30, 2019 and June 30, 2018, was $(19.4) million and $(0.4) million, respectively, and is included in net unrealized appreciation (depreciation) on investments in the consolidated statements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of assets as of June 30, 2019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1920" w:type="dxa"/>
            <w:vAlign w:val="bottom"/>
          </w:tcPr>
          <w:p>
            <w:pPr>
              <w:ind w:left="58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(in millions)</w:t>
            </w:r>
          </w:p>
        </w:tc>
        <w:tc>
          <w:tcPr>
            <w:tcW w:w="1920" w:type="dxa"/>
            <w:vAlign w:val="bottom"/>
          </w:tcPr>
          <w:p>
            <w:pPr>
              <w:ind w:left="580"/>
              <w:spacing w:after="0"/>
              <w:rPr>
                <w:sz w:val="20"/>
                <w:szCs w:val="20"/>
                <w:color w:val="auto"/>
              </w:rPr>
            </w:pPr>
            <w:r>
              <w:rPr>
                <w:rFonts w:ascii="Arial" w:cs="Arial" w:eastAsia="Arial" w:hAnsi="Arial"/>
                <w:sz w:val="18"/>
                <w:szCs w:val="18"/>
                <w:b w:val="1"/>
                <w:bCs w:val="1"/>
                <w:color w:val="auto"/>
              </w:rPr>
              <w:t>Approach</w:t>
            </w:r>
          </w:p>
        </w:tc>
        <w:tc>
          <w:tcPr>
            <w:tcW w:w="120" w:type="dxa"/>
            <w:vAlign w:val="bottom"/>
          </w:tcPr>
          <w:p>
            <w:pPr>
              <w:spacing w:after="0"/>
              <w:rPr>
                <w:sz w:val="20"/>
                <w:szCs w:val="20"/>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340" w:type="dxa"/>
            <w:vAlign w:val="bottom"/>
          </w:tcPr>
          <w:p>
            <w:pPr>
              <w:spacing w:after="0"/>
              <w:rPr>
                <w:sz w:val="20"/>
                <w:szCs w:val="20"/>
                <w:color w:val="auto"/>
              </w:rPr>
            </w:pPr>
          </w:p>
        </w:tc>
        <w:tc>
          <w:tcPr>
            <w:tcW w:w="3540" w:type="dxa"/>
            <w:vAlign w:val="bottom"/>
          </w:tcPr>
          <w:p>
            <w:pPr>
              <w:ind w:left="58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7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210.2</w:t>
            </w:r>
          </w:p>
        </w:tc>
        <w:tc>
          <w:tcPr>
            <w:tcW w:w="2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6"/>
                <w:szCs w:val="16"/>
                <w:color w:val="auto"/>
              </w:rPr>
            </w:pPr>
          </w:p>
        </w:tc>
        <w:tc>
          <w:tcPr>
            <w:tcW w:w="38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9.0% – 17.0% (12.5%)</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1.6x</w:t>
            </w: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7.7x (3.9x)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 million – $156.1 million ($17.2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600" w:type="dxa"/>
            <w:vAlign w:val="bottom"/>
            <w:gridSpan w:val="2"/>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24.8</w:t>
            </w:r>
          </w:p>
        </w:tc>
        <w:tc>
          <w:tcPr>
            <w:tcW w:w="1920" w:type="dxa"/>
            <w:vAlign w:val="bottom"/>
          </w:tcPr>
          <w:p>
            <w:pPr>
              <w:spacing w:after="0" w:line="201" w:lineRule="exact"/>
              <w:rPr>
                <w:sz w:val="20"/>
                <w:szCs w:val="20"/>
                <w:color w:val="auto"/>
              </w:rPr>
            </w:pPr>
            <w:r>
              <w:rPr>
                <w:rFonts w:ascii="Arial" w:cs="Arial" w:eastAsia="Arial" w:hAnsi="Arial"/>
                <w:sz w:val="18"/>
                <w:szCs w:val="18"/>
                <w:color w:val="auto"/>
                <w:w w:val="90"/>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2.3x</w:t>
            </w: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 5.5x (4.7x)</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tcPr>
          <w:p>
            <w:pPr>
              <w:spacing w:after="0"/>
              <w:rPr>
                <w:sz w:val="20"/>
                <w:szCs w:val="20"/>
                <w:color w:val="auto"/>
              </w:rPr>
            </w:pPr>
            <w:r>
              <w:rPr>
                <w:rFonts w:ascii="Arial" w:cs="Arial" w:eastAsia="Arial" w:hAnsi="Arial"/>
                <w:sz w:val="18"/>
                <w:szCs w:val="18"/>
                <w:color w:val="auto"/>
              </w:rPr>
              <w:t>$1.5 million – $2.3 million ($1.7 million)</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0.3x – 0.9x (0.7x)</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3880" w:type="dxa"/>
            <w:vAlign w:val="bottom"/>
            <w:gridSpan w:val="2"/>
          </w:tcPr>
          <w:p>
            <w:pPr>
              <w:spacing w:after="0"/>
              <w:rPr>
                <w:sz w:val="20"/>
                <w:szCs w:val="20"/>
                <w:color w:val="auto"/>
              </w:rPr>
            </w:pPr>
            <w:r>
              <w:rPr>
                <w:rFonts w:ascii="Arial" w:cs="Arial" w:eastAsia="Arial" w:hAnsi="Arial"/>
                <w:sz w:val="18"/>
                <w:szCs w:val="18"/>
                <w:color w:val="auto"/>
              </w:rPr>
              <w:t>$13.2 million – $15.1 million ($14.0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600" w:type="dxa"/>
            <w:vAlign w:val="bottom"/>
            <w:gridSpan w:val="2"/>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16.1</w:t>
            </w: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14.5% – 16.5% (15.9%)</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4.6x</w:t>
            </w: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5.1x (4.8x)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$66.8 million – $78.9 million ($75.3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600" w:type="dxa"/>
            <w:vAlign w:val="bottom"/>
            <w:gridSpan w:val="2"/>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18.9</w:t>
            </w: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12.2% – 12.2% (12.2%)</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tcPr>
          <w:p>
            <w:pPr>
              <w:spacing w:after="0"/>
              <w:rPr>
                <w:sz w:val="20"/>
                <w:szCs w:val="20"/>
                <w:color w:val="auto"/>
              </w:rPr>
            </w:pPr>
            <w:r>
              <w:rPr>
                <w:rFonts w:ascii="Arial" w:cs="Arial" w:eastAsia="Arial" w:hAnsi="Arial"/>
                <w:sz w:val="18"/>
                <w:szCs w:val="18"/>
                <w:color w:val="auto"/>
                <w:w w:val="93"/>
              </w:rPr>
              <w:t>7.0x</w:t>
            </w:r>
          </w:p>
        </w:tc>
        <w:tc>
          <w:tcPr>
            <w:tcW w:w="3540" w:type="dxa"/>
            <w:vAlign w:val="bottom"/>
          </w:tcPr>
          <w:p>
            <w:pPr>
              <w:ind w:left="20"/>
              <w:spacing w:after="0"/>
              <w:rPr>
                <w:sz w:val="20"/>
                <w:szCs w:val="20"/>
                <w:color w:val="auto"/>
              </w:rPr>
            </w:pPr>
            <w:r>
              <w:rPr>
                <w:rFonts w:ascii="Arial" w:cs="Arial" w:eastAsia="Arial" w:hAnsi="Arial"/>
                <w:sz w:val="18"/>
                <w:szCs w:val="18"/>
                <w:color w:val="auto"/>
              </w:rPr>
              <w:t>– 7.0x (7.0x)</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tcPr>
          <w:p>
            <w:pPr>
              <w:spacing w:after="0"/>
              <w:rPr>
                <w:sz w:val="20"/>
                <w:szCs w:val="20"/>
                <w:color w:val="auto"/>
              </w:rPr>
            </w:pPr>
            <w:r>
              <w:rPr>
                <w:rFonts w:ascii="Arial" w:cs="Arial" w:eastAsia="Arial" w:hAnsi="Arial"/>
                <w:sz w:val="18"/>
                <w:szCs w:val="18"/>
                <w:color w:val="auto"/>
              </w:rPr>
              <w:t>$9.6 million – $9.6 million ($9.6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600" w:type="dxa"/>
            <w:vAlign w:val="bottom"/>
            <w:gridSpan w:val="2"/>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31.8</w:t>
            </w: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Enterprise Value Waterfall</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6.0x</w:t>
            </w:r>
          </w:p>
        </w:tc>
        <w:tc>
          <w:tcPr>
            <w:tcW w:w="3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8.0x (7.9x)</w:t>
            </w:r>
          </w:p>
        </w:tc>
      </w:tr>
      <w:tr>
        <w:trPr>
          <w:trHeight w:val="217"/>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and Asset</w:t>
            </w:r>
            <w:r>
              <w:rPr>
                <w:rFonts w:ascii="Arial" w:cs="Arial" w:eastAsia="Arial" w:hAnsi="Arial"/>
                <w:sz w:val="25"/>
                <w:szCs w:val="25"/>
                <w:color w:val="auto"/>
                <w:vertAlign w:val="superscript"/>
              </w:rPr>
              <w:t>(1)</w:t>
            </w: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 million – $2.6 million ($2.6 million)</w:t>
            </w:r>
          </w:p>
        </w:tc>
      </w:tr>
      <w:tr>
        <w:trPr>
          <w:trHeight w:val="215"/>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 Multiple</w:t>
            </w:r>
          </w:p>
        </w:tc>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0.3x – 0.4x (0.4x)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$111.2 million – $558.7 million ($404.9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Equity and warrants</w:t>
            </w:r>
          </w:p>
        </w:tc>
        <w:tc>
          <w:tcPr>
            <w:tcW w:w="600" w:type="dxa"/>
            <w:vAlign w:val="bottom"/>
            <w:gridSpan w:val="2"/>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68.9</w:t>
            </w:r>
          </w:p>
        </w:tc>
        <w:tc>
          <w:tcPr>
            <w:tcW w:w="1920" w:type="dxa"/>
            <w:vAlign w:val="bottom"/>
          </w:tcPr>
          <w:p>
            <w:pPr>
              <w:spacing w:after="0" w:line="201" w:lineRule="exact"/>
              <w:rPr>
                <w:sz w:val="20"/>
                <w:szCs w:val="20"/>
                <w:color w:val="auto"/>
              </w:rPr>
            </w:pPr>
            <w:r>
              <w:rPr>
                <w:rFonts w:ascii="Arial" w:cs="Arial" w:eastAsia="Arial" w:hAnsi="Arial"/>
                <w:sz w:val="18"/>
                <w:szCs w:val="18"/>
                <w:color w:val="auto"/>
                <w:w w:val="90"/>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5.3x</w:t>
            </w: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 14.5x (7.2x)</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tcPr>
          <w:p>
            <w:pPr>
              <w:spacing w:after="0"/>
              <w:rPr>
                <w:sz w:val="20"/>
                <w:szCs w:val="20"/>
                <w:color w:val="auto"/>
              </w:rPr>
            </w:pPr>
            <w:r>
              <w:rPr>
                <w:rFonts w:ascii="Arial" w:cs="Arial" w:eastAsia="Arial" w:hAnsi="Arial"/>
                <w:sz w:val="18"/>
                <w:szCs w:val="18"/>
                <w:color w:val="auto"/>
              </w:rPr>
              <w:t>$1.8 million – $24.9 million ($16.1 million)</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0.4x</w:t>
            </w:r>
          </w:p>
        </w:tc>
        <w:tc>
          <w:tcPr>
            <w:tcW w:w="3540" w:type="dxa"/>
            <w:vAlign w:val="bottom"/>
          </w:tcPr>
          <w:p>
            <w:pPr>
              <w:ind w:left="20"/>
              <w:spacing w:after="0"/>
              <w:rPr>
                <w:sz w:val="20"/>
                <w:szCs w:val="20"/>
                <w:color w:val="auto"/>
              </w:rPr>
            </w:pPr>
            <w:r>
              <w:rPr>
                <w:rFonts w:ascii="Arial" w:cs="Arial" w:eastAsia="Arial" w:hAnsi="Arial"/>
                <w:sz w:val="18"/>
                <w:szCs w:val="18"/>
                <w:color w:val="auto"/>
              </w:rPr>
              <w:t>– 0.4x (0.4x)</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3880" w:type="dxa"/>
            <w:vAlign w:val="bottom"/>
            <w:gridSpan w:val="2"/>
          </w:tcPr>
          <w:p>
            <w:pPr>
              <w:spacing w:after="0"/>
              <w:rPr>
                <w:sz w:val="20"/>
                <w:szCs w:val="20"/>
                <w:color w:val="auto"/>
              </w:rPr>
            </w:pPr>
            <w:r>
              <w:rPr>
                <w:rFonts w:ascii="Arial" w:cs="Arial" w:eastAsia="Arial" w:hAnsi="Arial"/>
                <w:sz w:val="18"/>
                <w:szCs w:val="18"/>
                <w:color w:val="auto"/>
              </w:rPr>
              <w:t>$156.1 million – $558.7 million ($450.8 million)</w:t>
            </w: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$0.8 million in subordinated debt was valued using the asset approach.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the Company’s $13.8 million investment in CSLF II, measured at NAV.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2018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1920" w:type="dxa"/>
            <w:vAlign w:val="bottom"/>
          </w:tcPr>
          <w:p>
            <w:pPr>
              <w:ind w:left="58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(in millions)</w:t>
            </w:r>
          </w:p>
        </w:tc>
        <w:tc>
          <w:tcPr>
            <w:tcW w:w="1920" w:type="dxa"/>
            <w:vAlign w:val="bottom"/>
          </w:tcPr>
          <w:p>
            <w:pPr>
              <w:ind w:left="580"/>
              <w:spacing w:after="0"/>
              <w:rPr>
                <w:sz w:val="20"/>
                <w:szCs w:val="20"/>
                <w:color w:val="auto"/>
              </w:rPr>
            </w:pPr>
            <w:r>
              <w:rPr>
                <w:rFonts w:ascii="Arial" w:cs="Arial" w:eastAsia="Arial" w:hAnsi="Arial"/>
                <w:sz w:val="18"/>
                <w:szCs w:val="18"/>
                <w:b w:val="1"/>
                <w:bCs w:val="1"/>
                <w:color w:val="auto"/>
              </w:rPr>
              <w:t>Approach</w:t>
            </w:r>
          </w:p>
        </w:tc>
        <w:tc>
          <w:tcPr>
            <w:tcW w:w="120" w:type="dxa"/>
            <w:vAlign w:val="bottom"/>
          </w:tcPr>
          <w:p>
            <w:pPr>
              <w:spacing w:after="0"/>
              <w:rPr>
                <w:sz w:val="20"/>
                <w:szCs w:val="20"/>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340" w:type="dxa"/>
            <w:vAlign w:val="bottom"/>
          </w:tcPr>
          <w:p>
            <w:pPr>
              <w:spacing w:after="0"/>
              <w:rPr>
                <w:sz w:val="20"/>
                <w:szCs w:val="20"/>
                <w:color w:val="auto"/>
              </w:rPr>
            </w:pPr>
          </w:p>
        </w:tc>
        <w:tc>
          <w:tcPr>
            <w:tcW w:w="3540" w:type="dxa"/>
            <w:vAlign w:val="bottom"/>
          </w:tcPr>
          <w:p>
            <w:pPr>
              <w:ind w:left="58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7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195.1</w:t>
            </w:r>
          </w:p>
        </w:tc>
        <w:tc>
          <w:tcPr>
            <w:tcW w:w="2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6"/>
                <w:szCs w:val="16"/>
                <w:color w:val="auto"/>
              </w:rPr>
            </w:pPr>
          </w:p>
        </w:tc>
        <w:tc>
          <w:tcPr>
            <w:tcW w:w="38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9.2% – 16.0% (12.1%)</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1.0x</w:t>
            </w: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13.5x (4.3x)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 million – $118.7 million ($17.6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600" w:type="dxa"/>
            <w:vAlign w:val="bottom"/>
            <w:gridSpan w:val="2"/>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42.5</w:t>
            </w:r>
          </w:p>
        </w:tc>
        <w:tc>
          <w:tcPr>
            <w:tcW w:w="1920" w:type="dxa"/>
            <w:vAlign w:val="bottom"/>
          </w:tcPr>
          <w:p>
            <w:pPr>
              <w:spacing w:after="0" w:line="201" w:lineRule="exact"/>
              <w:rPr>
                <w:sz w:val="20"/>
                <w:szCs w:val="20"/>
                <w:color w:val="auto"/>
              </w:rPr>
            </w:pPr>
            <w:r>
              <w:rPr>
                <w:rFonts w:ascii="Arial" w:cs="Arial" w:eastAsia="Arial" w:hAnsi="Arial"/>
                <w:sz w:val="18"/>
                <w:szCs w:val="18"/>
                <w:color w:val="auto"/>
                <w:w w:val="90"/>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4.0x</w:t>
            </w: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 6.0x (5.3x)</w:t>
            </w:r>
          </w:p>
        </w:tc>
      </w:tr>
      <w:tr>
        <w:trPr>
          <w:trHeight w:val="217"/>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tcPr>
          <w:p>
            <w:pPr>
              <w:spacing w:after="0"/>
              <w:rPr>
                <w:sz w:val="20"/>
                <w:szCs w:val="20"/>
                <w:color w:val="auto"/>
              </w:rPr>
            </w:pPr>
            <w:r>
              <w:rPr>
                <w:rFonts w:ascii="Arial" w:cs="Arial" w:eastAsia="Arial" w:hAnsi="Arial"/>
                <w:sz w:val="18"/>
                <w:szCs w:val="18"/>
                <w:color w:val="auto"/>
              </w:rPr>
              <w:t>$0.6 million – $3.7 million ($2.3 million)</w:t>
            </w:r>
          </w:p>
        </w:tc>
      </w:tr>
      <w:tr>
        <w:trPr>
          <w:trHeight w:val="215"/>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0.9x</w:t>
            </w:r>
          </w:p>
        </w:tc>
        <w:tc>
          <w:tcPr>
            <w:tcW w:w="3540" w:type="dxa"/>
            <w:vAlign w:val="bottom"/>
          </w:tcPr>
          <w:p>
            <w:pPr>
              <w:ind w:left="20"/>
              <w:spacing w:after="0"/>
              <w:rPr>
                <w:sz w:val="20"/>
                <w:szCs w:val="20"/>
                <w:color w:val="auto"/>
              </w:rPr>
            </w:pPr>
            <w:r>
              <w:rPr>
                <w:rFonts w:ascii="Arial" w:cs="Arial" w:eastAsia="Arial" w:hAnsi="Arial"/>
                <w:sz w:val="18"/>
                <w:szCs w:val="18"/>
                <w:color w:val="auto"/>
              </w:rPr>
              <w:t>– 0.9x (0.9x)</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3880" w:type="dxa"/>
            <w:vAlign w:val="bottom"/>
            <w:gridSpan w:val="2"/>
          </w:tcPr>
          <w:p>
            <w:pPr>
              <w:spacing w:after="0"/>
              <w:rPr>
                <w:sz w:val="20"/>
                <w:szCs w:val="20"/>
                <w:color w:val="auto"/>
              </w:rPr>
            </w:pPr>
            <w:r>
              <w:rPr>
                <w:rFonts w:ascii="Arial" w:cs="Arial" w:eastAsia="Arial" w:hAnsi="Arial"/>
                <w:sz w:val="18"/>
                <w:szCs w:val="18"/>
                <w:color w:val="auto"/>
              </w:rPr>
              <w:t>$13.0 million – $13.0 million ($13.0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600" w:type="dxa"/>
            <w:vAlign w:val="bottom"/>
            <w:gridSpan w:val="2"/>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16.2</w:t>
            </w: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12.5% – 15.5% (14.6%)</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4.6x</w:t>
            </w: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5.0x (4.8x)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$67.0 million – $79.2 million ($75.5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Second lien debt</w:t>
            </w:r>
          </w:p>
        </w:tc>
        <w:tc>
          <w:tcPr>
            <w:tcW w:w="600" w:type="dxa"/>
            <w:vAlign w:val="bottom"/>
            <w:gridSpan w:val="2"/>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16.3</w:t>
            </w:r>
          </w:p>
        </w:tc>
        <w:tc>
          <w:tcPr>
            <w:tcW w:w="1920" w:type="dxa"/>
            <w:vAlign w:val="bottom"/>
          </w:tcPr>
          <w:p>
            <w:pPr>
              <w:spacing w:after="0" w:line="201" w:lineRule="exact"/>
              <w:rPr>
                <w:sz w:val="20"/>
                <w:szCs w:val="20"/>
                <w:color w:val="auto"/>
              </w:rPr>
            </w:pPr>
            <w:r>
              <w:rPr>
                <w:rFonts w:ascii="Arial" w:cs="Arial" w:eastAsia="Arial" w:hAnsi="Arial"/>
                <w:sz w:val="18"/>
                <w:szCs w:val="18"/>
                <w:color w:val="auto"/>
                <w:w w:val="90"/>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5.6x</w:t>
            </w: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 5.6x (5.6x)</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tcPr>
          <w:p>
            <w:pPr>
              <w:spacing w:after="0"/>
              <w:rPr>
                <w:sz w:val="20"/>
                <w:szCs w:val="20"/>
                <w:color w:val="auto"/>
              </w:rPr>
            </w:pPr>
            <w:r>
              <w:rPr>
                <w:rFonts w:ascii="Arial" w:cs="Arial" w:eastAsia="Arial" w:hAnsi="Arial"/>
                <w:sz w:val="18"/>
                <w:szCs w:val="18"/>
                <w:color w:val="auto"/>
              </w:rPr>
              <w:t>$9.2 million – $9.2 million ($9.2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600" w:type="dxa"/>
            <w:vAlign w:val="bottom"/>
            <w:gridSpan w:val="2"/>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49.3</w:t>
            </w: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11.5% – 20.0% (14.1%)</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3.1x</w:t>
            </w: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9.1x (5.7x)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 million – $15.8 million ($10.5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600" w:type="dxa"/>
            <w:vAlign w:val="bottom"/>
            <w:gridSpan w:val="2"/>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23.8</w:t>
            </w:r>
          </w:p>
        </w:tc>
        <w:tc>
          <w:tcPr>
            <w:tcW w:w="1920" w:type="dxa"/>
            <w:vAlign w:val="bottom"/>
          </w:tcPr>
          <w:p>
            <w:pPr>
              <w:spacing w:after="0" w:line="201" w:lineRule="exact"/>
              <w:rPr>
                <w:sz w:val="20"/>
                <w:szCs w:val="20"/>
                <w:color w:val="auto"/>
              </w:rPr>
            </w:pPr>
            <w:r>
              <w:rPr>
                <w:rFonts w:ascii="Arial" w:cs="Arial" w:eastAsia="Arial" w:hAnsi="Arial"/>
                <w:sz w:val="18"/>
                <w:szCs w:val="18"/>
                <w:color w:val="auto"/>
                <w:w w:val="90"/>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6.0x</w:t>
            </w: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 8.0x (7.9x)</w:t>
            </w:r>
          </w:p>
        </w:tc>
      </w:tr>
      <w:tr>
        <w:trPr>
          <w:trHeight w:val="217"/>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tcPr>
          <w:p>
            <w:pPr>
              <w:spacing w:after="0"/>
              <w:rPr>
                <w:sz w:val="20"/>
                <w:szCs w:val="20"/>
                <w:color w:val="auto"/>
              </w:rPr>
            </w:pPr>
            <w:r>
              <w:rPr>
                <w:rFonts w:ascii="Arial" w:cs="Arial" w:eastAsia="Arial" w:hAnsi="Arial"/>
                <w:sz w:val="18"/>
                <w:szCs w:val="18"/>
                <w:color w:val="auto"/>
              </w:rPr>
              <w:t>$1.7 million – $3.1 million ($3.0 million)</w:t>
            </w:r>
          </w:p>
        </w:tc>
      </w:tr>
      <w:tr>
        <w:trPr>
          <w:trHeight w:val="215"/>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0.4x</w:t>
            </w:r>
          </w:p>
        </w:tc>
        <w:tc>
          <w:tcPr>
            <w:tcW w:w="3540" w:type="dxa"/>
            <w:vAlign w:val="bottom"/>
          </w:tcPr>
          <w:p>
            <w:pPr>
              <w:ind w:left="20"/>
              <w:spacing w:after="0"/>
              <w:rPr>
                <w:sz w:val="20"/>
                <w:szCs w:val="20"/>
                <w:color w:val="auto"/>
              </w:rPr>
            </w:pPr>
            <w:r>
              <w:rPr>
                <w:rFonts w:ascii="Arial" w:cs="Arial" w:eastAsia="Arial" w:hAnsi="Arial"/>
                <w:sz w:val="18"/>
                <w:szCs w:val="18"/>
                <w:color w:val="auto"/>
              </w:rPr>
              <w:t>– 0.4x (0.4x)</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3880" w:type="dxa"/>
            <w:vAlign w:val="bottom"/>
            <w:gridSpan w:val="2"/>
          </w:tcPr>
          <w:p>
            <w:pPr>
              <w:spacing w:after="0"/>
              <w:rPr>
                <w:sz w:val="20"/>
                <w:szCs w:val="20"/>
                <w:color w:val="auto"/>
              </w:rPr>
            </w:pPr>
            <w:r>
              <w:rPr>
                <w:rFonts w:ascii="Arial" w:cs="Arial" w:eastAsia="Arial" w:hAnsi="Arial"/>
                <w:sz w:val="18"/>
                <w:szCs w:val="18"/>
                <w:color w:val="auto"/>
              </w:rPr>
              <w:t>$568.2 million – $568.2 million ($568.2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and warrants</w:t>
            </w:r>
          </w:p>
        </w:tc>
        <w:tc>
          <w:tcPr>
            <w:tcW w:w="600" w:type="dxa"/>
            <w:vAlign w:val="bottom"/>
            <w:gridSpan w:val="2"/>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92.1</w:t>
            </w: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Enterprise Value Waterfall</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3.3x</w:t>
            </w:r>
          </w:p>
        </w:tc>
        <w:tc>
          <w:tcPr>
            <w:tcW w:w="3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14.0x (6.5x)</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 million – $112.3 million ($27.8 million)</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 Multiple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0.4x</w:t>
            </w: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0.4x (0.4x)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$164.6 million – $568.2 million ($455.1 million)</w:t>
            </w:r>
          </w:p>
        </w:tc>
      </w:tr>
    </w:tbl>
    <w:p>
      <w:pPr>
        <w:spacing w:after="0" w:line="20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$0.7 million in subordinated debt and $2.9 million in first lien debt were valued using the asset approach.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the Company’s $13.7 million investment in CSLF II, measured at NAV.</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Capitala and Trinity Universal Insurance Company (“Trinity”), a subsidiary of Kemper Corporation, entered into a limited liability company agreement (the “LLC Agreement”) to co-manage CSLF II. The purpose and design of the joint venture is to invest primarily in senior secured first-out loans. Capitala and Trinity have committed to provide $25.0 million of equity to CSLF II, with Capitala providing $20.0 million and Trinity providing $5.0 million. Capitala and Trinity each appointed two members to CSLF II’s four-person board of directors and investment committee. All material decisions with respect to CSLF II, including those involving its investment portfolio, require approval of a member on the board of directors and investment committee of at least one member representing Capitala and Trinity, respectively.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2019 and December 31, 2018, $13.6 million and $3.4 million in equity capital had been contributed by Capitala and Trinity, respectively. As of June 30, 2019, and December 31, 2018, the Company and Trinity had $6.4 million and $1.6 million of unfunded equity capital commitments outstanding, respectively. The Company’s equity investment in CSLF II is not redeemable.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right="20" w:firstLine="648"/>
        <w:spacing w:after="0" w:line="264" w:lineRule="auto"/>
        <w:rPr>
          <w:sz w:val="20"/>
          <w:szCs w:val="20"/>
          <w:color w:val="auto"/>
        </w:rPr>
      </w:pPr>
      <w:r>
        <w:rPr>
          <w:rFonts w:ascii="Arial" w:cs="Arial" w:eastAsia="Arial" w:hAnsi="Arial"/>
          <w:sz w:val="18"/>
          <w:szCs w:val="18"/>
          <w:color w:val="auto"/>
        </w:rPr>
        <w:t>For the three months ended June 30, 2019 and 2018, the Company received $0.4 million and $0.0 million, respectively, in dividend income from its equity interest in CSLF II. For the six months ended June 30, 2019 and 2018, the Company received $0.4 million and $0.0 million, respectively, in dividend income from its equity interest in CSLF II.</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June 30, 2019 and December 31, 2018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w w:val="95"/>
              </w:rPr>
              <w:t>June 30, 2019</w:t>
            </w:r>
          </w:p>
        </w:tc>
        <w:tc>
          <w:tcPr>
            <w:tcW w:w="28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First lien loans </w:t>
            </w:r>
            <w:r>
              <w:rPr>
                <w:rFonts w:ascii="Arial" w:cs="Arial" w:eastAsia="Arial" w:hAnsi="Arial"/>
                <w:sz w:val="29"/>
                <w:szCs w:val="29"/>
                <w:color w:val="auto"/>
                <w:vertAlign w:val="superscript"/>
              </w:rPr>
              <w:t>(1)</w:t>
            </w:r>
          </w:p>
        </w:tc>
        <w:tc>
          <w:tcPr>
            <w:tcW w:w="2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vMerge w:val="continue"/>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16,866</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CSLF II</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200" w:type="dxa"/>
            <w:vAlign w:val="bottom"/>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6,915</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29"/>
                <w:szCs w:val="29"/>
                <w:color w:val="auto"/>
                <w:vertAlign w:val="superscript"/>
              </w:rPr>
              <w:t>(1)(2)</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16,866</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principal amount outstanding at period end.</w:t>
      </w:r>
    </w:p>
    <w:p>
      <w:pPr>
        <w:spacing w:after="0" w:line="225" w:lineRule="exact"/>
        <w:rPr>
          <w:rFonts w:ascii="Arial" w:cs="Arial" w:eastAsia="Arial" w:hAnsi="Arial"/>
          <w:sz w:val="18"/>
          <w:szCs w:val="18"/>
          <w:color w:val="auto"/>
        </w:rPr>
      </w:pPr>
    </w:p>
    <w:p>
      <w:pPr>
        <w:ind w:left="660" w:right="3340" w:hanging="652"/>
        <w:spacing w:after="0" w:line="558" w:lineRule="auto"/>
        <w:tabs>
          <w:tab w:leader="none" w:pos="3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Only three investments and two investments held as of June 30, 2019 and December 31, 2018, respectively. Below is CSLF II’s unaudited schedule of investments as of June 30, 2019 (dollars in thousands):</w:t>
      </w:r>
    </w:p>
    <w:tbl>
      <w:tblPr>
        <w:tblLayout w:type="fixed"/>
        <w:tblInd w:w="0" w:type="dxa"/>
        <w:tblCellMar>
          <w:top w:w="0" w:type="dxa"/>
          <w:left w:w="0" w:type="dxa"/>
          <w:bottom w:w="0" w:type="dxa"/>
          <w:right w:w="0" w:type="dxa"/>
        </w:tblCellMar>
      </w:tblPr>
      <w:tr>
        <w:trPr>
          <w:trHeight w:val="149"/>
        </w:trPr>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2"/>
                <w:szCs w:val="12"/>
                <w:color w:val="auto"/>
              </w:rPr>
            </w:pP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320" w:type="dxa"/>
            <w:vAlign w:val="bottom"/>
          </w:tcPr>
          <w:p>
            <w:pPr>
              <w:spacing w:after="0"/>
              <w:rPr>
                <w:sz w:val="12"/>
                <w:szCs w:val="12"/>
                <w:color w:val="auto"/>
              </w:rPr>
            </w:pPr>
          </w:p>
        </w:tc>
        <w:tc>
          <w:tcPr>
            <w:tcW w:w="31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Type of Investment</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U.S. BioTek Laboratories,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Testing Laboratories</w:t>
            </w:r>
          </w:p>
        </w:tc>
        <w:tc>
          <w:tcPr>
            <w:tcW w:w="3440" w:type="dxa"/>
            <w:vAlign w:val="bottom"/>
            <w:gridSpan w:val="3"/>
          </w:tcPr>
          <w:p>
            <w:pPr>
              <w:spacing w:after="0" w:line="130" w:lineRule="exact"/>
              <w:rPr>
                <w:sz w:val="20"/>
                <w:szCs w:val="20"/>
                <w:color w:val="auto"/>
              </w:rPr>
            </w:pPr>
            <w:r>
              <w:rPr>
                <w:rFonts w:ascii="Arial" w:cs="Arial" w:eastAsia="Arial" w:hAnsi="Arial"/>
                <w:sz w:val="14"/>
                <w:szCs w:val="14"/>
                <w:color w:val="auto"/>
              </w:rPr>
              <w:t>First Lien Debt (7.5% Cash (3 month LIBOR + 5.0%,</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w w:val="93"/>
              </w:rPr>
              <w:t>2.0%</w:t>
            </w: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Floor), Due 12/14/23)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4,478</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4,478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4,478</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2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 Machine Repair</w:t>
            </w:r>
          </w:p>
        </w:tc>
        <w:tc>
          <w:tcPr>
            <w:tcW w:w="3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First Lien Debt (7.4% Cash (1 month LIBOR + 5.0%,</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w w:val="93"/>
              </w:rPr>
              <w:t>2.0%</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Floor), Due 12/20/23)</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5,473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5,473</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RAM Payment,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Financial Services</w:t>
            </w:r>
          </w:p>
        </w:tc>
        <w:tc>
          <w:tcPr>
            <w:tcW w:w="3440" w:type="dxa"/>
            <w:vAlign w:val="bottom"/>
            <w:gridSpan w:val="3"/>
          </w:tcPr>
          <w:p>
            <w:pPr>
              <w:spacing w:after="0" w:line="130" w:lineRule="exact"/>
              <w:rPr>
                <w:sz w:val="20"/>
                <w:szCs w:val="20"/>
                <w:color w:val="auto"/>
              </w:rPr>
            </w:pPr>
            <w:r>
              <w:rPr>
                <w:rFonts w:ascii="Arial" w:cs="Arial" w:eastAsia="Arial" w:hAnsi="Arial"/>
                <w:sz w:val="14"/>
                <w:szCs w:val="14"/>
                <w:color w:val="auto"/>
              </w:rPr>
              <w:t>First Lien Debt (7.4% Cash (1 month LIBOR + 5.0%,</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4"/>
                <w:szCs w:val="14"/>
                <w:color w:val="auto"/>
                <w:w w:val="93"/>
              </w:rPr>
              <w:t>1.5%</w:t>
            </w: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Floor), Due 1/4/24)</w:t>
            </w:r>
          </w:p>
        </w:tc>
        <w:tc>
          <w:tcPr>
            <w:tcW w:w="1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6,915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6,915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6,915</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0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16,866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CSLF II’s schedule of investments as of December 31, 2018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4"/>
                <w:szCs w:val="14"/>
                <w:color w:val="auto"/>
              </w:rPr>
            </w:pP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344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Type of Investment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U.S. BioTek Laboratories,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Testing Laboratories</w:t>
            </w:r>
          </w:p>
        </w:tc>
        <w:tc>
          <w:tcPr>
            <w:tcW w:w="3440" w:type="dxa"/>
            <w:vAlign w:val="bottom"/>
            <w:gridSpan w:val="2"/>
          </w:tcPr>
          <w:p>
            <w:pPr>
              <w:spacing w:after="0" w:line="130" w:lineRule="exact"/>
              <w:rPr>
                <w:sz w:val="20"/>
                <w:szCs w:val="20"/>
                <w:color w:val="auto"/>
              </w:rPr>
            </w:pPr>
            <w:r>
              <w:rPr>
                <w:rFonts w:ascii="Arial" w:cs="Arial" w:eastAsia="Arial" w:hAnsi="Arial"/>
                <w:sz w:val="14"/>
                <w:szCs w:val="14"/>
                <w:color w:val="auto"/>
              </w:rPr>
              <w:t>First Lien Debt (7.8% Cash (3 month LIBOR + 5.0%,</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2.0% Floor), Due 12/14/23)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4,500</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4,500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2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 Machine Repair</w:t>
            </w:r>
          </w:p>
        </w:tc>
        <w:tc>
          <w:tcPr>
            <w:tcW w:w="3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(7.5% Cash (1 month LIBOR + 5.0%,</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 Floor), Due 12/20/23)</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Below are the Statements of Assets and Liabilities for CSLF II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1240"/>
              <w:spacing w:after="0"/>
              <w:rPr>
                <w:sz w:val="20"/>
                <w:szCs w:val="20"/>
                <w:color w:val="auto"/>
              </w:rPr>
            </w:pPr>
            <w:r>
              <w:rPr>
                <w:rFonts w:ascii="Arial" w:cs="Arial" w:eastAsia="Arial" w:hAnsi="Arial"/>
                <w:sz w:val="18"/>
                <w:szCs w:val="18"/>
                <w:b w:val="1"/>
                <w:bCs w:val="1"/>
                <w:color w:val="auto"/>
              </w:rPr>
              <w:t>As of</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June 30, 2019</w:t>
            </w: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Investments at fair value (amortized cost of $16,866 and $10,000, respectively)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16,866</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Interest receivable</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Partners’ capital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17,203</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23"/>
        </w:trPr>
        <w:tc>
          <w:tcPr>
            <w:tcW w:w="6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assets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4"/>
          </w:tcPr>
          <w:p>
            <w:pPr>
              <w:ind w:left="660"/>
              <w:spacing w:after="0"/>
              <w:rPr>
                <w:sz w:val="20"/>
                <w:szCs w:val="20"/>
                <w:color w:val="auto"/>
              </w:rPr>
            </w:pPr>
            <w:r>
              <w:rPr>
                <w:rFonts w:ascii="Arial" w:cs="Arial" w:eastAsia="Arial" w:hAnsi="Arial"/>
                <w:sz w:val="18"/>
                <w:szCs w:val="18"/>
                <w:color w:val="auto"/>
                <w:w w:val="93"/>
              </w:rPr>
              <w:t>Below are the unaudited Statements of Operations for CSLF II (dollars 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6"/>
          </w:tcPr>
          <w:p>
            <w:pPr>
              <w:ind w:left="24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620" w:type="dxa"/>
            <w:vAlign w:val="bottom"/>
          </w:tcPr>
          <w:p>
            <w:pPr>
              <w:spacing w:after="0"/>
              <w:rPr>
                <w:sz w:val="19"/>
                <w:szCs w:val="19"/>
                <w:color w:val="auto"/>
              </w:rPr>
            </w:pPr>
          </w:p>
        </w:tc>
        <w:tc>
          <w:tcPr>
            <w:tcW w:w="138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June 30, 2019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7"/>
              </w:rPr>
              <w:t>June 30, 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June 30, 2018</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INCREASE IN NET ASSETS RESULTING FROM OPERATIONS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38</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9" w:name="page40"/>
    <w:bookmarkEnd w:id="39"/>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2019,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ectPr>
          <w:pgSz w:w="11900" w:h="16900" w:orient="portrait"/>
          <w:cols w:equalWidth="0" w:num="1">
            <w:col w:w="11420"/>
          </w:cols>
          <w:pgMar w:left="240" w:top="904" w:right="239" w:bottom="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or Dividends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 xml:space="preserve">Company </w:t>
            </w:r>
            <w:r>
              <w:rPr>
                <w:rFonts w:ascii="Arial" w:cs="Arial" w:eastAsia="Arial" w:hAnsi="Arial"/>
                <w:sz w:val="23"/>
                <w:szCs w:val="23"/>
                <w:b w:val="1"/>
                <w:bCs w:val="1"/>
                <w:color w:val="auto"/>
                <w:w w:val="90"/>
                <w:vertAlign w:val="superscript"/>
              </w:rPr>
              <w:t>(4)</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Credited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320" w:type="dxa"/>
            <w:vAlign w:val="bottom"/>
            <w:gridSpan w:val="4"/>
          </w:tcPr>
          <w:p>
            <w:pPr>
              <w:ind w:left="220"/>
              <w:spacing w:after="0"/>
              <w:rPr>
                <w:sz w:val="20"/>
                <w:szCs w:val="20"/>
                <w:color w:val="auto"/>
              </w:rPr>
            </w:pPr>
            <w:r>
              <w:rPr>
                <w:rFonts w:ascii="Arial" w:cs="Arial" w:eastAsia="Arial" w:hAnsi="Arial"/>
                <w:sz w:val="14"/>
                <w:szCs w:val="14"/>
                <w:b w:val="1"/>
                <w:bCs w:val="1"/>
                <w:color w:val="auto"/>
              </w:rPr>
              <w:t>Type of Investment   Amount</w:t>
            </w:r>
          </w:p>
        </w:tc>
        <w:tc>
          <w:tcPr>
            <w:tcW w:w="820" w:type="dxa"/>
            <w:vAlign w:val="bottom"/>
            <w:gridSpan w:val="2"/>
          </w:tcPr>
          <w:p>
            <w:pPr>
              <w:jc w:val="center"/>
              <w:ind w:right="20"/>
              <w:spacing w:after="0" w:line="176" w:lineRule="exact"/>
              <w:rPr>
                <w:sz w:val="20"/>
                <w:szCs w:val="20"/>
                <w:color w:val="auto"/>
              </w:rPr>
            </w:pPr>
            <w:r>
              <w:rPr>
                <w:rFonts w:ascii="Arial" w:cs="Arial" w:eastAsia="Arial" w:hAnsi="Arial"/>
                <w:sz w:val="13"/>
                <w:szCs w:val="13"/>
                <w:b w:val="1"/>
                <w:bCs w:val="1"/>
                <w:color w:val="auto"/>
                <w:w w:val="98"/>
              </w:rPr>
              <w:t xml:space="preserve">to Income </w:t>
            </w:r>
            <w:r>
              <w:rPr>
                <w:rFonts w:ascii="Arial" w:cs="Arial" w:eastAsia="Arial" w:hAnsi="Arial"/>
                <w:sz w:val="20"/>
                <w:szCs w:val="20"/>
                <w:b w:val="1"/>
                <w:bCs w:val="1"/>
                <w:color w:val="auto"/>
                <w:w w:val="98"/>
                <w:vertAlign w:val="superscript"/>
              </w:rPr>
              <w:t>(1)</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i w:val="1"/>
                <w:iCs w:val="1"/>
                <w:color w:val="auto"/>
                <w:w w:val="87"/>
              </w:rPr>
              <w:t>Affiliate investments</w:t>
            </w:r>
          </w:p>
        </w:tc>
        <w:tc>
          <w:tcPr>
            <w:tcW w:w="1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December 31, 2018</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Realized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49"/>
        </w:trPr>
        <w:tc>
          <w:tcPr>
            <w:tcW w:w="1320" w:type="dxa"/>
            <w:vAlign w:val="bottom"/>
            <w:gridSpan w:val="2"/>
            <w:vMerge w:val="continue"/>
          </w:tcPr>
          <w:p>
            <w:pPr>
              <w:spacing w:after="0"/>
              <w:rPr>
                <w:sz w:val="12"/>
                <w:szCs w:val="12"/>
                <w:color w:val="auto"/>
              </w:rPr>
            </w:pPr>
          </w:p>
        </w:tc>
        <w:tc>
          <w:tcPr>
            <w:tcW w:w="27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 xml:space="preserve">Gross Additions </w:t>
            </w:r>
            <w:r>
              <w:rPr>
                <w:rFonts w:ascii="Arial" w:cs="Arial" w:eastAsia="Arial" w:hAnsi="Arial"/>
                <w:sz w:val="23"/>
                <w:szCs w:val="23"/>
                <w:b w:val="1"/>
                <w:bCs w:val="1"/>
                <w:color w:val="auto"/>
                <w:w w:val="95"/>
                <w:vertAlign w:val="superscript"/>
              </w:rPr>
              <w:t>(2)</w:t>
            </w:r>
            <w:r>
              <w:rPr>
                <w:rFonts w:ascii="Arial" w:cs="Arial" w:eastAsia="Arial" w:hAnsi="Arial"/>
                <w:sz w:val="14"/>
                <w:szCs w:val="14"/>
                <w:b w:val="1"/>
                <w:bCs w:val="1"/>
                <w:color w:val="auto"/>
                <w:w w:val="95"/>
              </w:rPr>
              <w:t xml:space="preserve">   Gross Reductions </w:t>
            </w:r>
            <w:r>
              <w:rPr>
                <w:rFonts w:ascii="Arial" w:cs="Arial" w:eastAsia="Arial" w:hAnsi="Arial"/>
                <w:sz w:val="23"/>
                <w:szCs w:val="23"/>
                <w:b w:val="1"/>
                <w:bCs w:val="1"/>
                <w:color w:val="auto"/>
                <w:w w:val="95"/>
                <w:vertAlign w:val="superscript"/>
              </w:rPr>
              <w:t>(3)</w:t>
            </w:r>
          </w:p>
        </w:tc>
        <w:tc>
          <w:tcPr>
            <w:tcW w:w="880" w:type="dxa"/>
            <w:vAlign w:val="bottom"/>
            <w:gridSpan w:val="2"/>
            <w:vMerge w:val="continue"/>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2760" w:type="dxa"/>
            <w:vAlign w:val="bottom"/>
            <w:gridSpan w:val="4"/>
            <w:vMerge w:val="continue"/>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Gain/(Loss)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(Depreciation)</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-8255</wp:posOffset>
            </wp:positionV>
            <wp:extent cx="724662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65" w:lineRule="exact"/>
        <w:rPr>
          <w:sz w:val="20"/>
          <w:szCs w:val="20"/>
          <w:color w:val="auto"/>
        </w:rPr>
      </w:pPr>
    </w:p>
    <w:p>
      <w:pPr>
        <w:sectPr>
          <w:pgSz w:w="11900" w:h="16900" w:orient="portrait"/>
          <w:cols w:equalWidth="0" w:num="2">
            <w:col w:w="4360" w:space="140"/>
            <w:col w:w="692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First Lien Debt (12.0%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Cash, 3.0% PIK, Due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3/23/21)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14,699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14,384</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14,571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 Class</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 (1,253,198 shares)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 Class</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B (1,085,070 shares)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14,384</w:t>
            </w: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211</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14,571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Warrants (11.4% fully</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3,184</w:t>
            </w: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w:t>
            </w:r>
          </w:p>
        </w:tc>
        <w:tc>
          <w:tcPr>
            <w:tcW w:w="4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w:t>
            </w: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3,184</w:t>
            </w: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8"/>
              </w:rPr>
              <w:t>(15.5% Cash (3 month</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LIBOR + 13.0%, 0.5%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Floor), Due 4/29/20)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16,500</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1,672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16,500</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(376)</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(22.9% ownership)</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17,610</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(2,077)</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1,672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34,110</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(2,453)</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32,033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GA</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Series A-1 Preferred</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1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Stock (1,998 shares,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Inc. </w:t>
            </w:r>
            <w:r>
              <w:rPr>
                <w:rFonts w:ascii="Arial" w:cs="Arial" w:eastAsia="Arial" w:hAnsi="Arial"/>
                <w:sz w:val="20"/>
                <w:szCs w:val="20"/>
                <w:color w:val="auto"/>
                <w:vertAlign w:val="superscript"/>
              </w:rPr>
              <w:t>(5)</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8.0% PIK Dividend)</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3,482</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w:t>
            </w:r>
          </w:p>
        </w:tc>
        <w:tc>
          <w:tcPr>
            <w:tcW w:w="1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1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Series B-1 Common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5"/>
              </w:rPr>
              <w:t>Stock (200,000 shares)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1,325</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(666)</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4,807</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(675)</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4,277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Holdings, Inc.</w:t>
            </w:r>
          </w:p>
        </w:tc>
        <w:tc>
          <w:tcPr>
            <w:tcW w:w="1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(13.0% Cash, Due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6/16/19)</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6,210</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(5,788)</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(618)</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9"/>
              </w:rPr>
              <w:t>Common Stock (8,182</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Holdings, Inc.</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shares)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(818)</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Holdings, Inc.</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1"/>
              </w:rPr>
              <w:t>Warrants (6,369 shares)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6,210</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(5,788)</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(1,436)</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1,014</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(1,852,824 shares)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3,018</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(1,058)</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3,018</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(1,058)</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9"/>
              </w:rPr>
              <w:t>First Lien Debt (12.0%</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Due 1/31/20)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2,600</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2,600</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(6.0% Cash, Due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1/31/20)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400</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Preferred Units (1,000</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1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units, 6.0% PIK</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Dividend)</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1,612</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Membership</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Units (45 units)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185</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4,797</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4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9"/>
              </w:rPr>
              <w:t>First Lien Debt (11.0%</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Due 6/30/23)</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10,100</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10,100</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10,100</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color w:val="auto"/>
        </w:rPr>
        <w:t>Navis Holdings, Inc.</w:t>
      </w:r>
      <w:r>
        <w:rPr>
          <w:sz w:val="20"/>
          <w:szCs w:val="20"/>
          <w:color w:val="auto"/>
        </w:rPr>
        <w:tab/>
      </w:r>
      <w:r>
        <w:rPr>
          <w:rFonts w:ascii="Arial" w:cs="Arial" w:eastAsia="Arial" w:hAnsi="Arial"/>
          <w:sz w:val="12"/>
          <w:szCs w:val="12"/>
          <w:color w:val="auto"/>
        </w:rPr>
        <w:t>Class A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1340" w:hanging="1332"/>
        <w:spacing w:after="0" w:line="221" w:lineRule="auto"/>
        <w:tabs>
          <w:tab w:leader="none" w:pos="1340" w:val="left"/>
        </w:tabs>
        <w:numPr>
          <w:ilvl w:val="0"/>
          <w:numId w:val="14"/>
        </w:numPr>
        <w:rPr>
          <w:rFonts w:ascii="Arial" w:cs="Arial" w:eastAsia="Arial" w:hAnsi="Arial"/>
          <w:sz w:val="12"/>
          <w:szCs w:val="12"/>
          <w:color w:val="auto"/>
        </w:rPr>
      </w:pPr>
      <w:r>
        <w:rPr>
          <w:rFonts w:ascii="Arial" w:cs="Arial" w:eastAsia="Arial" w:hAnsi="Arial"/>
          <w:sz w:val="14"/>
          <w:szCs w:val="14"/>
          <w:color w:val="auto"/>
        </w:rPr>
        <w:t>Stock (1,000 shares,</w:t>
      </w: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tcPr>
          <w:p>
            <w:pPr>
              <w:ind w:left="60"/>
              <w:spacing w:after="0"/>
              <w:rPr>
                <w:sz w:val="20"/>
                <w:szCs w:val="20"/>
                <w:color w:val="auto"/>
              </w:rPr>
            </w:pPr>
            <w:r>
              <w:rPr>
                <w:rFonts w:ascii="Arial" w:cs="Arial" w:eastAsia="Arial" w:hAnsi="Arial"/>
                <w:sz w:val="14"/>
                <w:szCs w:val="14"/>
                <w:color w:val="auto"/>
              </w:rPr>
              <w:t>10.0% Cash Dividend)</w:t>
            </w:r>
          </w:p>
        </w:tc>
        <w:tc>
          <w:tcPr>
            <w:tcW w:w="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(60,000 shares)</w:t>
            </w: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11,100</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11,445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First Lien Debt (10.8%</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9,375</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Cash, Due 1/4/24)</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2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RAM Payment, LLC</w:t>
            </w:r>
          </w:p>
        </w:tc>
        <w:tc>
          <w:tcPr>
            <w:tcW w:w="1740" w:type="dxa"/>
            <w:vAlign w:val="bottom"/>
            <w:gridSpan w:val="2"/>
            <w:shd w:val="clear" w:color="auto" w:fill="CCEEFF"/>
          </w:tcPr>
          <w:p>
            <w:pPr>
              <w:ind w:left="60"/>
              <w:spacing w:after="0" w:line="140" w:lineRule="exact"/>
              <w:rPr>
                <w:sz w:val="20"/>
                <w:szCs w:val="20"/>
                <w:color w:val="auto"/>
              </w:rPr>
            </w:pPr>
            <w:r>
              <w:rPr>
                <w:rFonts w:ascii="Arial" w:cs="Arial" w:eastAsia="Arial" w:hAnsi="Arial"/>
                <w:sz w:val="14"/>
                <w:szCs w:val="14"/>
                <w:color w:val="auto"/>
              </w:rPr>
              <w:t>Preferred Units (86,000</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Units, 8.0% PIK)</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10,382</w:t>
            </w:r>
          </w:p>
        </w:tc>
        <w:tc>
          <w:tcPr>
            <w:tcW w:w="4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w:t>
            </w:r>
          </w:p>
        </w:tc>
        <w:tc>
          <w:tcPr>
            <w:tcW w:w="2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Holdings</w:t>
            </w:r>
          </w:p>
        </w:tc>
        <w:tc>
          <w:tcPr>
            <w:tcW w:w="1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Common Stock</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Corporation</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(15,068,000 shares)</w:t>
            </w: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6,854</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(1,165)</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6,854</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(1,165)</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5,689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Bath Group,</w:t>
            </w:r>
          </w:p>
        </w:tc>
        <w:tc>
          <w:tcPr>
            <w:tcW w:w="174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Debt (11.5%</w:t>
            </w: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Cash (1 month LIBOR</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+ 9.0%, 1.0% Floor),</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Due 1/2/23)</w:t>
            </w: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12,750</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(12,750)</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Bath Group,</w:t>
            </w:r>
          </w:p>
        </w:tc>
        <w:tc>
          <w:tcPr>
            <w:tcW w:w="174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w:t>
            </w: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(500,000 units)</w:t>
            </w: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2,083</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(4,323)</w:t>
            </w:r>
          </w:p>
        </w:tc>
        <w:tc>
          <w:tcPr>
            <w:tcW w:w="2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3,823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(1,583)</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14,833</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(17,073)</w:t>
            </w:r>
          </w:p>
        </w:tc>
        <w:tc>
          <w:tcPr>
            <w:tcW w:w="2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3,823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(1,583)</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Subordinated Debt</w:t>
            </w: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742</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742</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40" w:type="dxa"/>
            <w:vAlign w:val="bottom"/>
            <w:tcBorders>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93"/>
              </w:rPr>
              <w:t>Total Affiliate investments</w:t>
            </w:r>
          </w:p>
        </w:tc>
        <w:tc>
          <w:tcPr>
            <w:tcW w:w="1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4,680</w:t>
            </w:r>
          </w:p>
        </w:tc>
        <w:tc>
          <w:tcPr>
            <w:tcW w:w="500" w:type="dxa"/>
            <w:vAlign w:val="bottom"/>
            <w:tcBorders>
              <w:bottom w:val="single" w:sz="8" w:color="CCEEFF"/>
            </w:tcBorders>
            <w:gridSpan w:val="2"/>
            <w:shd w:val="clear" w:color="auto" w:fill="CCEEFF"/>
          </w:tcPr>
          <w:p>
            <w:pPr>
              <w:jc w:val="right"/>
              <w:ind w:right="34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92,939</w:t>
            </w:r>
          </w:p>
        </w:tc>
        <w:tc>
          <w:tcPr>
            <w:tcW w:w="420" w:type="dxa"/>
            <w:vAlign w:val="bottom"/>
            <w:tcBorders>
              <w:bottom w:val="single" w:sz="8" w:color="CCEEFF"/>
            </w:tcBorders>
            <w:shd w:val="clear" w:color="auto" w:fill="CCEEFF"/>
          </w:tcPr>
          <w:p>
            <w:pPr>
              <w:jc w:val="right"/>
              <w:ind w:right="268"/>
              <w:spacing w:after="0" w:line="129"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22,452</w:t>
            </w:r>
          </w:p>
        </w:tc>
        <w:tc>
          <w:tcPr>
            <w:tcW w:w="44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gridSpan w:val="3"/>
            <w:shd w:val="clear" w:color="auto" w:fill="CCEEFF"/>
          </w:tcPr>
          <w:p>
            <w:pPr>
              <w:jc w:val="right"/>
              <w:ind w:right="160"/>
              <w:spacing w:after="0" w:line="129" w:lineRule="exact"/>
              <w:rPr>
                <w:sz w:val="20"/>
                <w:szCs w:val="20"/>
                <w:color w:val="auto"/>
              </w:rPr>
            </w:pPr>
            <w:r>
              <w:rPr>
                <w:rFonts w:ascii="Arial" w:cs="Arial" w:eastAsia="Arial" w:hAnsi="Arial"/>
                <w:sz w:val="9"/>
                <w:szCs w:val="9"/>
                <w:color w:val="auto"/>
              </w:rPr>
              <w:t>(23,225</w:t>
            </w:r>
            <w:r>
              <w:rPr>
                <w:rFonts w:ascii="Arial" w:cs="Arial" w:eastAsia="Arial" w:hAnsi="Arial"/>
                <w:sz w:val="14"/>
                <w:szCs w:val="14"/>
                <w:color w:val="auto"/>
                <w:vertAlign w:val="superscript"/>
              </w:rPr>
              <w:t>)</w:t>
            </w:r>
            <w:r>
              <w:rPr>
                <w:rFonts w:ascii="Arial" w:cs="Arial" w:eastAsia="Arial" w:hAnsi="Arial"/>
                <w:sz w:val="9"/>
                <w:szCs w:val="9"/>
                <w:color w:val="auto"/>
              </w:rPr>
              <w:t xml:space="preserve">  $</w:t>
            </w:r>
          </w:p>
        </w:tc>
        <w:tc>
          <w:tcPr>
            <w:tcW w:w="580" w:type="dxa"/>
            <w:vAlign w:val="bottom"/>
            <w:tcBorders>
              <w:bottom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2,276</w:t>
            </w:r>
          </w:p>
        </w:tc>
        <w:tc>
          <w:tcPr>
            <w:tcW w:w="380" w:type="dxa"/>
            <w:vAlign w:val="bottom"/>
            <w:tcBorders>
              <w:bottom w:val="single" w:sz="8" w:color="CCEEFF"/>
            </w:tcBorders>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180"/>
              <w:spacing w:after="0" w:line="129" w:lineRule="exact"/>
              <w:rPr>
                <w:sz w:val="20"/>
                <w:szCs w:val="20"/>
                <w:color w:val="auto"/>
              </w:rPr>
            </w:pPr>
            <w:r>
              <w:rPr>
                <w:rFonts w:ascii="Arial" w:cs="Arial" w:eastAsia="Arial" w:hAnsi="Arial"/>
                <w:sz w:val="9"/>
                <w:szCs w:val="9"/>
                <w:color w:val="auto"/>
              </w:rPr>
              <w:t>(4,937</w:t>
            </w:r>
            <w:r>
              <w:rPr>
                <w:rFonts w:ascii="Arial" w:cs="Arial" w:eastAsia="Arial" w:hAnsi="Arial"/>
                <w:sz w:val="14"/>
                <w:szCs w:val="14"/>
                <w:color w:val="auto"/>
                <w:vertAlign w:val="superscript"/>
              </w:rPr>
              <w:t>)</w:t>
            </w:r>
            <w:r>
              <w:rPr>
                <w:rFonts w:ascii="Arial" w:cs="Arial" w:eastAsia="Arial" w:hAnsi="Arial"/>
                <w:sz w:val="9"/>
                <w:szCs w:val="9"/>
                <w:color w:val="auto"/>
              </w:rPr>
              <w:t xml:space="preserve">  $</w:t>
            </w:r>
          </w:p>
        </w:tc>
        <w:tc>
          <w:tcPr>
            <w:tcW w:w="660" w:type="dxa"/>
            <w:vAlign w:val="bottom"/>
            <w:tcBorders>
              <w:bottom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89,505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Interest, Fees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Principal</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or Dividends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December 31, 2018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6"/>
              </w:rPr>
              <w:t>June 30,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15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Credited</w:t>
            </w:r>
          </w:p>
        </w:tc>
        <w:tc>
          <w:tcPr>
            <w:tcW w:w="1220" w:type="dxa"/>
            <w:vAlign w:val="bottom"/>
            <w:gridSpan w:val="3"/>
            <w:vMerge w:val="continue"/>
          </w:tcPr>
          <w:p>
            <w:pPr>
              <w:spacing w:after="0"/>
              <w:rPr>
                <w:sz w:val="12"/>
                <w:szCs w:val="12"/>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7"/>
              </w:rPr>
              <w:t xml:space="preserve">Gross Additions </w:t>
            </w:r>
            <w:r>
              <w:rPr>
                <w:rFonts w:ascii="Arial" w:cs="Arial" w:eastAsia="Arial" w:hAnsi="Arial"/>
                <w:sz w:val="23"/>
                <w:szCs w:val="23"/>
                <w:b w:val="1"/>
                <w:bCs w:val="1"/>
                <w:color w:val="auto"/>
                <w:w w:val="97"/>
                <w:vertAlign w:val="superscript"/>
              </w:rPr>
              <w:t>(2)</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 xml:space="preserve">Gross Reductions </w:t>
            </w:r>
            <w:r>
              <w:rPr>
                <w:rFonts w:ascii="Arial" w:cs="Arial" w:eastAsia="Arial" w:hAnsi="Arial"/>
                <w:sz w:val="23"/>
                <w:szCs w:val="23"/>
                <w:b w:val="1"/>
                <w:bCs w:val="1"/>
                <w:color w:val="auto"/>
                <w:w w:val="93"/>
                <w:vertAlign w:val="superscript"/>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 xml:space="preserve">to Income </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4"/>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w w:val="96"/>
              </w:rPr>
              <w:t>Control investments</w:t>
            </w:r>
          </w:p>
        </w:tc>
        <w:tc>
          <w:tcPr>
            <w:tcW w:w="18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w w:val="97"/>
              </w:rPr>
              <w:t>Second Lien Debt (6.0%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PIK, Due 8/24/19)</w:t>
            </w: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16,327</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4,084</w:t>
            </w: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(20,411)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Membership Units (2.2%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fully diluted)</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Warrants (58.9% fully</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16,327</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4,084</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(20,428)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(8.0%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Due 6/30/21)</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1,708</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1,292</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(8.0%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Due 6/30/21)</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3,689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8,889</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(3,373)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Preferred Units - Series</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A1 (7,200,000 units)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5,373</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(5,373)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Preferred Units - Series</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 (4,000,000 units)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 (14.9%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fully diluted)</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w w:val="94"/>
              </w:rPr>
              <w:t>Common Stock Warrants</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(40.0% fully diluted)</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10,597</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6,665</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(5,373)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(1,827)</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(5,373)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4,689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Capitala Senior Loan</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Membership Units</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Fund II, LLC</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(80.0% ownership)</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13,695</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13,763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13,695</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Subordinated Debt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(10.0% Cash, Due</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3/31/20)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1,862</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Subordinated Debt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(14.0% Cash, 4.0% PIK,</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Due 3/31/20)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4,413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4,325</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w w:val="98"/>
              </w:rPr>
              <w:t>Series A Preferred Units</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(47 units)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2,817</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9,004</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(11.0%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Due 6/30/23)</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7,500</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w w:val="99"/>
              </w:rPr>
              <w:t>Class A Preferred Stock</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14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(1,000 shares, 10.0%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Dividend)</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 (60,000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4,348</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(2,600)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(4,347)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12,848</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(11,100)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(4,347)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(9.0%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Cash (1 month LIBOR +</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7.0%, 1.0% Floor, 2.0%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Ceiling), Due 12/31/22)</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2,220</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(1,140)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(9.4%</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(6)</w:t>
            </w:r>
          </w:p>
        </w:tc>
        <w:tc>
          <w:tcPr>
            <w:tcW w:w="14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Cash (1 month LIBOR +</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7.0%, 1.0% Floor, 5.0%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Ceiling), Due 12/31/22)</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4,500</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(2,256)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Preferred Units</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(4,350,000 Units)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2,174</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5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Membership Units</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(150,000 Units)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6,674</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2,220</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(4,430)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00" w:type="dxa"/>
            <w:vAlign w:val="bottom"/>
            <w:tcBorders>
              <w:bottom w:val="single" w:sz="8" w:color="auto"/>
            </w:tcBorders>
            <w:gridSpan w:val="3"/>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92"/>
              </w:rPr>
              <w:t>Total Control investments</w:t>
            </w:r>
          </w:p>
        </w:tc>
        <w:tc>
          <w:tcPr>
            <w:tcW w:w="136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1,756</w:t>
            </w:r>
          </w:p>
        </w:tc>
        <w:tc>
          <w:tcPr>
            <w:tcW w:w="1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69,145</w:t>
            </w:r>
          </w:p>
        </w:tc>
        <w:tc>
          <w:tcPr>
            <w:tcW w:w="480" w:type="dxa"/>
            <w:vAlign w:val="bottom"/>
            <w:tcBorders>
              <w:bottom w:val="single" w:sz="8" w:color="CCEEFF"/>
            </w:tcBorders>
            <w:gridSpan w:val="2"/>
            <w:shd w:val="clear" w:color="auto" w:fill="CCEEFF"/>
          </w:tcPr>
          <w:p>
            <w:pPr>
              <w:ind w:left="60"/>
              <w:spacing w:after="0" w:line="12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13,057</w:t>
            </w:r>
          </w:p>
        </w:tc>
        <w:tc>
          <w:tcPr>
            <w:tcW w:w="4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line="129" w:lineRule="exact"/>
              <w:rPr>
                <w:sz w:val="20"/>
                <w:szCs w:val="20"/>
                <w:color w:val="auto"/>
              </w:rPr>
            </w:pPr>
            <w:r>
              <w:rPr>
                <w:rFonts w:ascii="Arial" w:cs="Arial" w:eastAsia="Arial" w:hAnsi="Arial"/>
                <w:sz w:val="9"/>
                <w:szCs w:val="9"/>
                <w:color w:val="auto"/>
              </w:rPr>
              <w:t>(17,685</w:t>
            </w:r>
            <w:r>
              <w:rPr>
                <w:rFonts w:ascii="Arial" w:cs="Arial" w:eastAsia="Arial" w:hAnsi="Arial"/>
                <w:sz w:val="14"/>
                <w:szCs w:val="14"/>
                <w:color w:val="auto"/>
                <w:vertAlign w:val="superscript"/>
              </w:rPr>
              <w:t>)</w:t>
            </w:r>
          </w:p>
        </w:tc>
        <w:tc>
          <w:tcPr>
            <w:tcW w:w="140" w:type="dxa"/>
            <w:vAlign w:val="bottom"/>
            <w:tcBorders>
              <w:bottom w:val="single" w:sz="8" w:color="CCEEFF"/>
            </w:tcBorders>
            <w:gridSpan w:val="2"/>
            <w:shd w:val="clear" w:color="auto" w:fill="CCEEFF"/>
          </w:tcPr>
          <w:p>
            <w:pPr>
              <w:ind w:left="60"/>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9"/>
                <w:szCs w:val="9"/>
                <w:color w:val="auto"/>
              </w:rPr>
              <w:t>(19,656</w:t>
            </w:r>
            <w:r>
              <w:rPr>
                <w:rFonts w:ascii="Arial" w:cs="Arial" w:eastAsia="Arial" w:hAnsi="Arial"/>
                <w:sz w:val="14"/>
                <w:szCs w:val="14"/>
                <w:color w:val="auto"/>
                <w:vertAlign w:val="superscript"/>
              </w:rPr>
              <w:t>)</w:t>
            </w:r>
          </w:p>
        </w:tc>
        <w:tc>
          <w:tcPr>
            <w:tcW w:w="1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9"/>
                <w:szCs w:val="9"/>
                <w:color w:val="auto"/>
              </w:rPr>
              <w:t>(13,984</w:t>
            </w:r>
            <w:r>
              <w:rPr>
                <w:rFonts w:ascii="Arial" w:cs="Arial" w:eastAsia="Arial" w:hAnsi="Arial"/>
                <w:sz w:val="14"/>
                <w:szCs w:val="14"/>
                <w:color w:val="auto"/>
                <w:vertAlign w:val="superscript"/>
              </w:rPr>
              <w:t>)</w:t>
            </w:r>
          </w:p>
        </w:tc>
        <w:tc>
          <w:tcPr>
            <w:tcW w:w="120" w:type="dxa"/>
            <w:vAlign w:val="bottom"/>
            <w:tcBorders>
              <w:bottom w:val="single" w:sz="8" w:color="CCEEFF"/>
            </w:tcBorders>
            <w:gridSpan w:val="2"/>
            <w:shd w:val="clear" w:color="auto" w:fill="CCEEFF"/>
          </w:tcPr>
          <w:p>
            <w:pPr>
              <w:ind w:left="40"/>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30,877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5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340" w:right="2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 transfers out of Affiliate or Control classification.</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Non-accrual investment.</w:t>
      </w:r>
    </w:p>
    <w:p>
      <w:pPr>
        <w:sectPr>
          <w:pgSz w:w="11900" w:h="16838" w:orient="portrait"/>
          <w:cols w:equalWidth="0" w:num="1">
            <w:col w:w="11420"/>
          </w:cols>
          <w:pgMar w:left="240" w:top="915" w:right="239" w:bottom="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2018,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ectPr>
          <w:pgSz w:w="11900" w:h="16900" w:orient="portrait"/>
          <w:cols w:equalWidth="0" w:num="1">
            <w:col w:w="11420"/>
          </w:cols>
          <w:pgMar w:left="240" w:top="909" w:right="239" w:bottom="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or Dividends</w:t>
            </w:r>
          </w:p>
        </w:tc>
        <w:tc>
          <w:tcPr>
            <w:tcW w:w="0" w:type="dxa"/>
            <w:vAlign w:val="bottom"/>
          </w:tcPr>
          <w:p>
            <w:pPr>
              <w:spacing w:after="0"/>
              <w:rPr>
                <w:sz w:val="1"/>
                <w:szCs w:val="1"/>
                <w:color w:val="auto"/>
              </w:rPr>
            </w:pPr>
          </w:p>
        </w:tc>
      </w:tr>
      <w:tr>
        <w:trPr>
          <w:trHeight w:val="185"/>
        </w:trPr>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100" w:type="dxa"/>
            <w:vAlign w:val="bottom"/>
            <w:vMerge w:val="restart"/>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6"/>
                <w:szCs w:val="16"/>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Credited</w:t>
            </w: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Type of Investment   Amount</w:t>
            </w:r>
          </w:p>
        </w:tc>
        <w:tc>
          <w:tcPr>
            <w:tcW w:w="140" w:type="dxa"/>
            <w:vAlign w:val="bottom"/>
          </w:tcPr>
          <w:p>
            <w:pPr>
              <w:spacing w:after="0"/>
              <w:rPr>
                <w:sz w:val="15"/>
                <w:szCs w:val="15"/>
                <w:color w:val="auto"/>
              </w:rPr>
            </w:pPr>
          </w:p>
        </w:tc>
        <w:tc>
          <w:tcPr>
            <w:tcW w:w="820" w:type="dxa"/>
            <w:vAlign w:val="bottom"/>
            <w:gridSpan w:val="2"/>
          </w:tcPr>
          <w:p>
            <w:pPr>
              <w:jc w:val="center"/>
              <w:ind w:right="40"/>
              <w:spacing w:after="0" w:line="176" w:lineRule="exact"/>
              <w:rPr>
                <w:sz w:val="20"/>
                <w:szCs w:val="20"/>
                <w:color w:val="auto"/>
              </w:rPr>
            </w:pPr>
            <w:r>
              <w:rPr>
                <w:rFonts w:ascii="Arial" w:cs="Arial" w:eastAsia="Arial" w:hAnsi="Arial"/>
                <w:sz w:val="13"/>
                <w:szCs w:val="13"/>
                <w:b w:val="1"/>
                <w:bCs w:val="1"/>
                <w:color w:val="auto"/>
                <w:w w:val="95"/>
              </w:rPr>
              <w:t xml:space="preserve">to Income </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90"/>
              </w:rPr>
              <w:t>Affiliate investments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Realized</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Unrealized</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49"/>
        </w:trPr>
        <w:tc>
          <w:tcPr>
            <w:tcW w:w="1300" w:type="dxa"/>
            <w:vAlign w:val="bottom"/>
            <w:gridSpan w:val="2"/>
            <w:vMerge w:val="continue"/>
          </w:tcPr>
          <w:p>
            <w:pPr>
              <w:spacing w:after="0"/>
              <w:rPr>
                <w:sz w:val="12"/>
                <w:szCs w:val="12"/>
                <w:color w:val="auto"/>
              </w:rPr>
            </w:pPr>
          </w:p>
        </w:tc>
        <w:tc>
          <w:tcPr>
            <w:tcW w:w="26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4"/>
              </w:rPr>
              <w:t xml:space="preserve">Gross Additions </w:t>
            </w:r>
            <w:r>
              <w:rPr>
                <w:rFonts w:ascii="Arial" w:cs="Arial" w:eastAsia="Arial" w:hAnsi="Arial"/>
                <w:sz w:val="23"/>
                <w:szCs w:val="23"/>
                <w:b w:val="1"/>
                <w:bCs w:val="1"/>
                <w:color w:val="auto"/>
                <w:w w:val="94"/>
                <w:vertAlign w:val="superscript"/>
              </w:rPr>
              <w:t>(2)</w:t>
            </w:r>
            <w:r>
              <w:rPr>
                <w:rFonts w:ascii="Arial" w:cs="Arial" w:eastAsia="Arial" w:hAnsi="Arial"/>
                <w:sz w:val="14"/>
                <w:szCs w:val="14"/>
                <w:b w:val="1"/>
                <w:bCs w:val="1"/>
                <w:color w:val="auto"/>
                <w:w w:val="94"/>
              </w:rPr>
              <w:t xml:space="preserve">  Gross Reductions </w:t>
            </w:r>
            <w:r>
              <w:rPr>
                <w:rFonts w:ascii="Arial" w:cs="Arial" w:eastAsia="Arial" w:hAnsi="Arial"/>
                <w:sz w:val="23"/>
                <w:szCs w:val="23"/>
                <w:b w:val="1"/>
                <w:bCs w:val="1"/>
                <w:color w:val="auto"/>
                <w:w w:val="94"/>
                <w:vertAlign w:val="superscript"/>
              </w:rPr>
              <w:t>(3)</w:t>
            </w:r>
          </w:p>
        </w:tc>
        <w:tc>
          <w:tcPr>
            <w:tcW w:w="86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2680" w:type="dxa"/>
            <w:vAlign w:val="bottom"/>
            <w:gridSpan w:val="4"/>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Gain/(Loss)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(Depreciation)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94615</wp:posOffset>
            </wp:positionV>
            <wp:extent cx="724662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414" w:lineRule="exact"/>
        <w:rPr>
          <w:sz w:val="20"/>
          <w:szCs w:val="20"/>
          <w:color w:val="auto"/>
        </w:rPr>
      </w:pPr>
    </w:p>
    <w:p>
      <w:pPr>
        <w:sectPr>
          <w:pgSz w:w="11900" w:h="16900" w:orient="portrait"/>
          <w:cols w:equalWidth="0" w:num="2">
            <w:col w:w="4200" w:space="120"/>
            <w:col w:w="7100"/>
          </w:cols>
          <w:pgMar w:left="240" w:top="909" w:right="23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AAE Acquisition,</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Second Lien Debt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(6.0% Cash, Due</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8/24/19)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479</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15,603</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320</w:t>
            </w: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(16,165)</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  $</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242</w:t>
            </w: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(2.2% fully diluted)</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Warrants (37.8% fully</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15,603</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(16,182)</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259</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Holdings, LLC</w:t>
            </w: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(12.0% Cash, 1.0%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3/23/21)</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14,801</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1,390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14,801</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(417)</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14,384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Holdings, LLC</w:t>
            </w: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(14.0% Cash, Due</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8/9/19)</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(3,000)</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Holdings, LLC</w:t>
            </w: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(12.0% Cash, Due</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8/9/19)</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5,828</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(5,828)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Common Stock Class</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Holdings, LLC</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 (1,253,198 shares)</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(457)</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Common Stock Class</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Holdings, LLC</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B (900,000 shares)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9,285</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15,101</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(8,828)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(1,174)</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14,384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Chef'n Corporation</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 (1,000,000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(644)</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644</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(644)</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644</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(13.0% Cash, Due</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10/20/19)</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8,231</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(8,231)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16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City Gear, LLC </w:t>
            </w:r>
            <w:r>
              <w:rPr>
                <w:rFonts w:ascii="Arial" w:cs="Arial" w:eastAsia="Arial" w:hAnsi="Arial"/>
                <w:sz w:val="18"/>
                <w:szCs w:val="18"/>
                <w:color w:val="auto"/>
                <w:vertAlign w:val="superscript"/>
              </w:rPr>
              <w:t>(5)</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4"/>
              </w:rPr>
              <w:t>Preferred Membership</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2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Units (2.8% fully</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diluted, 9.0% Cash</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Dividend)</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1,269</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(1,269)</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Warrants (11.4% fully</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8,248</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(1,908)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1,908</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(5,064)</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17,748</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(11,408)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1,908</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(5,064)</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Eastport Holdings,</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4"/>
              </w:rPr>
              <w:t>(15.8% Cash (3 month</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+ 13.0%,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0.5% Floor), Due</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4/29/20)</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16,500</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1,168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15,496</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1,004</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Eastport Holdings,</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(22.9% ownership)</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4,733</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(1,470)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14,347</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1,168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20,229</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(1,470)</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15,351</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34,110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GA</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Series A-1 Preferred</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 (1,998 shares,</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Inc. </w:t>
            </w:r>
            <w:r>
              <w:rPr>
                <w:rFonts w:ascii="Arial" w:cs="Arial" w:eastAsia="Arial" w:hAnsi="Arial"/>
                <w:sz w:val="20"/>
                <w:szCs w:val="20"/>
                <w:color w:val="auto"/>
                <w:vertAlign w:val="superscript"/>
              </w:rPr>
              <w:t>(5)</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8.0% PIK Dividend)</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3,225</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276</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3,482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B-1 Common</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 (200,000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1,932</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(607)</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5,157</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276</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(626)</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Holdings, Inc.</w:t>
            </w: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(13.0% Cash, Due</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6/16/19)</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6,406</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6,170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Common Stock (8,182</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Holdings, Inc.</w:t>
            </w: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Holdings, Inc.</w:t>
            </w:r>
          </w:p>
        </w:tc>
        <w:tc>
          <w:tcPr>
            <w:tcW w:w="14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Warrants (6,369</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6,170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9" w:right="239" w:bottom="0" w:gutter="0" w:footer="0" w:header="0"/>
          <w:type w:val="continuous"/>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99"/>
              </w:rPr>
              <w:t>LJS Partners, LLC</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Common Stock</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7,650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293</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(4,925)</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(1,587,848 shares)</w:t>
            </w:r>
          </w:p>
        </w:tc>
        <w:tc>
          <w:tcPr>
            <w:tcW w:w="6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7,650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293</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(4,925)</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Units (2,000,000</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(12.0% Cash, Due</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1/31/20)</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2,600</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2,600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(6.0% Cash, Due</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1/31/20)</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Units (1,000</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60" w:type="dxa"/>
            <w:vAlign w:val="bottom"/>
            <w:shd w:val="clear" w:color="auto" w:fill="CCEEFF"/>
          </w:tcPr>
          <w:p>
            <w:pPr>
              <w:spacing w:after="0" w:line="161" w:lineRule="exact"/>
              <w:rPr>
                <w:sz w:val="20"/>
                <w:szCs w:val="20"/>
                <w:color w:val="auto"/>
              </w:rPr>
            </w:pPr>
            <w:r>
              <w:rPr>
                <w:rFonts w:ascii="Arial" w:cs="Arial" w:eastAsia="Arial" w:hAnsi="Arial"/>
                <w:sz w:val="12"/>
                <w:szCs w:val="12"/>
                <w:color w:val="auto"/>
              </w:rPr>
              <w:t xml:space="preserve">LLC </w:t>
            </w:r>
            <w:r>
              <w:rPr>
                <w:rFonts w:ascii="Arial" w:cs="Arial" w:eastAsia="Arial" w:hAnsi="Arial"/>
                <w:sz w:val="18"/>
                <w:szCs w:val="18"/>
                <w:color w:val="auto"/>
                <w:vertAlign w:val="superscript"/>
              </w:rPr>
              <w:t>(5)</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units, 6.0% PIK</w:t>
            </w: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1,520</w:t>
            </w:r>
          </w:p>
        </w:tc>
        <w:tc>
          <w:tcPr>
            <w:tcW w:w="4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92</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color w:val="auto"/>
              </w:rPr>
              <w:t>Dividend)</w:t>
            </w: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Membership</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Units (45 units)</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4,713</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139</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139</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w:t>
            </w:r>
          </w:p>
        </w:tc>
        <w:tc>
          <w:tcPr>
            <w:tcW w:w="3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Holdings</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Corporation</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(15,068,000 shares)</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8,528</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(1,674)</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8,528</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(1,674)</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Penray, LLC</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(11.3% ownership)</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STX Healthcare</w:t>
            </w:r>
          </w:p>
        </w:tc>
        <w:tc>
          <w:tcPr>
            <w:tcW w:w="3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Services, Inc.</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(1,200,000 shares)</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108</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108</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Bath Group,</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(11.4% Cash (1 month</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+ 9.0%, 1.0%</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Floor), Due 1/2/23)</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12,750</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(2,250)</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12,750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Bath Group,</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(500,000 units)</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1,583</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15,500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(2,250)</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1,583</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U.S. Well Services,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(8.3%</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Cash (1 month</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+ 6.0%, 1.0%</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Floor), Due 2/2/22)</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2,299</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(2,299)</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U.S. Well Services,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(13.3% PIK (1 month</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+ 11.0%,</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1.0% Floor), Due</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2/2/22)</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9,516</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409</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(9,925)</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U.S. Well Services,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Class A Units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(5,680,688 Units)</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15,004</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(6,260)</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(8,744)</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U.S. Well Services,</w:t>
            </w:r>
          </w:p>
        </w:tc>
        <w:tc>
          <w:tcPr>
            <w:tcW w:w="15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Class B Units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(2,076,298 Units)</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(441)</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(514)</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27,774</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409</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(18,925)</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(9,258)</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Subordinated Debt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1,035</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1,035</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40" w:type="dxa"/>
            <w:vAlign w:val="bottom"/>
            <w:tcBorders>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93"/>
              </w:rPr>
              <w:t>Total Affiliate investments</w:t>
            </w:r>
          </w:p>
        </w:tc>
        <w:tc>
          <w:tcPr>
            <w:tcW w:w="1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8,183</w:t>
            </w:r>
          </w:p>
        </w:tc>
        <w:tc>
          <w:tcPr>
            <w:tcW w:w="460" w:type="dxa"/>
            <w:vAlign w:val="bottom"/>
            <w:tcBorders>
              <w:bottom w:val="single" w:sz="8" w:color="CCEEFF"/>
            </w:tcBorders>
            <w:gridSpan w:val="2"/>
            <w:shd w:val="clear" w:color="auto" w:fill="CCEEFF"/>
          </w:tcPr>
          <w:p>
            <w:pPr>
              <w:jc w:val="right"/>
              <w:ind w:right="320"/>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103,957</w:t>
            </w:r>
          </w:p>
        </w:tc>
        <w:tc>
          <w:tcPr>
            <w:tcW w:w="42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52,258</w:t>
            </w:r>
          </w:p>
        </w:tc>
        <w:tc>
          <w:tcPr>
            <w:tcW w:w="520" w:type="dxa"/>
            <w:vAlign w:val="bottom"/>
            <w:tcBorders>
              <w:bottom w:val="single" w:sz="8" w:color="CCEEFF"/>
            </w:tcBorders>
            <w:gridSpan w:val="2"/>
            <w:shd w:val="clear" w:color="auto" w:fill="CCEEFF"/>
          </w:tcPr>
          <w:p>
            <w:pPr>
              <w:jc w:val="right"/>
              <w:ind w:right="380"/>
              <w:spacing w:after="0" w:line="129"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gridSpan w:val="3"/>
            <w:shd w:val="clear" w:color="auto" w:fill="CCEEFF"/>
          </w:tcPr>
          <w:p>
            <w:pPr>
              <w:jc w:val="right"/>
              <w:ind w:right="160"/>
              <w:spacing w:after="0" w:line="129" w:lineRule="exact"/>
              <w:rPr>
                <w:sz w:val="20"/>
                <w:szCs w:val="20"/>
                <w:color w:val="auto"/>
              </w:rPr>
            </w:pPr>
            <w:r>
              <w:rPr>
                <w:rFonts w:ascii="Arial" w:cs="Arial" w:eastAsia="Arial" w:hAnsi="Arial"/>
                <w:sz w:val="9"/>
                <w:szCs w:val="9"/>
                <w:color w:val="auto"/>
              </w:rPr>
              <w:t>(60,214</w:t>
            </w:r>
            <w:r>
              <w:rPr>
                <w:rFonts w:ascii="Arial" w:cs="Arial" w:eastAsia="Arial" w:hAnsi="Arial"/>
                <w:sz w:val="14"/>
                <w:szCs w:val="14"/>
                <w:color w:val="auto"/>
                <w:vertAlign w:val="superscript"/>
              </w:rPr>
              <w:t>)</w:t>
            </w:r>
            <w:r>
              <w:rPr>
                <w:rFonts w:ascii="Arial" w:cs="Arial" w:eastAsia="Arial" w:hAnsi="Arial"/>
                <w:sz w:val="9"/>
                <w:szCs w:val="9"/>
                <w:color w:val="auto"/>
              </w:rPr>
              <w:t xml:space="preserve"> $</w:t>
            </w:r>
          </w:p>
        </w:tc>
        <w:tc>
          <w:tcPr>
            <w:tcW w:w="620" w:type="dxa"/>
            <w:vAlign w:val="bottom"/>
            <w:tcBorders>
              <w:bottom w:val="single" w:sz="8" w:color="CCEEFF"/>
            </w:tcBorders>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2,920</w:t>
            </w:r>
          </w:p>
        </w:tc>
        <w:tc>
          <w:tcPr>
            <w:tcW w:w="300" w:type="dxa"/>
            <w:vAlign w:val="bottom"/>
            <w:tcBorders>
              <w:bottom w:val="single" w:sz="8" w:color="CCEEFF"/>
            </w:tcBorders>
            <w:shd w:val="clear" w:color="auto" w:fill="CCEEFF"/>
          </w:tcPr>
          <w:p>
            <w:pPr>
              <w:jc w:val="right"/>
              <w:ind w:right="148"/>
              <w:spacing w:after="0" w:line="129"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gridSpan w:val="3"/>
            <w:shd w:val="clear" w:color="auto" w:fill="CCEEFF"/>
          </w:tcPr>
          <w:p>
            <w:pPr>
              <w:jc w:val="right"/>
              <w:ind w:right="340"/>
              <w:spacing w:after="0" w:line="129" w:lineRule="exact"/>
              <w:rPr>
                <w:sz w:val="20"/>
                <w:szCs w:val="20"/>
                <w:color w:val="auto"/>
              </w:rPr>
            </w:pPr>
            <w:r>
              <w:rPr>
                <w:rFonts w:ascii="Arial" w:cs="Arial" w:eastAsia="Arial" w:hAnsi="Arial"/>
                <w:sz w:val="9"/>
                <w:szCs w:val="9"/>
                <w:color w:val="auto"/>
              </w:rPr>
              <w:t>(5,982</w:t>
            </w:r>
            <w:r>
              <w:rPr>
                <w:rFonts w:ascii="Arial" w:cs="Arial" w:eastAsia="Arial" w:hAnsi="Arial"/>
                <w:sz w:val="14"/>
                <w:szCs w:val="14"/>
                <w:color w:val="auto"/>
                <w:vertAlign w:val="superscript"/>
              </w:rPr>
              <w:t>)</w:t>
            </w:r>
            <w:r>
              <w:rPr>
                <w:rFonts w:ascii="Arial" w:cs="Arial" w:eastAsia="Arial" w:hAnsi="Arial"/>
                <w:sz w:val="9"/>
                <w:szCs w:val="9"/>
                <w:color w:val="auto"/>
              </w:rPr>
              <w:t xml:space="preserve"> $</w:t>
            </w:r>
          </w:p>
        </w:tc>
        <w:tc>
          <w:tcPr>
            <w:tcW w:w="82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92,939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or Dividends</w:t>
            </w:r>
          </w:p>
        </w:tc>
        <w:tc>
          <w:tcPr>
            <w:tcW w:w="0" w:type="dxa"/>
            <w:vAlign w:val="bottom"/>
          </w:tcPr>
          <w:p>
            <w:pPr>
              <w:spacing w:after="0"/>
              <w:rPr>
                <w:sz w:val="1"/>
                <w:szCs w:val="1"/>
                <w:color w:val="auto"/>
              </w:rPr>
            </w:pPr>
          </w:p>
        </w:tc>
      </w:tr>
      <w:tr>
        <w:trPr>
          <w:trHeight w:val="185"/>
        </w:trPr>
        <w:tc>
          <w:tcPr>
            <w:tcW w:w="11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100" w:type="dxa"/>
            <w:vAlign w:val="bottom"/>
            <w:gridSpan w:val="2"/>
            <w:vMerge w:val="restart"/>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6"/>
                <w:szCs w:val="16"/>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Credited</w:t>
            </w:r>
          </w:p>
        </w:tc>
        <w:tc>
          <w:tcPr>
            <w:tcW w:w="0" w:type="dxa"/>
            <w:vAlign w:val="bottom"/>
          </w:tcPr>
          <w:p>
            <w:pPr>
              <w:spacing w:after="0"/>
              <w:rPr>
                <w:sz w:val="1"/>
                <w:szCs w:val="1"/>
                <w:color w:val="auto"/>
              </w:rPr>
            </w:pPr>
          </w:p>
        </w:tc>
      </w:tr>
      <w:tr>
        <w:trPr>
          <w:trHeight w:val="176"/>
        </w:trPr>
        <w:tc>
          <w:tcPr>
            <w:tcW w:w="112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Type of Investment   Amount</w:t>
            </w:r>
          </w:p>
        </w:tc>
        <w:tc>
          <w:tcPr>
            <w:tcW w:w="140" w:type="dxa"/>
            <w:vAlign w:val="bottom"/>
          </w:tcPr>
          <w:p>
            <w:pPr>
              <w:spacing w:after="0"/>
              <w:rPr>
                <w:sz w:val="15"/>
                <w:szCs w:val="15"/>
                <w:color w:val="auto"/>
              </w:rPr>
            </w:pPr>
          </w:p>
        </w:tc>
        <w:tc>
          <w:tcPr>
            <w:tcW w:w="820" w:type="dxa"/>
            <w:vAlign w:val="bottom"/>
            <w:gridSpan w:val="2"/>
          </w:tcPr>
          <w:p>
            <w:pPr>
              <w:jc w:val="center"/>
              <w:ind w:right="40"/>
              <w:spacing w:after="0" w:line="176" w:lineRule="exact"/>
              <w:rPr>
                <w:sz w:val="20"/>
                <w:szCs w:val="20"/>
                <w:color w:val="auto"/>
              </w:rPr>
            </w:pPr>
            <w:r>
              <w:rPr>
                <w:rFonts w:ascii="Arial" w:cs="Arial" w:eastAsia="Arial" w:hAnsi="Arial"/>
                <w:sz w:val="13"/>
                <w:szCs w:val="13"/>
                <w:b w:val="1"/>
                <w:bCs w:val="1"/>
                <w:color w:val="auto"/>
                <w:w w:val="95"/>
              </w:rPr>
              <w:t xml:space="preserve">to Income </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7"/>
              </w:rPr>
              <w:t>Control investments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Realized</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Unrealized</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49"/>
        </w:trPr>
        <w:tc>
          <w:tcPr>
            <w:tcW w:w="1300" w:type="dxa"/>
            <w:vAlign w:val="bottom"/>
            <w:gridSpan w:val="2"/>
            <w:vMerge w:val="continue"/>
          </w:tcPr>
          <w:p>
            <w:pPr>
              <w:spacing w:after="0"/>
              <w:rPr>
                <w:sz w:val="12"/>
                <w:szCs w:val="12"/>
                <w:color w:val="auto"/>
              </w:rPr>
            </w:pPr>
          </w:p>
        </w:tc>
        <w:tc>
          <w:tcPr>
            <w:tcW w:w="26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4"/>
              </w:rPr>
              <w:t xml:space="preserve">Gross Additions </w:t>
            </w:r>
            <w:r>
              <w:rPr>
                <w:rFonts w:ascii="Arial" w:cs="Arial" w:eastAsia="Arial" w:hAnsi="Arial"/>
                <w:sz w:val="23"/>
                <w:szCs w:val="23"/>
                <w:b w:val="1"/>
                <w:bCs w:val="1"/>
                <w:color w:val="auto"/>
                <w:w w:val="94"/>
                <w:vertAlign w:val="superscript"/>
              </w:rPr>
              <w:t>(2)</w:t>
            </w:r>
            <w:r>
              <w:rPr>
                <w:rFonts w:ascii="Arial" w:cs="Arial" w:eastAsia="Arial" w:hAnsi="Arial"/>
                <w:sz w:val="14"/>
                <w:szCs w:val="14"/>
                <w:b w:val="1"/>
                <w:bCs w:val="1"/>
                <w:color w:val="auto"/>
                <w:w w:val="94"/>
              </w:rPr>
              <w:t xml:space="preserve">  Gross Reductions </w:t>
            </w:r>
            <w:r>
              <w:rPr>
                <w:rFonts w:ascii="Arial" w:cs="Arial" w:eastAsia="Arial" w:hAnsi="Arial"/>
                <w:sz w:val="23"/>
                <w:szCs w:val="23"/>
                <w:b w:val="1"/>
                <w:bCs w:val="1"/>
                <w:color w:val="auto"/>
                <w:w w:val="94"/>
                <w:vertAlign w:val="superscript"/>
              </w:rPr>
              <w:t>(3)</w:t>
            </w:r>
          </w:p>
        </w:tc>
        <w:tc>
          <w:tcPr>
            <w:tcW w:w="86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2680" w:type="dxa"/>
            <w:vAlign w:val="bottom"/>
            <w:gridSpan w:val="4"/>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Gain/(Loss)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(Depreciation)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94615</wp:posOffset>
            </wp:positionV>
            <wp:extent cx="724662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2">
            <w:col w:w="4200" w:space="120"/>
            <w:col w:w="7100"/>
          </w:cols>
          <w:pgMar w:left="240" w:top="915" w:right="239" w:bottom="0" w:gutter="0" w:footer="0" w:header="0"/>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AAE Acquisition,</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Second Lien Debt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(6.0% Cash, Due</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8/24/19)</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16,327</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488</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  $</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16,327</w:t>
            </w: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(2.2% fully diluted)</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Warrants (37.8% fully</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16,344</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First Lien Debt (10.0%</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Due 5/24/19)</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1,708</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First Lien Debt (12.0%</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LLC</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Cash, 4.0% PIK, Due</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6/30/19)</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12,373</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(2,354)</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(1,646)</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Preferred Units</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(4,000,000 units)</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2,354</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(2,354)</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(21.3% fully diluted)</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118</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LLC</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Warrants (10.0% fully</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diluted )</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12,551</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4,577</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(2,354)</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(1,646)</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(2,531)</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10,597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Capitala Senior</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9"/>
              </w:rPr>
              <w:t>Loan Fund II, 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(80.0% ownership)</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13,600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13,600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13,695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Eastport Holdings,</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5"/>
              </w:rPr>
              <w:t>(15.8% Cash (3 month</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LIBOR + 13.0%, 0.5%</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Floor), Due 4/29/20)</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2,144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16,500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493</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(15,231)</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(1,762)</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Eastport Holdings,</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(22.9% ownership)</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26,449</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(4,733)</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(21,716)</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2,144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42,949</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493</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(19,964)</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(23,478)</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Debt (4.0%</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 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Due 2/15/20)</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1,300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(3,300)</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Debt (2.2%</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 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Due 2/15/20)</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9,560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(3,669)</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4,109</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 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(27.5% fully diluted)</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11,560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1,300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(13,300)</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(3,669)</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4,109</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(10.0% Cash, Due</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1/1/19)</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1,862</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(14.0% Cash, 4.0%</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PIK, Due 1/1/19)</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4,154</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Series A Preferred</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Units (47 units)</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1,629</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1,188</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7,645</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1,188</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First Lien Debt (15.0%</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Due 10/30/20)</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1,149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6,500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Class A Preferred</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40" w:type="dxa"/>
            <w:vAlign w:val="bottom"/>
            <w:shd w:val="clear" w:color="auto" w:fill="CCEEFF"/>
          </w:tcPr>
          <w:p>
            <w:pPr>
              <w:spacing w:after="0" w:line="161" w:lineRule="exact"/>
              <w:rPr>
                <w:sz w:val="20"/>
                <w:szCs w:val="20"/>
                <w:color w:val="auto"/>
              </w:rPr>
            </w:pPr>
            <w:r>
              <w:rPr>
                <w:rFonts w:ascii="Arial" w:cs="Arial" w:eastAsia="Arial" w:hAnsi="Arial"/>
                <w:sz w:val="12"/>
                <w:szCs w:val="12"/>
                <w:color w:val="auto"/>
              </w:rPr>
              <w:t xml:space="preserve">Inc. </w:t>
            </w:r>
            <w:r>
              <w:rPr>
                <w:rFonts w:ascii="Arial" w:cs="Arial" w:eastAsia="Arial" w:hAnsi="Arial"/>
                <w:sz w:val="18"/>
                <w:szCs w:val="18"/>
                <w:color w:val="auto"/>
                <w:vertAlign w:val="superscript"/>
              </w:rPr>
              <w:t>(5)</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(1,000 shares,</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4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20" w:type="dxa"/>
            <w:vAlign w:val="bottom"/>
            <w:shd w:val="clear" w:color="auto" w:fill="CCEEFF"/>
          </w:tcPr>
          <w:p>
            <w:pPr>
              <w:ind w:left="60"/>
              <w:spacing w:after="0" w:line="155" w:lineRule="exact"/>
              <w:rPr>
                <w:sz w:val="20"/>
                <w:szCs w:val="20"/>
                <w:color w:val="auto"/>
              </w:rPr>
            </w:pPr>
            <w:r>
              <w:rPr>
                <w:rFonts w:ascii="Arial" w:cs="Arial" w:eastAsia="Arial" w:hAnsi="Arial"/>
                <w:sz w:val="14"/>
                <w:szCs w:val="14"/>
                <w:color w:val="auto"/>
                <w:w w:val="96"/>
              </w:rPr>
              <w:t>10.0% Cash Dividend)</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(300,000 shares)</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5,005</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(657)</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1,249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12,505</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(657)</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First Lien Debt (18.0%</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 Inc.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Due 12/19/18)</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11,020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(11,020)</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Inc.</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(18.0% Cash, Due</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12/19/18)</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11,588</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(11,020)</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(568)</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Series A Preferred</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 Inc.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7"/>
              </w:rPr>
              <w:t>Stock (32,782 shares)</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(3,278)</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3,278</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5" w:right="239" w:bottom="0" w:gutter="0" w:footer="0" w:header="0"/>
          <w:type w:val="continuous"/>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On-Site Fuel</w:t>
            </w: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Series B Preferred</w:t>
            </w: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Service, Inc.</w:t>
            </w: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Stock (23,648 shares)</w:t>
            </w: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(2,364)</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2,364</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1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w:t>
            </w: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Service, Inc.</w:t>
            </w: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(33,058 shares)</w:t>
            </w: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11,588</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11,020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(11,020)</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(16,695)</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5,107</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w:t>
            </w:r>
          </w:p>
        </w:tc>
        <w:tc>
          <w:tcPr>
            <w:tcW w:w="1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Debt (9.0%</w:t>
            </w: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Cash (1 month LIBOR</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+ 7.0%, 1.0% Floor,</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2.0% Ceiling), Due</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12/31/22)</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2,400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(4,260)</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w:t>
            </w:r>
          </w:p>
        </w:tc>
        <w:tc>
          <w:tcPr>
            <w:tcW w:w="1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Debt (9.4%</w:t>
            </w: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Cash (1 month LIBOR</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+ 7.0%, 1.0% Floor,</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5.0% Ceiling), Due</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12/31/22)</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4,500</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w:t>
            </w:r>
          </w:p>
        </w:tc>
        <w:tc>
          <w:tcPr>
            <w:tcW w:w="1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Preferred Units</w:t>
            </w: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(4,350,000 Units)</w:t>
            </w: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(276)</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w:t>
            </w:r>
          </w:p>
        </w:tc>
        <w:tc>
          <w:tcPr>
            <w:tcW w:w="1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Membership Units</w:t>
            </w: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(150,000 Units)</w:t>
            </w: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8,810</w:t>
            </w: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2,400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(4,260)</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(276)</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00" w:type="dxa"/>
            <w:vAlign w:val="bottom"/>
            <w:tcBorders>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92"/>
              </w:rPr>
              <w:t>Total Control investments</w:t>
            </w:r>
          </w:p>
        </w:tc>
        <w:tc>
          <w:tcPr>
            <w:tcW w:w="1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6,802</w:t>
            </w:r>
          </w:p>
        </w:tc>
        <w:tc>
          <w:tcPr>
            <w:tcW w:w="460" w:type="dxa"/>
            <w:vAlign w:val="bottom"/>
            <w:tcBorders>
              <w:bottom w:val="single" w:sz="8" w:color="CCEEFF"/>
            </w:tcBorders>
            <w:gridSpan w:val="2"/>
            <w:shd w:val="clear" w:color="auto" w:fill="CCEEFF"/>
          </w:tcPr>
          <w:p>
            <w:pPr>
              <w:jc w:val="right"/>
              <w:ind w:right="320"/>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107,608</w:t>
            </w:r>
          </w:p>
        </w:tc>
        <w:tc>
          <w:tcPr>
            <w:tcW w:w="42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50,905</w:t>
            </w:r>
          </w:p>
        </w:tc>
        <w:tc>
          <w:tcPr>
            <w:tcW w:w="520" w:type="dxa"/>
            <w:vAlign w:val="bottom"/>
            <w:tcBorders>
              <w:bottom w:val="single" w:sz="8" w:color="CCEEFF"/>
            </w:tcBorders>
            <w:gridSpan w:val="2"/>
            <w:shd w:val="clear" w:color="auto" w:fill="CCEEFF"/>
          </w:tcPr>
          <w:p>
            <w:pPr>
              <w:jc w:val="right"/>
              <w:ind w:right="380"/>
              <w:spacing w:after="0" w:line="12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3"/>
            <w:shd w:val="clear" w:color="auto" w:fill="CCEEFF"/>
          </w:tcPr>
          <w:p>
            <w:pPr>
              <w:jc w:val="right"/>
              <w:ind w:right="100"/>
              <w:spacing w:after="0" w:line="129" w:lineRule="exact"/>
              <w:rPr>
                <w:sz w:val="20"/>
                <w:szCs w:val="20"/>
                <w:color w:val="auto"/>
              </w:rPr>
            </w:pPr>
            <w:r>
              <w:rPr>
                <w:rFonts w:ascii="Arial" w:cs="Arial" w:eastAsia="Arial" w:hAnsi="Arial"/>
                <w:sz w:val="9"/>
                <w:szCs w:val="9"/>
                <w:color w:val="auto"/>
              </w:rPr>
              <w:t>(50,898</w:t>
            </w:r>
            <w:r>
              <w:rPr>
                <w:rFonts w:ascii="Arial" w:cs="Arial" w:eastAsia="Arial" w:hAnsi="Arial"/>
                <w:sz w:val="14"/>
                <w:szCs w:val="14"/>
                <w:color w:val="auto"/>
                <w:vertAlign w:val="superscript"/>
              </w:rPr>
              <w:t>)</w:t>
            </w:r>
            <w:r>
              <w:rPr>
                <w:rFonts w:ascii="Arial" w:cs="Arial" w:eastAsia="Arial" w:hAnsi="Arial"/>
                <w:sz w:val="9"/>
                <w:szCs w:val="9"/>
                <w:color w:val="auto"/>
              </w:rPr>
              <w:t xml:space="preserve"> $</w:t>
            </w:r>
          </w:p>
        </w:tc>
        <w:tc>
          <w:tcPr>
            <w:tcW w:w="940" w:type="dxa"/>
            <w:vAlign w:val="bottom"/>
            <w:tcBorders>
              <w:bottom w:val="single" w:sz="8" w:color="CCEEFF"/>
            </w:tcBorders>
            <w:gridSpan w:val="3"/>
            <w:shd w:val="clear" w:color="auto" w:fill="CCEEFF"/>
          </w:tcPr>
          <w:p>
            <w:pPr>
              <w:jc w:val="right"/>
              <w:ind w:right="180"/>
              <w:spacing w:after="0" w:line="129" w:lineRule="exact"/>
              <w:rPr>
                <w:sz w:val="20"/>
                <w:szCs w:val="20"/>
                <w:color w:val="auto"/>
              </w:rPr>
            </w:pPr>
            <w:r>
              <w:rPr>
                <w:rFonts w:ascii="Arial" w:cs="Arial" w:eastAsia="Arial" w:hAnsi="Arial"/>
                <w:sz w:val="9"/>
                <w:szCs w:val="9"/>
                <w:color w:val="auto"/>
              </w:rPr>
              <w:t>(22,010</w:t>
            </w:r>
            <w:r>
              <w:rPr>
                <w:rFonts w:ascii="Arial" w:cs="Arial" w:eastAsia="Arial" w:hAnsi="Arial"/>
                <w:sz w:val="14"/>
                <w:szCs w:val="14"/>
                <w:color w:val="auto"/>
                <w:vertAlign w:val="superscript"/>
              </w:rPr>
              <w:t>)</w:t>
            </w:r>
            <w:r>
              <w:rPr>
                <w:rFonts w:ascii="Arial" w:cs="Arial" w:eastAsia="Arial" w:hAnsi="Arial"/>
                <w:sz w:val="9"/>
                <w:szCs w:val="9"/>
                <w:color w:val="auto"/>
              </w:rPr>
              <w:t xml:space="preserve"> $</w:t>
            </w:r>
          </w:p>
        </w:tc>
        <w:tc>
          <w:tcPr>
            <w:tcW w:w="1180" w:type="dxa"/>
            <w:vAlign w:val="bottom"/>
            <w:tcBorders>
              <w:bottom w:val="single" w:sz="8" w:color="CCEEFF"/>
            </w:tcBorders>
            <w:gridSpan w:val="3"/>
            <w:shd w:val="clear" w:color="auto" w:fill="CCEEFF"/>
          </w:tcPr>
          <w:p>
            <w:pPr>
              <w:jc w:val="right"/>
              <w:ind w:right="340"/>
              <w:spacing w:after="0" w:line="129" w:lineRule="exact"/>
              <w:rPr>
                <w:sz w:val="20"/>
                <w:szCs w:val="20"/>
                <w:color w:val="auto"/>
              </w:rPr>
            </w:pPr>
            <w:r>
              <w:rPr>
                <w:rFonts w:ascii="Arial" w:cs="Arial" w:eastAsia="Arial" w:hAnsi="Arial"/>
                <w:sz w:val="9"/>
                <w:szCs w:val="9"/>
                <w:color w:val="auto"/>
              </w:rPr>
              <w:t>(16,460</w:t>
            </w:r>
            <w:r>
              <w:rPr>
                <w:rFonts w:ascii="Arial" w:cs="Arial" w:eastAsia="Arial" w:hAnsi="Arial"/>
                <w:sz w:val="14"/>
                <w:szCs w:val="14"/>
                <w:color w:val="auto"/>
                <w:vertAlign w:val="superscript"/>
              </w:rPr>
              <w:t>)</w:t>
            </w:r>
            <w:r>
              <w:rPr>
                <w:rFonts w:ascii="Arial" w:cs="Arial" w:eastAsia="Arial" w:hAnsi="Arial"/>
                <w:sz w:val="9"/>
                <w:szCs w:val="9"/>
                <w:color w:val="auto"/>
              </w:rPr>
              <w:t xml:space="preserve"> $</w:t>
            </w:r>
          </w:p>
        </w:tc>
        <w:tc>
          <w:tcPr>
            <w:tcW w:w="82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69,145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340" w:right="2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includes transfers out of Affiliate or Control classification.</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a majority of our non-interested directors, at an in-person meeting on August 1, 2019.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740" w:hanging="84"/>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248" w:lineRule="exact"/>
        <w:rPr>
          <w:rFonts w:ascii="Arial" w:cs="Arial" w:eastAsia="Arial" w:hAnsi="Arial"/>
          <w:sz w:val="16"/>
          <w:szCs w:val="16"/>
          <w:color w:val="auto"/>
        </w:rPr>
      </w:pPr>
    </w:p>
    <w:p>
      <w:pPr>
        <w:ind w:right="20" w:firstLine="656"/>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740" w:hanging="84"/>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740" w:hanging="84"/>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left="740" w:hanging="84"/>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jc w:val="both"/>
        <w:ind w:firstLine="656"/>
        <w:spacing w:after="0" w:line="279" w:lineRule="auto"/>
        <w:tabs>
          <w:tab w:leader="none" w:pos="761" w:val="left"/>
        </w:tabs>
        <w:numPr>
          <w:ilvl w:val="0"/>
          <w:numId w:val="18"/>
        </w:numPr>
        <w:rPr>
          <w:rFonts w:ascii="Arial" w:cs="Arial" w:eastAsia="Arial" w:hAnsi="Arial"/>
          <w:sz w:val="17"/>
          <w:szCs w:val="17"/>
          <w:color w:val="auto"/>
        </w:rPr>
      </w:pPr>
      <w:r>
        <w:rPr>
          <w:rFonts w:ascii="Arial" w:cs="Arial" w:eastAsia="Arial" w:hAnsi="Arial"/>
          <w:sz w:val="17"/>
          <w:szCs w:val="17"/>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71" w:lineRule="exact"/>
        <w:rPr>
          <w:rFonts w:ascii="Arial" w:cs="Arial" w:eastAsia="Arial" w:hAnsi="Arial"/>
          <w:sz w:val="17"/>
          <w:szCs w:val="17"/>
          <w:color w:val="auto"/>
        </w:rPr>
      </w:pPr>
    </w:p>
    <w:p>
      <w:pPr>
        <w:jc w:val="both"/>
        <w:ind w:firstLine="656"/>
        <w:spacing w:after="0" w:line="264" w:lineRule="auto"/>
        <w:tabs>
          <w:tab w:leader="none" w:pos="7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June 30, 2019 and December 31, 2018, the Company had incentive fees payable to the Investment Advisor of $3.7 million and $2.5 million, respectively.</w:t>
      </w:r>
    </w:p>
    <w:p>
      <w:pPr>
        <w:spacing w:after="0" w:line="16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For the three months ended June 30, 2019 and 2018, the Company incurred $2.0 million and $2.3 million in base management fees, respectively. The Company incurred $0.5 million and $0.0 million in incentive fees related to pre-incentive fee net investment income for the three months ended June 30, 2019 and 2018, respectively. For the three months ended June 30, 2019 and 2018, $0.3 million and $0.0 million, respectively, in incentive fees were waived by our Investment Advisor.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2019 and 2018, the Company incurred $4.1 million and $4.6 million in base management fees, respectively. The Company incurred $1.5 million and $0.2 million in incentive fees related to pre-incentive fee net investment income for the six months ended June 30, 2019 and 2018, respectively. For the six months ended June 30, 2019 and 2018, $0.3 million and $0.0 million, respectively, in incentive fees were waived by our Investment Advisor.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648"/>
        <w:spacing w:after="0" w:line="273" w:lineRule="auto"/>
        <w:rPr>
          <w:sz w:val="20"/>
          <w:szCs w:val="20"/>
          <w:color w:val="auto"/>
        </w:rPr>
      </w:pPr>
      <w:r>
        <w:rPr>
          <w:rFonts w:ascii="Arial" w:cs="Arial" w:eastAsia="Arial" w:hAnsi="Arial"/>
          <w:sz w:val="17"/>
          <w:szCs w:val="17"/>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August 1, 2019.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six months ended June 30, 2019, the Company paid the Administrator $0.4 million and $0.7 million, respectively, for the Company’s allocable portion of the Administrator’s overhead. For the three and six months ended June 30, 2018, the Company paid the Administrator $0.4 million and $0.7 million, respectively, for the Company’s allocable portion of the Administrator’s overhead.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2019 and December 31, 2018, the Company had $3.6 million and $2.5 million, respectively, of management and incentive fees payable to the Investment Advisor.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The Administrator also serves as the administrator to FSC II. See Note 4 for a further description of this transaction.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June 30, 2019, the Company has evaluated the fair value of the guarantee under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determined that the fair value of the guarantee is immaterial as the risk of payment default for first-out loans in CSLF II is considered remote. The maximum exposure to credit risk as of June 30, 2019 and December 31, 2018 was $7.4 million and $4.3 million, respectively, and extends to the stated maturity of the underlying loans in CSLF II.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through its wholly owned subsidiary, uses debenture leverage provided through the SBA to fund a portion of its investment portfolio. As of June 30, 2019 and December 31, 2018, the Company had $150.0 million and $165.7 million, respectively, of SBA-guaranteed debentures outstanding. The Company has issued all SBA-guaranteed debentures that were permitted under each of the Legacy Funds’ respective SBIC licenses (as applicable), and there are no unused SBA debenture commitments remaining. On March 1, 2019, Fund II repaid its outstanding SBA debentures and relinquished its SBIC license. SBA-guaranteed debentures are secured by a lien on all assets of Fund III and were secured by a lien on all assets of Fund II prior to March 1, 2019. As of June 30, 2019 Fund III had total assets of $263.0 million. As of December 31, 2018, Fund II and Fund III had total assets of $332.7 million.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following table summarizes the interest expense and annual charges, deferred financing costs, average balance outstanding, and average stated interest and annual charge rate on the SBA-guaranteed debentures for the three and six months ended June 30, 2019 and 2018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7"/>
              </w:rPr>
              <w:t>For the 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2019</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2019</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150,000</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170,700</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155,118</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170,700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and annual charge rate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2019 and December 31, 2018,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SBA Annual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September 1, 2020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5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and six months ended June 30, 2019 and 2018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7"/>
              </w:rPr>
              <w:t>For the 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2019</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2019</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is initially 1.5913 shares per $25.00 principal amount of 2022 Convertible Notes (equivalent to an initial conversion price of approximately $15.71 per share of common stock). The initial conversion premium is approximately 14.0%.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and six months ended June 30, 2019 and 2018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7"/>
              </w:rPr>
              <w:t>For the 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2019</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2019</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17, 2014, the Company entered into a senior secured revolving credit agreement (as amended, the “Credit Facility”) with ING Capital, LLC, as administrative agent, arranger, and bookrunner, and the lenders party thereto. The Credit Facility was amended on May 22, 2015, June 16, 2017, July 19, 2018, and February 22, 2019 (the “Amendments”). The Amendments were affected, among other things, in order to increase the total borrowings allowed under the Credit Facility, allow for stock repurchases, extend the maturity date, reduce the minimum required interest coverage ratio, reduce the minimum required net asset value, and reduce the minimum required asset coverage ratio. The Credit Facility currently provides for borrowings up to $114.5 million and may be increased up to $200.0 million pursuant to its “accordion” feature. The Credit Facility matures on June 16, 2021.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648"/>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has been selected, the interest rate on the applicable amount borrowed will reset after the applicable tenor period and be based on the then applicable selected LIBOR (e.g., borrowings for which the Company has elected the one month LIBOR will reset on the one month anniversary of the period based on the then selected LIBOR). For any given borrowing under the Credit Facility, the Company intends to elect what it believes to be an appropriate LIBOR taking into account the Company’s needs at the time as well as the Company’s view of future interest rate movements. The Credit Facility provides for the ability to step-down the pricing of the Credit Facility from LIBOR plus 3.00% to LIBOR plus 2.75% when certain conditions are met.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summarizes the interest expense, deferred financing costs, unused commitment fees, average outstanding balance, and average stated interest rate on the Credit Facility for the three and six months ended June 30, 2019 and 2018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7"/>
              </w:rPr>
              <w:t>For the 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2019</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2019</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160" w:type="dxa"/>
            <w:vAlign w:val="bottom"/>
          </w:tcPr>
          <w:p>
            <w:pPr>
              <w:spacing w:after="0"/>
              <w:rPr>
                <w:sz w:val="19"/>
                <w:szCs w:val="19"/>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w:t>
            </w:r>
          </w:p>
        </w:tc>
      </w:tr>
      <w:tr>
        <w:trPr>
          <w:trHeight w:val="263"/>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8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60" w:type="dxa"/>
            <w:vAlign w:val="bottom"/>
            <w:tcBorders>
              <w:bottom w:val="single" w:sz="8" w:color="CCEEFF"/>
            </w:tcBorders>
          </w:tcPr>
          <w:p>
            <w:pPr>
              <w:spacing w:after="0"/>
              <w:rPr>
                <w:sz w:val="22"/>
                <w:szCs w:val="22"/>
                <w:color w:val="auto"/>
              </w:rPr>
            </w:pPr>
          </w:p>
        </w:tc>
      </w:tr>
      <w:tr>
        <w:trPr>
          <w:trHeight w:val="197"/>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22,252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5,714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18,977</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7"/>
                <w:szCs w:val="17"/>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June 30, 2019 and December 31, 2018, the Company had $5.0 million and $10.0 million, respectively, outstanding under the Credit Facility. The Credit Facility is secured by investments and cash held by the Company, exclusive of assets pledged as collateral for the Company’s SBA debentures. Assets pledged to secure the Credit Facility had a carrying value of $175.3 million and $158.9 million, respectively, at June 30, 2019 and December 31, 2018.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carrying value and fair value of the Company’s financial liabilities disclosed, but not carried, at fair value as of June 30, 2019, and the level of each financial liability within the fair value hierarchy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4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center"/>
              <w:ind w:right="440"/>
              <w:spacing w:after="0" w:line="271"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30"/>
                <w:szCs w:val="30"/>
                <w:b w:val="1"/>
                <w:bCs w:val="1"/>
                <w:color w:val="auto"/>
                <w:w w:val="82"/>
                <w:vertAlign w:val="superscript"/>
              </w:rPr>
              <w:t>(1)</w:t>
            </w:r>
          </w:p>
        </w:tc>
        <w:tc>
          <w:tcPr>
            <w:tcW w:w="160" w:type="dxa"/>
            <w:vAlign w:val="bottom"/>
          </w:tcPr>
          <w:p>
            <w:pPr>
              <w:spacing w:after="0"/>
              <w:rPr>
                <w:sz w:val="23"/>
                <w:szCs w:val="23"/>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Pr>
          <w:p>
            <w:pPr>
              <w:spacing w:after="0"/>
              <w:rPr>
                <w:sz w:val="23"/>
                <w:szCs w:val="23"/>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75,750</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75,750</w:t>
            </w:r>
          </w:p>
        </w:tc>
        <w:tc>
          <w:tcPr>
            <w:tcW w:w="20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52,650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5,012</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283,783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4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center"/>
              <w:ind w:right="440"/>
              <w:spacing w:after="0" w:line="271"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30"/>
                <w:szCs w:val="30"/>
                <w:b w:val="1"/>
                <w:bCs w:val="1"/>
                <w:color w:val="auto"/>
                <w:w w:val="82"/>
                <w:vertAlign w:val="superscript"/>
              </w:rPr>
              <w:t>(1)</w:t>
            </w:r>
          </w:p>
        </w:tc>
        <w:tc>
          <w:tcPr>
            <w:tcW w:w="160" w:type="dxa"/>
            <w:vAlign w:val="bottom"/>
          </w:tcPr>
          <w:p>
            <w:pPr>
              <w:spacing w:after="0"/>
              <w:rPr>
                <w:sz w:val="23"/>
                <w:szCs w:val="23"/>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Pr>
          <w:p>
            <w:pPr>
              <w:spacing w:after="0"/>
              <w:rPr>
                <w:sz w:val="23"/>
                <w:szCs w:val="23"/>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74,700</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74,700</w:t>
            </w:r>
          </w:p>
        </w:tc>
        <w:tc>
          <w:tcPr>
            <w:tcW w:w="20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49,546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49,546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10,030</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10,030</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fair value of the Credit Facility was based on future contractual cash payments discounted at estimated market interest rates for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six months ended June 30, 2019, the Company recognized directors’ fees expense of $0.1 million and $0.2 million, respectively. For the three and six months ended June 30, 2018, the Company recognized directors’ fees expense of $0.1 million and $0.2 million, respectively. No compensation is expected to be paid to directors who are “interested persons” of the Company, as such term is defined in Section 2(a)(19) of the 1940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two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June 30, 2019 and December 31, 2018, and for the six months ended June 30, 2019 and June 30,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six months ended June 30, 2019, the Company wrote off its investment in AAE Acquisition, LLC and realized a loss of $20.4 million.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(loss) the Company generated from CableOrganizer Acquisition, LLC, which includes all interest, dividends, PIK interest and PIK dividends, fees, realized loss, and unrealized appreciation (depreciation), was $(7.0) million and $0.8 million for the six months ended June 30, 2019 and June 30,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(loss) the Company generated from Eastport Holdings, LLC, which includes all interest, dividends, PIK interest and dividends, fees, and unrealized appreciation (depreciation), was $(0.8) million and $1.3 million for the six months ended June 30, 2019 and June 30, 2018,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June 30,</w:t>
            </w:r>
          </w:p>
        </w:tc>
        <w:tc>
          <w:tcPr>
            <w:tcW w:w="116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Balance Sheets – CableOrganizer Acquisition, LLC</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4"/>
              </w:rPr>
              <w:t>For the Six Months Ended</w:t>
            </w:r>
          </w:p>
        </w:tc>
      </w:tr>
      <w:tr>
        <w:trPr>
          <w:trHeight w:val="205"/>
        </w:trPr>
        <w:tc>
          <w:tcPr>
            <w:tcW w:w="7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00"/>
              <w:spacing w:after="0" w:line="205" w:lineRule="exact"/>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7"/>
                <w:szCs w:val="17"/>
                <w:color w:val="auto"/>
              </w:rPr>
            </w:pPr>
          </w:p>
        </w:tc>
      </w:tr>
      <w:tr>
        <w:trPr>
          <w:trHeight w:val="234"/>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00" w:type="dxa"/>
            <w:vAlign w:val="bottom"/>
            <w:shd w:val="clear" w:color="auto" w:fill="CCEEFF"/>
          </w:tcPr>
          <w:p>
            <w:pPr>
              <w:spacing w:after="0"/>
              <w:rPr>
                <w:sz w:val="18"/>
                <w:szCs w:val="18"/>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6,701</w:t>
            </w: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73227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73227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270"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Sheets - Eastport Holdings,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4,161</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(1,433)</w:t>
            </w:r>
          </w:p>
        </w:tc>
        <w:tc>
          <w:tcPr>
            <w:tcW w:w="4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(764)</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60"/>
        <w:spacing w:after="0"/>
        <w:tabs>
          <w:tab w:leader="none" w:pos="1420" w:val="left"/>
        </w:tabs>
        <w:rPr>
          <w:sz w:val="20"/>
          <w:szCs w:val="20"/>
          <w:color w:val="auto"/>
        </w:rPr>
      </w:pPr>
      <w:r>
        <w:rPr>
          <w:rFonts w:ascii="Arial" w:cs="Arial" w:eastAsia="Arial" w:hAnsi="Arial"/>
          <w:sz w:val="18"/>
          <w:szCs w:val="18"/>
          <w:b w:val="1"/>
          <w:bCs w:val="1"/>
          <w:color w:val="auto"/>
        </w:rPr>
        <w:t>June 30,</w:t>
      </w:r>
      <w:r>
        <w:rPr>
          <w:sz w:val="20"/>
          <w:szCs w:val="20"/>
          <w:color w:val="auto"/>
        </w:rPr>
        <w:tab/>
      </w: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6205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3" w:lineRule="exact"/>
        <w:rPr>
          <w:sz w:val="20"/>
          <w:szCs w:val="20"/>
          <w:color w:val="auto"/>
        </w:rPr>
      </w:pPr>
    </w:p>
    <w:p>
      <w:pPr>
        <w:ind w:left="400"/>
        <w:spacing w:after="0"/>
        <w:tabs>
          <w:tab w:leader="none" w:pos="17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41" w:lineRule="exact"/>
        <w:rPr>
          <w:sz w:val="20"/>
          <w:szCs w:val="20"/>
          <w:color w:val="auto"/>
        </w:rPr>
      </w:pPr>
    </w:p>
    <w:p>
      <w:pPr>
        <w:sectPr>
          <w:pgSz w:w="11900" w:h="16838" w:orient="portrait"/>
          <w:cols w:equalWidth="0" w:num="2">
            <w:col w:w="7900" w:space="720"/>
            <w:col w:w="280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32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46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85"/>
              <w:spacing w:after="0" w:line="19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108,692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81,232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Noncurrent assets</w:t>
            </w: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197,885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198,962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60" w:type="dxa"/>
            <w:vAlign w:val="bottom"/>
            <w:gridSpan w:val="3"/>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53,886</w:t>
            </w:r>
          </w:p>
        </w:tc>
        <w:tc>
          <w:tcPr>
            <w:tcW w:w="3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56,951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5060" w:type="dxa"/>
            <w:vAlign w:val="bottom"/>
            <w:gridSpan w:val="3"/>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77,902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jc w:val="right"/>
              <w:ind w:right="2610"/>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55" w:name="page56"/>
    <w:bookmarkEnd w:id="5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4"/>
              </w:rPr>
              <w:t>For the Six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9"/>
              </w:rPr>
              <w:t>June 30,</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Eastport Holdings, LLC</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272,702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195,256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192,419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accordance with the provisions of ASC Topic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stockholders by the weighted average number of shares outstanding during the period. Other potentially dilutive common shares, and the related impact to earnings, are considered when calculating earnings per share.</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(decrease) in net assets per share resulting from operations for the three and six months ended June 30, 2019 and 2018 (dollars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0"/>
              </w:rPr>
              <w:t>For the Three Months Ended</w:t>
            </w:r>
          </w:p>
        </w:tc>
        <w:tc>
          <w:tcPr>
            <w:tcW w:w="180" w:type="dxa"/>
            <w:vAlign w:val="bottom"/>
          </w:tcPr>
          <w:p>
            <w:pPr>
              <w:spacing w:after="0"/>
              <w:rPr>
                <w:sz w:val="20"/>
                <w:szCs w:val="20"/>
                <w:color w:val="auto"/>
              </w:rPr>
            </w:pPr>
          </w:p>
        </w:tc>
        <w:tc>
          <w:tcPr>
            <w:tcW w:w="252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Six Months Ended</w:t>
            </w:r>
          </w:p>
        </w:tc>
        <w:tc>
          <w:tcPr>
            <w:tcW w:w="2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3"/>
              </w:rPr>
              <w:t>June 30, 2019</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2018</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3"/>
              </w:rPr>
              <w:t>June 30, 2019</w:t>
            </w: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78"/>
        </w:trPr>
        <w:tc>
          <w:tcPr>
            <w:tcW w:w="340" w:type="dxa"/>
            <w:vAlign w:val="bottom"/>
          </w:tcPr>
          <w:p>
            <w:pPr>
              <w:spacing w:after="0"/>
              <w:rPr>
                <w:sz w:val="15"/>
                <w:szCs w:val="15"/>
                <w:color w:val="auto"/>
              </w:rPr>
            </w:pPr>
          </w:p>
        </w:tc>
        <w:tc>
          <w:tcPr>
            <w:tcW w:w="51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1"/>
              </w:rPr>
              <w:t>Net increase (decrease) in net assets from operations per share –</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234"/>
        </w:trPr>
        <w:tc>
          <w:tcPr>
            <w:tcW w:w="34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Numerator for basic net increase (decrease) in net assets from</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operations per share</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(29,144)</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4,948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(29,295)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5,089</w:t>
            </w:r>
          </w:p>
        </w:tc>
        <w:tc>
          <w:tcPr>
            <w:tcW w:w="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Denominator for basic net increase (decrease) in net assets from</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244"/>
        </w:trPr>
        <w:tc>
          <w:tcPr>
            <w:tcW w:w="340" w:type="dxa"/>
            <w:vAlign w:val="bottom"/>
          </w:tcPr>
          <w:p>
            <w:pPr>
              <w:spacing w:after="0"/>
              <w:rPr>
                <w:sz w:val="21"/>
                <w:szCs w:val="21"/>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operations per share</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16,096,678</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15,981,857</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16,079,885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15,970,599</w:t>
            </w:r>
          </w:p>
        </w:tc>
        <w:tc>
          <w:tcPr>
            <w:tcW w:w="260" w:type="dxa"/>
            <w:vAlign w:val="bottom"/>
          </w:tcPr>
          <w:p>
            <w:pPr>
              <w:spacing w:after="0"/>
              <w:rPr>
                <w:sz w:val="21"/>
                <w:szCs w:val="21"/>
                <w:color w:val="auto"/>
              </w:rPr>
            </w:pPr>
          </w:p>
        </w:tc>
      </w:tr>
      <w:tr>
        <w:trPr>
          <w:trHeight w:val="210"/>
        </w:trPr>
        <w:tc>
          <w:tcPr>
            <w:tcW w:w="34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Basic net increase (decrease) in net assets from operations per share</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18"/>
                <w:szCs w:val="18"/>
                <w:color w:val="auto"/>
              </w:rPr>
            </w:pPr>
          </w:p>
        </w:tc>
        <w:tc>
          <w:tcPr>
            <w:tcW w:w="260" w:type="dxa"/>
            <w:vAlign w:val="bottom"/>
          </w:tcPr>
          <w:p>
            <w:pPr>
              <w:spacing w:after="0"/>
              <w:rPr>
                <w:sz w:val="18"/>
                <w:szCs w:val="18"/>
                <w:color w:val="auto"/>
              </w:rPr>
            </w:pPr>
          </w:p>
        </w:tc>
      </w:tr>
      <w:tr>
        <w:trPr>
          <w:trHeight w:val="181"/>
        </w:trPr>
        <w:tc>
          <w:tcPr>
            <w:tcW w:w="340" w:type="dxa"/>
            <w:vAlign w:val="bottom"/>
          </w:tcPr>
          <w:p>
            <w:pPr>
              <w:spacing w:after="0"/>
              <w:rPr>
                <w:sz w:val="15"/>
                <w:szCs w:val="15"/>
                <w:color w:val="auto"/>
              </w:rPr>
            </w:pPr>
          </w:p>
        </w:tc>
        <w:tc>
          <w:tcPr>
            <w:tcW w:w="51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1"/>
              </w:rPr>
              <w:t>Net increase (decrease) in net assets from operations per share –</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271"/>
        </w:trPr>
        <w:tc>
          <w:tcPr>
            <w:tcW w:w="340" w:type="dxa"/>
            <w:vAlign w:val="bottom"/>
          </w:tcPr>
          <w:p>
            <w:pPr>
              <w:spacing w:after="0"/>
              <w:rPr>
                <w:sz w:val="23"/>
                <w:szCs w:val="23"/>
                <w:color w:val="auto"/>
              </w:rPr>
            </w:pPr>
          </w:p>
        </w:tc>
        <w:tc>
          <w:tcPr>
            <w:tcW w:w="5160" w:type="dxa"/>
            <w:vAlign w:val="bottom"/>
            <w:shd w:val="clear" w:color="auto" w:fill="CCEEFF"/>
          </w:tcPr>
          <w:p>
            <w:pPr>
              <w:spacing w:after="0" w:line="271" w:lineRule="exact"/>
              <w:rPr>
                <w:sz w:val="20"/>
                <w:szCs w:val="20"/>
                <w:color w:val="auto"/>
              </w:rPr>
            </w:pPr>
            <w:r>
              <w:rPr>
                <w:rFonts w:ascii="Arial" w:cs="Arial" w:eastAsia="Arial" w:hAnsi="Arial"/>
                <w:sz w:val="18"/>
                <w:szCs w:val="18"/>
                <w:b w:val="1"/>
                <w:bCs w:val="1"/>
                <w:color w:val="auto"/>
              </w:rPr>
              <w:t xml:space="preserve">diluted </w:t>
            </w:r>
            <w:r>
              <w:rPr>
                <w:rFonts w:ascii="Arial" w:cs="Arial" w:eastAsia="Arial" w:hAnsi="Arial"/>
                <w:sz w:val="30"/>
                <w:szCs w:val="30"/>
                <w:b w:val="1"/>
                <w:bCs w:val="1"/>
                <w:color w:val="auto"/>
                <w:vertAlign w:val="superscript"/>
              </w:rPr>
              <w:t>(1)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r>
      <w:tr>
        <w:trPr>
          <w:trHeight w:val="202"/>
        </w:trPr>
        <w:tc>
          <w:tcPr>
            <w:tcW w:w="34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Numerator for basic net increase (decrease) in net assets from</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operations per share</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(29,144)</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4,948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(29,295)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5,089</w:t>
            </w:r>
          </w:p>
        </w:tc>
        <w:tc>
          <w:tcPr>
            <w:tcW w:w="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 for interest on the 2022 Convertible Notes and incentive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244"/>
        </w:trPr>
        <w:tc>
          <w:tcPr>
            <w:tcW w:w="340" w:type="dxa"/>
            <w:vAlign w:val="bottom"/>
          </w:tcPr>
          <w:p>
            <w:pPr>
              <w:spacing w:after="0"/>
              <w:rPr>
                <w:sz w:val="21"/>
                <w:szCs w:val="21"/>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fees, net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21"/>
                <w:szCs w:val="21"/>
                <w:color w:val="auto"/>
              </w:rPr>
            </w:pPr>
          </w:p>
        </w:tc>
      </w:tr>
      <w:tr>
        <w:trPr>
          <w:trHeight w:val="182"/>
        </w:trPr>
        <w:tc>
          <w:tcPr>
            <w:tcW w:w="340" w:type="dxa"/>
            <w:vAlign w:val="bottom"/>
          </w:tcPr>
          <w:p>
            <w:pPr>
              <w:spacing w:after="0"/>
              <w:rPr>
                <w:sz w:val="15"/>
                <w:szCs w:val="15"/>
                <w:color w:val="auto"/>
              </w:rPr>
            </w:pPr>
          </w:p>
        </w:tc>
        <w:tc>
          <w:tcPr>
            <w:tcW w:w="5160" w:type="dxa"/>
            <w:vAlign w:val="bottom"/>
          </w:tcPr>
          <w:p>
            <w:pPr>
              <w:spacing w:after="0" w:line="182" w:lineRule="exact"/>
              <w:rPr>
                <w:sz w:val="20"/>
                <w:szCs w:val="20"/>
                <w:color w:val="auto"/>
              </w:rPr>
            </w:pPr>
            <w:r>
              <w:rPr>
                <w:rFonts w:ascii="Arial" w:cs="Arial" w:eastAsia="Arial" w:hAnsi="Arial"/>
                <w:sz w:val="18"/>
                <w:szCs w:val="18"/>
                <w:color w:val="auto"/>
              </w:rPr>
              <w:t>Numerator for diluted net increase (decrease) in net assets from</w:t>
            </w: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44"/>
        </w:trPr>
        <w:tc>
          <w:tcPr>
            <w:tcW w:w="34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operations per share</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(29,144)</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5,081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(29,295)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5,222</w:t>
            </w:r>
          </w:p>
        </w:tc>
        <w:tc>
          <w:tcPr>
            <w:tcW w:w="260" w:type="dxa"/>
            <w:vAlign w:val="bottom"/>
          </w:tcPr>
          <w:p>
            <w:pPr>
              <w:spacing w:after="0"/>
              <w:rPr>
                <w:sz w:val="21"/>
                <w:szCs w:val="21"/>
                <w:color w:val="auto"/>
              </w:rPr>
            </w:pPr>
          </w:p>
        </w:tc>
      </w:tr>
      <w:tr>
        <w:trPr>
          <w:trHeight w:val="210"/>
        </w:trPr>
        <w:tc>
          <w:tcPr>
            <w:tcW w:w="34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basic weighted average shares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16,096,678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15,981,857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16,079,885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15,970,599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Adjustment for dilutive effect of the 2022 Convertible Notes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3,315,474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3,315,474</w:t>
            </w:r>
          </w:p>
        </w:tc>
        <w:tc>
          <w:tcPr>
            <w:tcW w:w="26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weighted average shares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16,096,678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19,297,331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16,079,885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19,286,073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Diluted net increase (decrease) in net assets from operations per share</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642"/>
        </w:trPr>
        <w:tc>
          <w:tcPr>
            <w:tcW w:w="3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9"/>
              </w:rPr>
              <w:t>51</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56" w:name="page57"/>
    <w:bookmarkEnd w:id="56"/>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applying the if-converted method, conversion is not assumed for purposes of computing diluted earnings per share if the effect would be anti-dilutive. For the three and six months ended June 30, 2019, conversion of the 3.3 million in convertible shares was not assumed as the effect on diluted earnings per share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distributions are recorded on the record date. Stockholders have the option to receive payment of the distribution in cash, shares of common stock, or a combination of cash and common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six months ended June 30, 2019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DRIP</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Cash</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w:t>
            </w:r>
          </w:p>
        </w:tc>
      </w:tr>
      <w:tr>
        <w:trPr>
          <w:trHeight w:val="234"/>
        </w:trPr>
        <w:tc>
          <w:tcPr>
            <w:tcW w:w="2080" w:type="dxa"/>
            <w:vAlign w:val="bottom"/>
          </w:tcPr>
          <w:p>
            <w:pPr>
              <w:ind w:left="50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180" w:type="dxa"/>
            <w:vAlign w:val="bottom"/>
            <w:gridSpan w:val="2"/>
          </w:tcPr>
          <w:p>
            <w:pPr>
              <w:ind w:left="540"/>
              <w:spacing w:after="0"/>
              <w:rPr>
                <w:sz w:val="20"/>
                <w:szCs w:val="20"/>
                <w:color w:val="auto"/>
              </w:rPr>
            </w:pPr>
            <w:r>
              <w:rPr>
                <w:rFonts w:ascii="Arial" w:cs="Arial" w:eastAsia="Arial" w:hAnsi="Arial"/>
                <w:sz w:val="18"/>
                <w:szCs w:val="18"/>
                <w:b w:val="1"/>
                <w:bCs w:val="1"/>
                <w:color w:val="auto"/>
              </w:rPr>
              <w:t>Record Date</w:t>
            </w:r>
          </w:p>
        </w:tc>
        <w:tc>
          <w:tcPr>
            <w:tcW w:w="2200" w:type="dxa"/>
            <w:vAlign w:val="bottom"/>
            <w:gridSpan w:val="2"/>
          </w:tcPr>
          <w:p>
            <w:pPr>
              <w:ind w:left="50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w:t>
            </w:r>
          </w:p>
        </w:tc>
        <w:tc>
          <w:tcPr>
            <w:tcW w:w="18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24, 2019</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January 2, 2019</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February 20, 2019</w:t>
            </w:r>
          </w:p>
        </w:tc>
        <w:tc>
          <w:tcPr>
            <w:tcW w:w="2200" w:type="dxa"/>
            <w:vAlign w:val="bottom"/>
            <w:gridSpan w:val="2"/>
          </w:tcPr>
          <w:p>
            <w:pPr>
              <w:spacing w:after="0"/>
              <w:rPr>
                <w:sz w:val="20"/>
                <w:szCs w:val="20"/>
                <w:color w:val="auto"/>
              </w:rPr>
            </w:pPr>
            <w:r>
              <w:rPr>
                <w:rFonts w:ascii="Arial" w:cs="Arial" w:eastAsia="Arial" w:hAnsi="Arial"/>
                <w:sz w:val="18"/>
                <w:szCs w:val="18"/>
                <w:color w:val="auto"/>
              </w:rPr>
              <w:t>February 27, 2019</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10,570</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21, 2019</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28, 2019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April 1, 2019</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April 22, 2019</w:t>
            </w:r>
          </w:p>
        </w:tc>
        <w:tc>
          <w:tcPr>
            <w:tcW w:w="2200" w:type="dxa"/>
            <w:vAlign w:val="bottom"/>
            <w:gridSpan w:val="2"/>
          </w:tcPr>
          <w:p>
            <w:pPr>
              <w:spacing w:after="0"/>
              <w:rPr>
                <w:sz w:val="20"/>
                <w:szCs w:val="20"/>
                <w:color w:val="auto"/>
              </w:rPr>
            </w:pPr>
            <w:r>
              <w:rPr>
                <w:rFonts w:ascii="Arial" w:cs="Arial" w:eastAsia="Arial" w:hAnsi="Arial"/>
                <w:sz w:val="18"/>
                <w:szCs w:val="18"/>
                <w:color w:val="auto"/>
              </w:rPr>
              <w:t>April 29, 2019</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11,479</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April 1, 2019</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23, 2019</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2019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April 1, 2019</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June 20, 2019</w:t>
            </w:r>
          </w:p>
        </w:tc>
        <w:tc>
          <w:tcPr>
            <w:tcW w:w="2200" w:type="dxa"/>
            <w:vAlign w:val="bottom"/>
            <w:gridSpan w:val="2"/>
          </w:tcPr>
          <w:p>
            <w:pPr>
              <w:spacing w:after="0"/>
              <w:rPr>
                <w:sz w:val="20"/>
                <w:szCs w:val="20"/>
                <w:color w:val="auto"/>
              </w:rPr>
            </w:pPr>
            <w:r>
              <w:rPr>
                <w:rFonts w:ascii="Arial" w:cs="Arial" w:eastAsia="Arial" w:hAnsi="Arial"/>
                <w:sz w:val="18"/>
                <w:szCs w:val="18"/>
                <w:color w:val="auto"/>
              </w:rPr>
              <w:t>June 27, 2019</w:t>
            </w: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11,747</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23"/>
        </w:trPr>
        <w:tc>
          <w:tcPr>
            <w:tcW w:w="4380" w:type="dxa"/>
            <w:vAlign w:val="bottom"/>
            <w:tcBorders>
              <w:top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six months ended June 30, 2018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DRIP</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Cash</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34"/>
        </w:trPr>
        <w:tc>
          <w:tcPr>
            <w:tcW w:w="2080" w:type="dxa"/>
            <w:vAlign w:val="bottom"/>
          </w:tcPr>
          <w:p>
            <w:pPr>
              <w:ind w:left="50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180" w:type="dxa"/>
            <w:vAlign w:val="bottom"/>
            <w:gridSpan w:val="2"/>
          </w:tcPr>
          <w:p>
            <w:pPr>
              <w:ind w:left="540"/>
              <w:spacing w:after="0"/>
              <w:rPr>
                <w:sz w:val="20"/>
                <w:szCs w:val="20"/>
                <w:color w:val="auto"/>
              </w:rPr>
            </w:pPr>
            <w:r>
              <w:rPr>
                <w:rFonts w:ascii="Arial" w:cs="Arial" w:eastAsia="Arial" w:hAnsi="Arial"/>
                <w:sz w:val="18"/>
                <w:szCs w:val="18"/>
                <w:b w:val="1"/>
                <w:bCs w:val="1"/>
                <w:color w:val="auto"/>
              </w:rPr>
              <w:t>Record Date</w:t>
            </w:r>
          </w:p>
        </w:tc>
        <w:tc>
          <w:tcPr>
            <w:tcW w:w="2200" w:type="dxa"/>
            <w:vAlign w:val="bottom"/>
            <w:gridSpan w:val="2"/>
          </w:tcPr>
          <w:p>
            <w:pPr>
              <w:ind w:left="50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w:t>
            </w:r>
          </w:p>
        </w:tc>
        <w:tc>
          <w:tcPr>
            <w:tcW w:w="18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January 2, 2018</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February 20, 2018</w:t>
            </w:r>
          </w:p>
        </w:tc>
        <w:tc>
          <w:tcPr>
            <w:tcW w:w="2200" w:type="dxa"/>
            <w:vAlign w:val="bottom"/>
            <w:gridSpan w:val="2"/>
          </w:tcPr>
          <w:p>
            <w:pPr>
              <w:spacing w:after="0"/>
              <w:rPr>
                <w:sz w:val="20"/>
                <w:szCs w:val="20"/>
                <w:color w:val="auto"/>
              </w:rPr>
            </w:pPr>
            <w:r>
              <w:rPr>
                <w:rFonts w:ascii="Arial" w:cs="Arial" w:eastAsia="Arial" w:hAnsi="Arial"/>
                <w:sz w:val="18"/>
                <w:szCs w:val="18"/>
                <w:color w:val="auto"/>
              </w:rPr>
              <w:t>February 27, 2018</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8,076</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23, 2018</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29, 2018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April 2, 2018</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April 19, 2018</w:t>
            </w:r>
          </w:p>
        </w:tc>
        <w:tc>
          <w:tcPr>
            <w:tcW w:w="2200" w:type="dxa"/>
            <w:vAlign w:val="bottom"/>
            <w:gridSpan w:val="2"/>
          </w:tcPr>
          <w:p>
            <w:pPr>
              <w:spacing w:after="0"/>
              <w:rPr>
                <w:sz w:val="20"/>
                <w:szCs w:val="20"/>
                <w:color w:val="auto"/>
              </w:rPr>
            </w:pPr>
            <w:r>
              <w:rPr>
                <w:rFonts w:ascii="Arial" w:cs="Arial" w:eastAsia="Arial" w:hAnsi="Arial"/>
                <w:sz w:val="18"/>
                <w:szCs w:val="18"/>
                <w:color w:val="auto"/>
              </w:rPr>
              <w:t>April 27, 2018</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1,278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7,006</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April 2, 2018</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22, 2018</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April 2, 2018</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June 20, 2018</w:t>
            </w:r>
          </w:p>
        </w:tc>
        <w:tc>
          <w:tcPr>
            <w:tcW w:w="2200" w:type="dxa"/>
            <w:vAlign w:val="bottom"/>
            <w:gridSpan w:val="2"/>
          </w:tcPr>
          <w:p>
            <w:pPr>
              <w:spacing w:after="0"/>
              <w:rPr>
                <w:sz w:val="20"/>
                <w:szCs w:val="20"/>
                <w:color w:val="auto"/>
              </w:rPr>
            </w:pPr>
            <w:r>
              <w:rPr>
                <w:rFonts w:ascii="Arial" w:cs="Arial" w:eastAsia="Arial" w:hAnsi="Arial"/>
                <w:sz w:val="18"/>
                <w:szCs w:val="18"/>
                <w:color w:val="auto"/>
              </w:rPr>
              <w:t>June 28, 2018</w:t>
            </w: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1,280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6,591</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vMerge w:val="restart"/>
          </w:tcPr>
          <w:p>
            <w:pPr>
              <w:ind w:left="12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schedule of financial highlights for the six months ended June 30, 2019 and 2018 (dollars in thousands, except share and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8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2018</w:t>
            </w:r>
          </w:p>
        </w:tc>
        <w:tc>
          <w:tcPr>
            <w:tcW w:w="220" w:type="dxa"/>
            <w:vAlign w:val="bottom"/>
          </w:tcPr>
          <w:p>
            <w:pPr>
              <w:spacing w:after="0"/>
              <w:rPr>
                <w:sz w:val="19"/>
                <w:szCs w:val="19"/>
                <w:color w:val="auto"/>
              </w:rPr>
            </w:pP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11.88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13.91</w:t>
            </w:r>
          </w:p>
        </w:tc>
      </w:tr>
      <w:tr>
        <w:trPr>
          <w:trHeight w:val="257"/>
        </w:trPr>
        <w:tc>
          <w:tcPr>
            <w:tcW w:w="8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r>
      <w:tr>
        <w:trPr>
          <w:trHeight w:val="257"/>
        </w:trPr>
        <w:tc>
          <w:tcPr>
            <w:tcW w:w="8200" w:type="dxa"/>
            <w:vAlign w:val="bottom"/>
          </w:tcPr>
          <w:p>
            <w:pPr>
              <w:spacing w:after="0" w:line="256" w:lineRule="exact"/>
              <w:rPr>
                <w:sz w:val="20"/>
                <w:szCs w:val="20"/>
                <w:color w:val="auto"/>
              </w:rPr>
            </w:pPr>
            <w:r>
              <w:rPr>
                <w:rFonts w:ascii="Arial" w:cs="Arial" w:eastAsia="Arial" w:hAnsi="Arial"/>
                <w:sz w:val="18"/>
                <w:szCs w:val="18"/>
                <w:color w:val="auto"/>
              </w:rPr>
              <w:t>Net realized loss on investments</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r>
      <w:tr>
        <w:trPr>
          <w:trHeight w:val="257"/>
        </w:trPr>
        <w:tc>
          <w:tcPr>
            <w:tcW w:w="8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appreciation (depreciation) on investments</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r>
      <w:tr>
        <w:trPr>
          <w:trHeight w:val="257"/>
        </w:trPr>
        <w:tc>
          <w:tcPr>
            <w:tcW w:w="8200" w:type="dxa"/>
            <w:vAlign w:val="bottom"/>
          </w:tcPr>
          <w:p>
            <w:pPr>
              <w:spacing w:after="0" w:line="256" w:lineRule="exact"/>
              <w:rPr>
                <w:sz w:val="20"/>
                <w:szCs w:val="20"/>
                <w:color w:val="auto"/>
              </w:rPr>
            </w:pPr>
            <w:r>
              <w:rPr>
                <w:rFonts w:ascii="Arial" w:cs="Arial" w:eastAsia="Arial" w:hAnsi="Arial"/>
                <w:sz w:val="18"/>
                <w:szCs w:val="18"/>
                <w:color w:val="auto"/>
              </w:rPr>
              <w:t>Tax benefit (provision)</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 from net investment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r>
      <w:tr>
        <w:trPr>
          <w:trHeight w:val="270"/>
        </w:trPr>
        <w:tc>
          <w:tcPr>
            <w:tcW w:w="8200" w:type="dxa"/>
            <w:vAlign w:val="bottom"/>
          </w:tcPr>
          <w:p>
            <w:pPr>
              <w:spacing w:after="0" w:line="269" w:lineRule="exact"/>
              <w:rPr>
                <w:sz w:val="20"/>
                <w:szCs w:val="20"/>
                <w:color w:val="auto"/>
              </w:rPr>
            </w:pPr>
            <w:r>
              <w:rPr>
                <w:rFonts w:ascii="Arial" w:cs="Arial" w:eastAsia="Arial" w:hAnsi="Arial"/>
                <w:sz w:val="18"/>
                <w:szCs w:val="18"/>
                <w:color w:val="auto"/>
              </w:rPr>
              <w:t>Other</w:t>
            </w:r>
            <w:r>
              <w:rPr>
                <w:rFonts w:ascii="Arial" w:cs="Arial" w:eastAsia="Arial" w:hAnsi="Arial"/>
                <w:sz w:val="30"/>
                <w:szCs w:val="30"/>
                <w:color w:val="auto"/>
                <w:vertAlign w:val="superscript"/>
              </w:rPr>
              <w:t>(7)</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153,863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219,317</w:t>
            </w:r>
          </w:p>
        </w:tc>
        <w:tc>
          <w:tcPr>
            <w:tcW w:w="22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16,118,948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15,994,690</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8.30</w:t>
            </w:r>
          </w:p>
        </w:tc>
      </w:tr>
      <w:tr>
        <w:trPr>
          <w:trHeight w:val="257"/>
        </w:trPr>
        <w:tc>
          <w:tcPr>
            <w:tcW w:w="8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21.89%</w:t>
            </w:r>
          </w:p>
        </w:tc>
      </w:tr>
      <w:tr>
        <w:trPr>
          <w:trHeight w:val="216"/>
        </w:trPr>
        <w:tc>
          <w:tcPr>
            <w:tcW w:w="82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8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w:t>
            </w:r>
          </w:p>
        </w:tc>
      </w:tr>
      <w:tr>
        <w:trPr>
          <w:trHeight w:val="257"/>
        </w:trPr>
        <w:tc>
          <w:tcPr>
            <w:tcW w:w="8200" w:type="dxa"/>
            <w:vAlign w:val="bottom"/>
          </w:tcPr>
          <w:p>
            <w:pPr>
              <w:spacing w:after="0" w:line="256" w:lineRule="exact"/>
              <w:rPr>
                <w:sz w:val="20"/>
                <w:szCs w:val="20"/>
                <w:color w:val="auto"/>
              </w:rPr>
            </w:pPr>
            <w:r>
              <w:rPr>
                <w:rFonts w:ascii="Arial" w:cs="Arial" w:eastAsia="Arial" w:hAnsi="Arial"/>
                <w:sz w:val="18"/>
                <w:szCs w:val="18"/>
                <w:color w:val="auto"/>
              </w:rPr>
              <w:t>Ratio of incentive fee, net of incentive fee waiver, to average net assets</w:t>
            </w:r>
            <w:r>
              <w:rPr>
                <w:rFonts w:ascii="Arial" w:cs="Arial" w:eastAsia="Arial" w:hAnsi="Arial"/>
                <w:sz w:val="29"/>
                <w:szCs w:val="29"/>
                <w:color w:val="auto"/>
                <w:vertAlign w:val="superscript"/>
              </w:rPr>
              <w:t>(6)(10)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r>
      <w:tr>
        <w:trPr>
          <w:trHeight w:val="257"/>
        </w:trPr>
        <w:tc>
          <w:tcPr>
            <w:tcW w:w="8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(8)</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w:t>
            </w:r>
          </w:p>
        </w:tc>
      </w:tr>
      <w:tr>
        <w:trPr>
          <w:trHeight w:val="257"/>
        </w:trPr>
        <w:tc>
          <w:tcPr>
            <w:tcW w:w="8200" w:type="dxa"/>
            <w:vAlign w:val="bottom"/>
          </w:tcPr>
          <w:p>
            <w:pPr>
              <w:spacing w:after="0" w:line="256" w:lineRule="exact"/>
              <w:rPr>
                <w:sz w:val="20"/>
                <w:szCs w:val="20"/>
                <w:color w:val="auto"/>
              </w:rPr>
            </w:pPr>
            <w:r>
              <w:rPr>
                <w:rFonts w:ascii="Arial" w:cs="Arial" w:eastAsia="Arial" w:hAnsi="Arial"/>
                <w:sz w:val="18"/>
                <w:szCs w:val="18"/>
                <w:color w:val="auto"/>
              </w:rPr>
              <w:t>Ratio of tax (benefit) provision to average net assets</w:t>
            </w:r>
            <w:r>
              <w:rPr>
                <w:rFonts w:ascii="Arial" w:cs="Arial" w:eastAsia="Arial" w:hAnsi="Arial"/>
                <w:sz w:val="29"/>
                <w:szCs w:val="29"/>
                <w:color w:val="auto"/>
                <w:vertAlign w:val="superscript"/>
              </w:rPr>
              <w:t>(8)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57"/>
        </w:trPr>
        <w:tc>
          <w:tcPr>
            <w:tcW w:w="8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9"/>
                <w:szCs w:val="29"/>
                <w:color w:val="auto"/>
                <w:vertAlign w:val="superscript"/>
              </w:rPr>
              <w:t>(8)</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r>
      <w:tr>
        <w:trPr>
          <w:trHeight w:val="257"/>
        </w:trPr>
        <w:tc>
          <w:tcPr>
            <w:tcW w:w="8200" w:type="dxa"/>
            <w:vAlign w:val="bottom"/>
          </w:tcPr>
          <w:p>
            <w:pPr>
              <w:spacing w:after="0" w:line="256" w:lineRule="exact"/>
              <w:rPr>
                <w:sz w:val="20"/>
                <w:szCs w:val="20"/>
                <w:color w:val="auto"/>
              </w:rPr>
            </w:pPr>
            <w:r>
              <w:rPr>
                <w:rFonts w:ascii="Arial" w:cs="Arial" w:eastAsia="Arial" w:hAnsi="Arial"/>
                <w:sz w:val="18"/>
                <w:szCs w:val="18"/>
                <w:color w:val="auto"/>
                <w:w w:val="92"/>
              </w:rPr>
              <w:t>Ratio of total expenses including tax (benefit) provision, net of incentive fee waiver, to average net assets</w:t>
            </w:r>
            <w:r>
              <w:rPr>
                <w:rFonts w:ascii="Arial" w:cs="Arial" w:eastAsia="Arial" w:hAnsi="Arial"/>
                <w:sz w:val="29"/>
                <w:szCs w:val="29"/>
                <w:color w:val="auto"/>
                <w:w w:val="92"/>
                <w:vertAlign w:val="superscript"/>
              </w:rPr>
              <w:t>(6)(9)</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13.18%</w:t>
            </w:r>
          </w:p>
        </w:tc>
      </w:tr>
      <w:tr>
        <w:trPr>
          <w:trHeight w:val="257"/>
        </w:trPr>
        <w:tc>
          <w:tcPr>
            <w:tcW w:w="8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r>
      <w:tr>
        <w:trPr>
          <w:trHeight w:val="257"/>
        </w:trPr>
        <w:tc>
          <w:tcPr>
            <w:tcW w:w="8200" w:type="dxa"/>
            <w:vAlign w:val="bottom"/>
          </w:tcPr>
          <w:p>
            <w:pPr>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301,183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308,788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per common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19.31</w:t>
            </w:r>
          </w:p>
        </w:tc>
      </w:tr>
      <w:tr>
        <w:trPr>
          <w:trHeight w:val="390"/>
        </w:trPr>
        <w:tc>
          <w:tcPr>
            <w:tcW w:w="8200" w:type="dxa"/>
            <w:vAlign w:val="bottom"/>
          </w:tcPr>
          <w:p>
            <w:pPr>
              <w:spacing w:after="0"/>
              <w:rPr>
                <w:sz w:val="20"/>
                <w:szCs w:val="20"/>
                <w:color w:val="auto"/>
              </w:rPr>
            </w:pPr>
            <w:r>
              <w:rPr>
                <w:rFonts w:ascii="Arial" w:cs="Arial" w:eastAsia="Arial" w:hAnsi="Arial"/>
                <w:sz w:val="18"/>
                <w:szCs w:val="18"/>
                <w:color w:val="auto"/>
              </w:rPr>
              <w:t>Asset coverage ratio per unit</w:t>
            </w:r>
            <w:r>
              <w:rPr>
                <w:rFonts w:ascii="Arial" w:cs="Arial" w:eastAsia="Arial" w:hAnsi="Arial"/>
                <w:sz w:val="30"/>
                <w:szCs w:val="30"/>
                <w:color w:val="auto"/>
                <w:vertAlign w:val="superscript"/>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2,660</w:t>
            </w:r>
          </w:p>
        </w:tc>
      </w:tr>
    </w:tbl>
    <w:p>
      <w:pPr>
        <w:spacing w:after="0" w:line="6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the daily weighted average balance of debt outstanding during the period.</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June 30, 2019 and June 30, 2018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ratio of waived incentive fees to average net assets was 0.16% and 0.00%, respectively, for the six months ended June 30, 2019 and June 30, 2018.</w:t>
      </w:r>
    </w:p>
    <w:p>
      <w:pPr>
        <w:spacing w:after="0" w:line="32" w:lineRule="exact"/>
        <w:rPr>
          <w:rFonts w:ascii="Arial" w:cs="Arial" w:eastAsia="Arial" w:hAnsi="Arial"/>
          <w:sz w:val="16"/>
          <w:szCs w:val="16"/>
          <w:color w:val="auto"/>
        </w:rPr>
      </w:pPr>
    </w:p>
    <w:p>
      <w:pPr>
        <w:ind w:left="340" w:hanging="332"/>
        <w:spacing w:after="0" w:line="281"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Ratios are annualized. Incentive fees included within the ratio are not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Ratio is not annualized.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June 30,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1, 2019, the Company’s Board declared normal monthly distributions for July, August, and September of 2019 as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176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420" w:type="dxa"/>
            <w:vAlign w:val="bottom"/>
            <w:gridSpan w:val="2"/>
          </w:tcPr>
          <w:p>
            <w:pPr>
              <w:ind w:left="680"/>
              <w:spacing w:after="0"/>
              <w:rPr>
                <w:sz w:val="20"/>
                <w:szCs w:val="20"/>
                <w:color w:val="auto"/>
              </w:rPr>
            </w:pPr>
            <w:r>
              <w:rPr>
                <w:rFonts w:ascii="Arial" w:cs="Arial" w:eastAsia="Arial" w:hAnsi="Arial"/>
                <w:sz w:val="18"/>
                <w:szCs w:val="18"/>
                <w:b w:val="1"/>
                <w:bCs w:val="1"/>
                <w:color w:val="auto"/>
              </w:rPr>
              <w:t>Record Date</w:t>
            </w:r>
          </w:p>
        </w:tc>
        <w:tc>
          <w:tcPr>
            <w:tcW w:w="2280" w:type="dxa"/>
            <w:vAlign w:val="bottom"/>
          </w:tcPr>
          <w:p>
            <w:pPr>
              <w:ind w:left="60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8"/>
                <w:szCs w:val="18"/>
                <w:b w:val="1"/>
                <w:bCs w:val="1"/>
                <w:color w:val="auto"/>
                <w:w w:val="95"/>
              </w:rPr>
              <w:t>Distributions per Share</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2019</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23, 2019</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30, 2019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July 1, 2019</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August 22, 2019</w:t>
            </w:r>
          </w:p>
        </w:tc>
        <w:tc>
          <w:tcPr>
            <w:tcW w:w="2280" w:type="dxa"/>
            <w:vAlign w:val="bottom"/>
          </w:tcPr>
          <w:p>
            <w:pPr>
              <w:spacing w:after="0"/>
              <w:rPr>
                <w:sz w:val="20"/>
                <w:szCs w:val="20"/>
                <w:color w:val="auto"/>
              </w:rPr>
            </w:pPr>
            <w:r>
              <w:rPr>
                <w:rFonts w:ascii="Arial" w:cs="Arial" w:eastAsia="Arial" w:hAnsi="Arial"/>
                <w:sz w:val="18"/>
                <w:szCs w:val="18"/>
                <w:color w:val="auto"/>
              </w:rPr>
              <w:t>August 29, 2019</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July 1, 2019</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20, 2019</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September 27, 2019</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648"/>
        </w:trPr>
        <w:tc>
          <w:tcPr>
            <w:tcW w:w="4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25, 2019, the Company received $6.3 million for its debt investments in Micro Precision, LLC, repaid at par.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1, 2019, the Company received $18.0 million for its first lien debt investment in Sunset Digital Holdings, LLC, repaid at par.</w:t>
      </w: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0"/>
          </w:cols>
          <w:pgMar w:left="240" w:top="909" w:right="11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1" w:lineRule="exact"/>
        <w:rPr>
          <w:sz w:val="20"/>
          <w:szCs w:val="20"/>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660" w:right="20" w:hanging="342"/>
        <w:spacing w:after="0" w:line="277" w:lineRule="auto"/>
        <w:tabs>
          <w:tab w:leader="none" w:pos="1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660" w:hanging="342"/>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660" w:right="20" w:hanging="342"/>
        <w:spacing w:after="0" w:line="277" w:lineRule="auto"/>
        <w:tabs>
          <w:tab w:leader="none" w:pos="1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our Annual Report on Form 10-K and in this quarterly report on Form 10-Q.</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ind w:firstLine="648"/>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2018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invest in first lien loans, second lien loans, and subordinated loans, and, to a lesser extent, equity securities issued by lower middle-market companies and traditional middle-market companies.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(or 150%, if certain requirements are met, after November 1, 2019) after such borrowing, with certain limited exceptions.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requirements for senior securities will be changed from 200% to 150%, effective November 1, 2019.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w:t>
      </w:r>
    </w:p>
    <w:p>
      <w:pPr>
        <w:jc w:val="both"/>
        <w:ind w:firstLine="8"/>
        <w:spacing w:after="0" w:line="292" w:lineRule="auto"/>
        <w:tabs>
          <w:tab w:leader="none" w:pos="2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Fund III, our subsidiary, is licensed under the Small Business Investment Company (“SBIC”) Act and has elected to be regulated as a BDC under the 1940 Act. Fund II, our subsidiary, was licensed under the SBIC Act until March 1, 2019 and has elected to be regulated as a BDC under the 1940 Act.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is considered an investment company as defined in Accounting Standards Codification (“ASC”) Topic 946 —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Investment Companies </w:t>
      </w:r>
      <w:r>
        <w:rPr>
          <w:rFonts w:ascii="Arial" w:cs="Arial" w:eastAsia="Arial" w:hAnsi="Arial"/>
          <w:sz w:val="18"/>
          <w:szCs w:val="18"/>
          <w:color w:val="auto"/>
        </w:rPr>
        <w:t>(“ASC 946”). The accompanying unaudited consolidated financial statements have been prepared on the accrual basis of accounting in</w:t>
      </w:r>
      <w:r>
        <w:rPr>
          <w:rFonts w:ascii="Arial" w:cs="Arial" w:eastAsia="Arial" w:hAnsi="Arial"/>
          <w:sz w:val="18"/>
          <w:szCs w:val="18"/>
          <w:i w:val="1"/>
          <w:iCs w:val="1"/>
          <w:color w:val="auto"/>
        </w:rPr>
        <w:t xml:space="preserve"> </w:t>
      </w:r>
      <w:r>
        <w:rPr>
          <w:rFonts w:ascii="Arial" w:cs="Arial" w:eastAsia="Arial" w:hAnsi="Arial"/>
          <w:sz w:val="18"/>
          <w:szCs w:val="18"/>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June 30, 2019 and December 31, 2018 and for the periods ended June 30, 2019 and June 30, 2018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does not consolidate its interest in Capitala Senior Loan Fund II, LLC (‘‘CSLF II’’) because the investment is not considered a substantially wholly owned investment company subsidiary. Further, CSLF II is a joint venture for which shared power exists relating to the decisions that most significantly impact the economic performance of the entity. See Note 4 to the consolidated financial statements for a description of the Company’s investment in CSLF II.</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income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uses net asset value (“NAV”) as the fair value for its equity investment in CSLF II. CSLF II records its underlying investments at fair value on a quarterly basis in accordance with the 1940 Act and ASC 820.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collected. The Company has loans in the portfolio that contain a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the maturity date are recorded as income upon receipt.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elected to amend its tax year end from August 31 to December 31 and filed a tax return for the four months ended December 31, 2017. The tax periods ended December 31, 2018, December 31, 2017, August 31, 2017, and August 31, 2016 remain subject to examination by U.S. federal, state, and local tax authorities. No interest expense or penalties have been assessed for the periods ended June 30, 2019 and 2018. If the Company was required to recognize interest and penalties, if any, related to unrecognized tax benefits this would be recognized as income tax expense in the consolidated statements of operations.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Taxable Subsidiaries record deferred tax assets or liabilities related to temporary book versus tax differences on the income or loss generated by the underlying equity investments held by the Taxable Subsidiaries. As of June 30, 2019 and December 31, 2018, the Company recorded a net deferred tax asset of $0.0 million and $0.6 million, respectively. For the three months and six months ended June 30, 2019, the Company recorded a tax provision of $(0.7) million and $(0.6) million, respectively. For the three months and six months ended June 30, 2018, the Company recorded a tax benefit of $1.3 million and $1.3 million, respectively. As of June 30, 2019 and December 31, 2018, the valuation allowance on the Company’s deferred tax asset was $2.4 million and $0.4 million, respectively. During the three months and six months ended June 30, 2019, the Company recognized an increase in the valuation allowance of $2.0 million. No change in the valuation allowance was recognized for the three and six months ended June 30, 2018.</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2019 and December 31, 2018,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June 30, 2019 and December 31, 2018.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subordinated loans and, to a lesser extent, equity securities issued by lower middle-market companies and traditional middle-market companies. As of June 30, 2019, our portfolio consisted of investments in 41 portfolio companies with a fair value of approximately $391.1 million.</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June 30, 2019, 17.6% of the fair value of our first lien loans consisted of last-out loans. As of December 31, 2018, 13.7% of the fair value of our first lien loans consisted of last-out loans. In some cases, first lien loans may be subordinated, solely with respect to the payment of cash interest, to an asset based revolving credit facility.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but unlike second lien loans, may be subject to the interruption of cash interest payments upon certain events of default, at the discretion of the first lien lender.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2019, we made approximately $13.8 million of investments and had approximately $46.6 million in repayments and sales of investments, resulting in net repayments and sales of approximately $32.8 million for the period. During the three months ended June 30, 2018, we made approximately $11.2 million of investments and had approximately $32.3 million in repayments and sales, resulting in net repayments and sales of approximately $21.1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2019, we made approximately $34.9 million of investments and had approximately $58.1 million in repayments and sales of investments, resulting in net repayments and sales of approximately $23.2 million for the period. During the six months ended June 30, 2018, we made approximately $39.0 million of investments and had approximately $53.7 million in repayments and sales, resulting in net repayments and sales of approximately $14.7 million for the period.</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June 30, 2019, our debt investment portfolio, which represented 77.4% of the fair value of our total portfolio, had a weighted average annualized yield of approximately 12.2%. As of June 30, 2019, 27.2% of the fair value of our debt investment portfolio was bearing a fixed rate of interest. As of December 31, 2018, our debt investment portfolio, which represented 76.4% of the fair value of our total portfolio, had a weighted average annualized yield of approximately 11.9%. As of December 31, 2018, 41.4% of the fair value of our debt investment portfolio was bearing a fixed rate of interest.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amortized cost and the fair value of investments as of June 30, 2019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242,894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235,010</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16,759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16,107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53,511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74,703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378,002</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391,059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amortized cost and the fair value of investments as of December 31, 2018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40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Second Lien Debt</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33,040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32,495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72,562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Equity and Warrants</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48,594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92,054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20.5</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419,970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64</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June 30,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558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gridSpan w:val="2"/>
          </w:tcPr>
          <w:p>
            <w:pPr>
              <w:spacing w:after="0"/>
              <w:rPr>
                <w:sz w:val="16"/>
                <w:szCs w:val="16"/>
                <w:color w:val="auto"/>
              </w:rPr>
            </w:pPr>
          </w:p>
        </w:tc>
      </w:tr>
      <w:tr>
        <w:trPr>
          <w:trHeight w:val="234"/>
        </w:trPr>
        <w:tc>
          <w:tcPr>
            <w:tcW w:w="5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57,946</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Financial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28,981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21,666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26,553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Sales &amp; Marketing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19,277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16,950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17,335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16,944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IT Consulting</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14,591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15,233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Investment Funds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13,763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13,695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Healthcare Management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Multi-Platform Media and Consumer Products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12,941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Textile Equipment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Government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11,433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12,109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10,500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14,979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Conglomerate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9,173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Advertising &amp; Marketing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Testing Laboratories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7,492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Electronic Machine Repair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Oil &amp; Gas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5,796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Data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4,938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Medical Device Distributor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Restaurant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Online Merchandise Retailer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3,494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3,499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Personal Digital Imaging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Footwear Retail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3,184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Home Repair Parts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2,416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QSR Franchisor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Household Product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Industrial Equipment Rental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16,327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Produce Distribution</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Farming</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391,059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June 30, 2019 and December 31, 2018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June 30, 2019 and December 31, 2018 (dollars in thousands):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June 30,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558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gridSpan w:val="2"/>
          </w:tcPr>
          <w:p>
            <w:pPr>
              <w:spacing w:after="0"/>
              <w:rPr>
                <w:sz w:val="16"/>
                <w:szCs w:val="16"/>
                <w:color w:val="auto"/>
              </w:rPr>
            </w:pPr>
          </w:p>
        </w:tc>
      </w:tr>
      <w:tr>
        <w:trPr>
          <w:trHeight w:val="234"/>
        </w:trPr>
        <w:tc>
          <w:tcPr>
            <w:tcW w:w="5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206,673</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224,856</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Northeast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65,079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66,303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62,806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56,501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77,353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391,059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11420"/>
          </w:cols>
          <w:pgMar w:left="240" w:top="918" w:right="239" w:bottom="1440" w:gutter="0" w:footer="0" w:header="0"/>
        </w:sectPr>
      </w:pPr>
    </w:p>
    <w:p>
      <w:pPr>
        <w:spacing w:after="0" w:line="221" w:lineRule="exact"/>
        <w:rPr>
          <w:sz w:val="20"/>
          <w:szCs w:val="20"/>
          <w:color w:val="auto"/>
        </w:rPr>
      </w:pPr>
    </w:p>
    <w:p>
      <w:pPr>
        <w:jc w:val="center"/>
        <w:ind w:right="404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404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975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640"/>
        <w:spacing w:after="0"/>
        <w:rPr>
          <w:sz w:val="20"/>
          <w:szCs w:val="20"/>
          <w:color w:val="auto"/>
        </w:rPr>
      </w:pPr>
      <w:r>
        <w:rPr>
          <w:rFonts w:ascii="Arial" w:cs="Arial" w:eastAsia="Arial" w:hAnsi="Arial"/>
          <w:sz w:val="16"/>
          <w:szCs w:val="16"/>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31750</wp:posOffset>
            </wp:positionV>
            <wp:extent cx="63715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5300" w:space="720"/>
            <w:col w:w="5400"/>
          </w:cols>
          <w:pgMar w:left="240" w:top="918" w:right="239" w:bottom="1440" w:gutter="0" w:footer="0" w:header="0"/>
          <w:type w:val="continuous"/>
        </w:sectPr>
      </w:pPr>
    </w:p>
    <w:p>
      <w:pPr>
        <w:ind w:left="1380" w:right="20" w:hanging="789"/>
        <w:spacing w:after="0" w:line="277"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70" w:lineRule="exact"/>
        <w:rPr>
          <w:sz w:val="20"/>
          <w:szCs w:val="20"/>
          <w:color w:val="auto"/>
        </w:rPr>
      </w:pPr>
    </w:p>
    <w:p>
      <w:pPr>
        <w:jc w:val="both"/>
        <w:ind w:left="1380" w:hanging="789"/>
        <w:spacing w:after="0" w:line="264" w:lineRule="auto"/>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1" w:lineRule="exact"/>
        <w:rPr>
          <w:sz w:val="20"/>
          <w:szCs w:val="20"/>
          <w:color w:val="auto"/>
        </w:rPr>
      </w:pPr>
    </w:p>
    <w:p>
      <w:pPr>
        <w:jc w:val="both"/>
        <w:ind w:left="1380" w:hanging="789"/>
        <w:spacing w:after="0" w:line="264"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1" w:lineRule="exact"/>
        <w:rPr>
          <w:sz w:val="20"/>
          <w:szCs w:val="20"/>
          <w:color w:val="auto"/>
        </w:rPr>
      </w:pPr>
    </w:p>
    <w:p>
      <w:pPr>
        <w:ind w:left="1380" w:hanging="789"/>
        <w:spacing w:after="0" w:line="277"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380" w:right="20" w:hanging="789"/>
        <w:spacing w:after="0" w:line="277"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type w:val="continuous"/>
        </w:sectPr>
      </w:pPr>
    </w:p>
    <w:bookmarkStart w:id="71" w:name="page72"/>
    <w:bookmarkEnd w:id="71"/>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June 30, 2019 and December 31, 2018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As of June 30,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As of December 31, 2018</w:t>
            </w: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Investments 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Rating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120,375</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171,829</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222,588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194,411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38,293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9,803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9,362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391,059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2019, we had two debt investments on non-accrual status with an aggregate amortized cost of $13.3 million and an aggregate fair value of $8.7 million, which represented 3.5% and 2.2% of the investment portfolio, respectively. As of December 31, 2018, we had debt investments in two portfolio companies on non-accrual status with an aggregate amortized cost of $20.7 million and an aggregate fair value of $9.4 million, which represented 4.9% and 2.1% of the investment portfolio,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20, 2018, Capitala and Trinity Universal Insurance Company (“Trinity”), a subsidiary of Kemper Corporation, entered into a limited liability company agreement (the “LLC Agreement”) to co-manage CSLF II. The purpose and design of the joint venture is to invest primarily in senior secured first-out loans. Capitala and Trinity have committed to provide $25.0 million of equity to CSLF II, with Capitala providing $20.0 million and Trinity providing $5.0 million.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Capitala and Trinity each appointed two members to CSLF II’s four-person board of directors and investment committee. All material decisions with respect to CSLF II, including those involving its investment portfolio, require approval of a member on the board of directors and investment committee of at least one member representing Capitala and Trinity,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2019 and December 31, 2018, $13.6 million and $3.4 million in equity capital had been contributed by Capitala and Trinity, respectively. As of June 30, 2019 and December 31, 2018, the Company and Trinity had $6.4 million and $1.6 million of unfunded equity capital commitments outstanding, respectively. The Company’s equity investment in CSLF II is not redeemable.</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three months ended June 30, 2019 and 2018, the Company received $0.4 million and $0.0 million, respectively, in dividend income from its equity interest in CSLF II. For the six months ended June 30, 2019 and 2018, the Company received $0.4 million and $0.0 million, respectively, in dividend income from its equity interest in CSLF II.</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June 30, 2019 and December 31, 2018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w w:val="95"/>
              </w:rPr>
              <w:t>June 30, 2019</w:t>
            </w:r>
          </w:p>
        </w:tc>
        <w:tc>
          <w:tcPr>
            <w:tcW w:w="28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First lien loans </w:t>
            </w:r>
            <w:r>
              <w:rPr>
                <w:rFonts w:ascii="Arial" w:cs="Arial" w:eastAsia="Arial" w:hAnsi="Arial"/>
                <w:sz w:val="29"/>
                <w:szCs w:val="29"/>
                <w:color w:val="auto"/>
                <w:vertAlign w:val="superscript"/>
              </w:rPr>
              <w:t>(1)</w:t>
            </w:r>
          </w:p>
        </w:tc>
        <w:tc>
          <w:tcPr>
            <w:tcW w:w="2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vMerge w:val="continue"/>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16,866</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CSLF II</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200" w:type="dxa"/>
            <w:vAlign w:val="bottom"/>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6,915</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29"/>
                <w:szCs w:val="29"/>
                <w:color w:val="auto"/>
                <w:vertAlign w:val="superscript"/>
              </w:rPr>
              <w:t>(1)(2)</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16,866</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principal amount outstanding at period end.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Only three investments and two investments held as of June 30, 2019 and December 31, 2018,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Below is CSLF II’s unaudited schedule of investments as of June 30, 2019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4"/>
                <w:szCs w:val="14"/>
                <w:color w:val="auto"/>
              </w:rPr>
            </w:pP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320" w:type="dxa"/>
            <w:vAlign w:val="bottom"/>
          </w:tcPr>
          <w:p>
            <w:pPr>
              <w:spacing w:after="0"/>
              <w:rPr>
                <w:sz w:val="14"/>
                <w:szCs w:val="14"/>
                <w:color w:val="auto"/>
              </w:rPr>
            </w:pPr>
          </w:p>
        </w:tc>
        <w:tc>
          <w:tcPr>
            <w:tcW w:w="31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Type of Investment</w:t>
            </w: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U.S. BioTek Laboratories,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Testing Laboratories</w:t>
            </w:r>
          </w:p>
        </w:tc>
        <w:tc>
          <w:tcPr>
            <w:tcW w:w="3440" w:type="dxa"/>
            <w:vAlign w:val="bottom"/>
            <w:gridSpan w:val="3"/>
          </w:tcPr>
          <w:p>
            <w:pPr>
              <w:spacing w:after="0" w:line="130" w:lineRule="exact"/>
              <w:rPr>
                <w:sz w:val="20"/>
                <w:szCs w:val="20"/>
                <w:color w:val="auto"/>
              </w:rPr>
            </w:pPr>
            <w:r>
              <w:rPr>
                <w:rFonts w:ascii="Arial" w:cs="Arial" w:eastAsia="Arial" w:hAnsi="Arial"/>
                <w:sz w:val="14"/>
                <w:szCs w:val="14"/>
                <w:color w:val="auto"/>
              </w:rPr>
              <w:t>First Lien Debt (7.5% Cash (3 month LIBOR + 5.0%,</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w w:val="93"/>
              </w:rPr>
              <w:t>2.0%</w:t>
            </w: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Floor), Due 12/14/23)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4,478</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4,478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4,478</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2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 Machine Repair</w:t>
            </w:r>
          </w:p>
        </w:tc>
        <w:tc>
          <w:tcPr>
            <w:tcW w:w="3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First Lien Debt (7.4% Cash (1 month LIBOR + 5.0%,</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w w:val="93"/>
              </w:rPr>
              <w:t>2.0%</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Floor), Due 12/20/23)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5,473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5,473</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RAM Payment,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Financial Services</w:t>
            </w:r>
          </w:p>
        </w:tc>
        <w:tc>
          <w:tcPr>
            <w:tcW w:w="3440" w:type="dxa"/>
            <w:vAlign w:val="bottom"/>
            <w:gridSpan w:val="3"/>
          </w:tcPr>
          <w:p>
            <w:pPr>
              <w:spacing w:after="0" w:line="130" w:lineRule="exact"/>
              <w:rPr>
                <w:sz w:val="20"/>
                <w:szCs w:val="20"/>
                <w:color w:val="auto"/>
              </w:rPr>
            </w:pPr>
            <w:r>
              <w:rPr>
                <w:rFonts w:ascii="Arial" w:cs="Arial" w:eastAsia="Arial" w:hAnsi="Arial"/>
                <w:sz w:val="14"/>
                <w:szCs w:val="14"/>
                <w:color w:val="auto"/>
              </w:rPr>
              <w:t>First Lien Debt (7.4% Cash (1 month LIBOR + 5.0%,</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4"/>
                <w:szCs w:val="14"/>
                <w:color w:val="auto"/>
                <w:w w:val="93"/>
              </w:rPr>
              <w:t>1.5%</w:t>
            </w: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Floor), Due 1/4/24)</w:t>
            </w: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6,915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6,915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6,915</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0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16,866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CSLF II’s schedule of investments as of December 31, 2018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4"/>
                <w:szCs w:val="14"/>
                <w:color w:val="auto"/>
              </w:rPr>
            </w:pP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344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Type of Investment</w:t>
            </w:r>
          </w:p>
        </w:tc>
        <w:tc>
          <w:tcPr>
            <w:tcW w:w="1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12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U.S. BioTek Laboratories,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Testing Laboratories</w:t>
            </w:r>
          </w:p>
        </w:tc>
        <w:tc>
          <w:tcPr>
            <w:tcW w:w="3440" w:type="dxa"/>
            <w:vAlign w:val="bottom"/>
            <w:gridSpan w:val="2"/>
          </w:tcPr>
          <w:p>
            <w:pPr>
              <w:spacing w:after="0" w:line="130" w:lineRule="exact"/>
              <w:rPr>
                <w:sz w:val="20"/>
                <w:szCs w:val="20"/>
                <w:color w:val="auto"/>
              </w:rPr>
            </w:pPr>
            <w:r>
              <w:rPr>
                <w:rFonts w:ascii="Arial" w:cs="Arial" w:eastAsia="Arial" w:hAnsi="Arial"/>
                <w:sz w:val="14"/>
                <w:szCs w:val="14"/>
                <w:color w:val="auto"/>
              </w:rPr>
              <w:t>First Lien Debt (7.8% Cash (3 month LIBOR + 5.0%,</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2.0% Floor), Due 12/14/23)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4,500</w:t>
            </w:r>
          </w:p>
        </w:tc>
        <w:tc>
          <w:tcPr>
            <w:tcW w:w="70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4,500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2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 Machine Repair</w:t>
            </w:r>
          </w:p>
        </w:tc>
        <w:tc>
          <w:tcPr>
            <w:tcW w:w="3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(7.5% Cash (1 month LIBOR + 5.0%,</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 Floor), Due 12/20/23)</w:t>
            </w:r>
          </w:p>
        </w:tc>
        <w:tc>
          <w:tcPr>
            <w:tcW w:w="1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156"/>
        </w:trPr>
        <w:tc>
          <w:tcPr>
            <w:tcW w:w="230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3"/>
              </w:rPr>
              <w:t>10,000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gridSpan w:val="6"/>
            <w:vMerge w:val="restart"/>
          </w:tcPr>
          <w:p>
            <w:pPr>
              <w:ind w:left="660"/>
              <w:spacing w:after="0"/>
              <w:rPr>
                <w:sz w:val="20"/>
                <w:szCs w:val="20"/>
                <w:color w:val="auto"/>
              </w:rPr>
            </w:pPr>
            <w:r>
              <w:rPr>
                <w:rFonts w:ascii="Arial" w:cs="Arial" w:eastAsia="Arial" w:hAnsi="Arial"/>
                <w:sz w:val="18"/>
                <w:szCs w:val="18"/>
                <w:color w:val="auto"/>
              </w:rPr>
              <w:t>Below are the Statements of Assets and Liabilities for CSLF II (dollars in thousands):</w:t>
            </w: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4"/>
          </w:tcPr>
          <w:p>
            <w:pPr>
              <w:jc w:val="right"/>
              <w:ind w:right="38"/>
              <w:spacing w:after="0"/>
              <w:rPr>
                <w:sz w:val="20"/>
                <w:szCs w:val="20"/>
                <w:color w:val="auto"/>
              </w:rPr>
            </w:pPr>
            <w:r>
              <w:rPr>
                <w:rFonts w:ascii="Arial" w:cs="Arial" w:eastAsia="Arial" w:hAnsi="Arial"/>
                <w:sz w:val="18"/>
                <w:szCs w:val="18"/>
                <w:b w:val="1"/>
                <w:bCs w:val="1"/>
                <w:color w:val="auto"/>
                <w:w w:val="97"/>
              </w:rPr>
              <w:t>June 30, 2019</w:t>
            </w:r>
          </w:p>
        </w:tc>
        <w:tc>
          <w:tcPr>
            <w:tcW w:w="1660" w:type="dxa"/>
            <w:vAlign w:val="bottom"/>
            <w:gridSpan w:val="6"/>
          </w:tcPr>
          <w:p>
            <w:pPr>
              <w:ind w:left="200"/>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top w:val="single" w:sz="8" w:color="auto"/>
            </w:tcBorders>
            <w:gridSpan w:val="4"/>
          </w:tcPr>
          <w:p>
            <w:pPr>
              <w:jc w:val="right"/>
              <w:ind w:right="118"/>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6"/>
          </w:tcPr>
          <w:p>
            <w:pPr>
              <w:spacing w:after="0"/>
              <w:rPr>
                <w:sz w:val="20"/>
                <w:szCs w:val="20"/>
                <w:color w:val="auto"/>
              </w:rPr>
            </w:pPr>
            <w:r>
              <w:rPr>
                <w:rFonts w:ascii="Arial" w:cs="Arial" w:eastAsia="Arial" w:hAnsi="Arial"/>
                <w:sz w:val="18"/>
                <w:szCs w:val="18"/>
                <w:color w:val="auto"/>
              </w:rPr>
              <w:t>Investments at fair value (amortized cost of $16,866 and $10,000, respectively)</w:t>
            </w:r>
          </w:p>
        </w:tc>
        <w:tc>
          <w:tcPr>
            <w:tcW w:w="160" w:type="dxa"/>
            <w:vAlign w:val="bottom"/>
          </w:tcPr>
          <w:p>
            <w:pPr>
              <w:spacing w:after="0"/>
              <w:rPr>
                <w:sz w:val="18"/>
                <w:szCs w:val="18"/>
                <w:color w:val="auto"/>
              </w:rPr>
            </w:pPr>
          </w:p>
        </w:tc>
        <w:tc>
          <w:tcPr>
            <w:tcW w:w="8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16,866</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Partners’ capital</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17,203</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vMerge w:val="restart"/>
          </w:tcPr>
          <w:p>
            <w:pPr>
              <w:ind w:left="12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Below are the unaudited Statements of Operations for CSLF II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6"/>
          </w:tcPr>
          <w:p>
            <w:pPr>
              <w:ind w:left="24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7"/>
              </w:rPr>
              <w:t>June 30, 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June 30, 2018</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INVESTMENT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INCREASE IN NET ASSETS RESULTING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and six months ended June 30, 2019 and 2018 were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7"/>
              </w:rPr>
              <w:t>For the Three Months Ended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8"/>
              </w:rPr>
              <w:t>June 30, 2019</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88"/>
              </w:rPr>
              <w:t>June 30, 2019</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expenses, net of incentive fee waiver</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7,651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16,117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15,785</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(15,077)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(22,622)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(20,924)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(26,477)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Tax benefit (provision)</w:t>
            </w: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1,295</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composition of our investment income for the three and six months ended June 30, 2019 and 2018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7"/>
          </w:tcPr>
          <w:p>
            <w:pPr>
              <w:ind w:left="24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100" w:type="dxa"/>
            <w:vAlign w:val="bottom"/>
            <w:gridSpan w:val="2"/>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Fee income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2,327</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income reported as interest income and PIK interest and PIK dividend income is generally based on the stated rates as disclosed in our consolidated schedule of investments. Accretion of discounts received for purchased loans are included in interest income as an adjustment to yield. As a general rule, our interest income and PIK interest and PIK dividend income are recurring in nature.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648"/>
        <w:spacing w:after="0" w:line="312"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and have received, more substantial one-time dividends from our equity investments.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three months ended June 30, 2019, total investment income decreased by $0.3 million, or 2.5%, compared to the three months ended June 30, 2018. Interest income decreased from $10.6 million for the three months ended June 30, 2018 to $10.1 million for the three months ended June 30, 2019. The decrease from the prior period is primarily related to lower average outstanding debt investments during the three months ended June 30, 2019 compared to the three months ended June 30, 2018. PIK income declined from $1.0 million for the three months ended June 30, 2018 to $0.7 million for the three months ended June 30, 2019, primarily due to a decrease in investments with a contractual PIK rate. Fee income increased from $0.2 million for the three months ended June 30, 2018 to $0.3 million for the three months ended June 30, 2019. For the three months ended June 30, 2019, we generated $0.2 million in origination fees from new deployments and $0.1 million in non-origination fees. Comparatively, for the three months ended June 30, 2018, we generated $0.1 million in origination fees from new deployments and $0.1 million in non-origination fees. Dividend income increased from $0.1 million for the three months ended June 30, 2018 to $0.4 million for the three months ended June 30, 2019, primarily due to a $0.4 million dividend received from CSLF II.</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six months ended June 30, 2019, total investment income decreased by $0.2 million, or 0.7%, compared to the six months ended June 30, 2018. Interest income decreased from $21.3 million for the six months ended June 30, 2018 to $20.1 million for the six months ended June 30, 2019. The decrease from the prior period is primarily related to lower average outstanding debt investments during the six months ended June 30, 2019 compared to the six months ended June 30, 2018. PIK income declined from $2.3 million for the six months ended June 30, 2018 to $1.6 million for the six months ended June 30, 2019, primarily due to a decrease in investments with a contractual PIK rate. Fee income remained relatively flat at $0.7 million for the six months ended June 30, 2019 and June 30, 2018. For the six months ended June 30, 2019, we generated $0.6 million in origination fees from new deployments and $0.1 million in non-origination fees. Comparatively, for the six months ended June 30, 2018, we generated $0.4 million in origination fees from new deployments and $0.3 million in non-origination fees. Dividend income increased from $0.2 million for the six months ended June 30, 2018 to $1.7 million for the six months ended June 30, 2019, primarily due to a one-time dividend of $1.3 million received on our investment in Nth Degree, Inc and a $0.4 million dividend received from CSLF II.</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composition of our expenses for the three and six months ended June 30, 2019 and June 30, 2018 was as follows (dollars in thousands):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 management fee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Incentive fees, net of incentive fee waiver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net of incentive fee waiver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78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6"/>
          </w:tcPr>
          <w:p>
            <w:pPr>
              <w:ind w:left="24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20" w:type="dxa"/>
            <w:vAlign w:val="bottom"/>
          </w:tcPr>
          <w:p>
            <w:pPr>
              <w:spacing w:after="0"/>
              <w:rPr>
                <w:sz w:val="19"/>
                <w:szCs w:val="19"/>
                <w:color w:val="auto"/>
              </w:rPr>
            </w:pPr>
          </w:p>
        </w:tc>
      </w:tr>
      <w:tr>
        <w:trPr>
          <w:trHeight w:val="195"/>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8,641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8,695</w:t>
            </w:r>
          </w:p>
        </w:tc>
        <w:tc>
          <w:tcPr>
            <w:tcW w:w="2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4,617</w:t>
            </w:r>
          </w:p>
        </w:tc>
      </w:tr>
      <w:tr>
        <w:trPr>
          <w:trHeight w:val="230"/>
        </w:trPr>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r>
      <w:tr>
        <w:trPr>
          <w:trHeight w:val="230"/>
        </w:trPr>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2,229</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15,785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-745490</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9"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75" w:name="page76"/>
    <w:bookmarkEnd w:id="75"/>
    <w:p>
      <w:pPr>
        <w:jc w:val="both"/>
        <w:ind w:firstLine="648"/>
        <w:spacing w:after="0" w:line="289" w:lineRule="auto"/>
        <w:rPr>
          <w:sz w:val="20"/>
          <w:szCs w:val="20"/>
          <w:color w:val="auto"/>
        </w:rPr>
      </w:pPr>
      <w:r>
        <w:rPr>
          <w:rFonts w:ascii="Arial" w:cs="Arial" w:eastAsia="Arial" w:hAnsi="Arial"/>
          <w:sz w:val="16"/>
          <w:szCs w:val="16"/>
          <w:color w:val="auto"/>
        </w:rPr>
        <w:t>For the three months ended June 30, 2019, operating expenses decreased $0.1 million, or 1.1%, compared to the three months ended June 30, 2018. Interest expense decreased from $4.3 million for the three months ended June 30, 2018 to $4.2 million for the three months ended June 30, 2019. The decrease from the prior period is primarily related to lower average outstanding SBA debentures outstanding during the three months ended June 30, 2019 compared to the three months ended June 30, 2018. The decrease was offset in part by lower usage on our credit facility for the three months ended June 30, 2018 compared to the three months ended June 30, 2019. Management fees declined from $2.3 million for the three months ended June 30, 2018 to $2.0 million for the three months ended June 30, 2019, due to lower average assets under management. Incentive fees, net of incentive fee waiver, increased from $0.0 million for the three months ended June 30, 2018 to $0.2 million for the three months ended June 30, 2019, primarily due to better performance in relation to our net asset value. General and administrative expenses increased from $1.0 million for the three months ended June 30, 2018 to $1.1 million for the three months ended June 30, 2019, primarily due to higher accounting and audit expenses during the period.</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six months ended June 30, 2019, operating expenses increased $0.3 million, or 2.1%, compared to the six months ended June 30, 2018. Interest expense decreased from $8.7 million for the six months ended June 30, 2018 to $8.6 million for the six months ended June 30, 2019. The decrease from the prior period is primarily related to lower average outstanding SBA debentures outstanding during the six months ended June 30, 2019 compared to the six months ended June 30, 2018. The decrease was offset in part by lower usage on our credit facility for the six months ended June 30, 2018 compared to the six months ended June 30, 2019. Management fees declined from $4.6 million for the six months ended June 30, 2018 to $4.1 million for the six months ended June 30, 2019, due to lower average assets under management. Incentive fees, net of incentive fee waiver, increased from $0.2 million for the six months ended June 30, 2018 to $1.2 million for the six months ended June 30, 2019, primarily due to better performance in relation to our net asset value. General and administrative expenses decreased from $2.2 million for the six months ended June 30, 2018 to $2.1 million for the six months ended June 30, 2019, primarily due to decline in legal fees and accounting and audit expenses during the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six months ended June 30, 2019 we recognized $(15.1) million and $(20.9) million, respectively, of net realized losses on our portfolio investments. During the three and six months ended June 30, 2018 we recognized $(22.6) million and $(26.5) million, respectively, of net realized losses on our portfolio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three and six months ended June 30, 2019 we had net unrealized depreciation of $(17.4) million and $(15.9) million, respectively. For the three and six months ended June 30, 2018 we had net unrealized appreciation of $22.0 million and $21.6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 (provision)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and six months ended June 30, 2019, we recorded a tax provision of $(0.7) million and $(0.6) million, respectively. For the three and six months ended June 30, 2018 we recorded a tax benefit of $1.3 million and $1.3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six months ended June 30, 2019, we recorded a net decrease in net assets resulting from operations of $(29.1) million and $(29.3) million, respectively. Based on the weighted average shares of common stock outstanding for the three and six months ended June 30, 2019, our per share net decrease in net assets resulting from operations was $(1.81) and $(1.82),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six months ended June 30, 2018, we recorded a net increase in net assets resulting from operations of $4.9 million and $5.1 million, respectively. Based on the weighted average shares of common stock outstanding for the three and six months ended June 30, 2018, our per share net increase in net assets resulting from operations was $0.31 and $0.32,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two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June 30, 2019 and December 31, 2018, and for the six months ended June 30, 2019 and June 30,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six months ended June 30, 2019, the Company wrote off its investment in AAE Acquisition, LLC and realized a loss of $20.4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(loss) the Company generated from CableOrganizer Acquisition, LLC, which includes all interest, dividends, PIK interest and PIK dividends, fees, realized loss, and unrealized appreciation (depreciation), was $(7.0) million and $0.8 million for the six months ended June 30, 2019 and June 30,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(loss) the Company generated from Eastport Holdings, LLC, which includes all interest, dividends, PIK interest and dividends, fees, and unrealized appreciation (depreciation), was $(0.8) million and $1.3 million for the six months ended June 30, 2019 and June 30, 2018,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3"/>
              </w:rPr>
              <w:t>As of</w:t>
            </w: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40"/>
              <w:spacing w:after="0" w:line="205"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24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60" w:type="dxa"/>
            <w:vAlign w:val="bottom"/>
            <w:gridSpan w:val="3"/>
          </w:tcPr>
          <w:p>
            <w:pPr>
              <w:spacing w:after="0"/>
              <w:rPr>
                <w:sz w:val="20"/>
                <w:szCs w:val="20"/>
                <w:color w:val="auto"/>
              </w:rPr>
            </w:pPr>
            <w:r>
              <w:rPr>
                <w:rFonts w:ascii="Arial" w:cs="Arial" w:eastAsia="Arial" w:hAnsi="Arial"/>
                <w:sz w:val="18"/>
                <w:szCs w:val="18"/>
                <w:b w:val="1"/>
                <w:bCs w:val="1"/>
                <w:color w:val="auto"/>
              </w:rPr>
              <w:t>Balance Sheets – CableOrganizer Acquisition, LLC</w:t>
            </w:r>
          </w:p>
        </w:tc>
        <w:tc>
          <w:tcPr>
            <w:tcW w:w="22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4"/>
              </w:rPr>
              <w:t>2,757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4"/>
              </w:rPr>
              <w:t>9,882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4,689</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4"/>
              </w:rPr>
              <w:t>6,481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3,401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For the Six Months Ended</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500"/>
              <w:spacing w:after="0" w:line="205" w:lineRule="exact"/>
              <w:rPr>
                <w:sz w:val="20"/>
                <w:szCs w:val="20"/>
                <w:color w:val="auto"/>
              </w:rPr>
            </w:pPr>
            <w:r>
              <w:rPr>
                <w:rFonts w:ascii="Arial" w:cs="Arial" w:eastAsia="Arial" w:hAnsi="Arial"/>
                <w:sz w:val="18"/>
                <w:szCs w:val="18"/>
                <w:b w:val="1"/>
                <w:bCs w:val="1"/>
                <w:color w:val="auto"/>
              </w:rPr>
              <w:t>June 30,</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ind w:left="660"/>
              <w:spacing w:after="0"/>
              <w:rPr>
                <w:sz w:val="20"/>
                <w:szCs w:val="20"/>
                <w:color w:val="auto"/>
              </w:rPr>
            </w:pPr>
            <w:r>
              <w:rPr>
                <w:rFonts w:ascii="Arial" w:cs="Arial" w:eastAsia="Arial" w:hAnsi="Arial"/>
                <w:sz w:val="18"/>
                <w:szCs w:val="18"/>
                <w:b w:val="1"/>
                <w:bCs w:val="1"/>
                <w:color w:val="auto"/>
                <w:w w:val="93"/>
              </w:rPr>
              <w:t>Statements of Operations – CableOrganizer Acquisition, LLC</w:t>
            </w: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goods sold</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4,527</w:t>
            </w: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6,701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8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80" w:type="dxa"/>
            <w:vAlign w:val="bottom"/>
            <w:vMerge w:val="restart"/>
          </w:tcPr>
          <w:p>
            <w:pPr>
              <w:jc w:val="right"/>
              <w:ind w:right="21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7" w:name="page78"/>
    <w:bookmarkEnd w:id="7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3"/>
              </w:rPr>
              <w:t>As of</w:t>
            </w: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40"/>
              <w:spacing w:after="0" w:line="205"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24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60" w:type="dxa"/>
            <w:vAlign w:val="bottom"/>
            <w:gridSpan w:val="3"/>
          </w:tcPr>
          <w:p>
            <w:pPr>
              <w:spacing w:after="0"/>
              <w:rPr>
                <w:sz w:val="20"/>
                <w:szCs w:val="20"/>
                <w:color w:val="auto"/>
              </w:rPr>
            </w:pPr>
            <w:r>
              <w:rPr>
                <w:rFonts w:ascii="Arial" w:cs="Arial" w:eastAsia="Arial" w:hAnsi="Arial"/>
                <w:sz w:val="18"/>
                <w:szCs w:val="18"/>
                <w:b w:val="1"/>
                <w:bCs w:val="1"/>
                <w:color w:val="auto"/>
              </w:rPr>
              <w:t>Balance Sheets - Eastport Holdings, LLC</w:t>
            </w:r>
          </w:p>
        </w:tc>
        <w:tc>
          <w:tcPr>
            <w:tcW w:w="22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108,692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197,885</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198,962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306,577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174,789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360" w:type="dxa"/>
            <w:vAlign w:val="bottom"/>
            <w:gridSpan w:val="2"/>
          </w:tcPr>
          <w:p>
            <w:pPr>
              <w:ind w:left="660"/>
              <w:spacing w:after="0"/>
              <w:rPr>
                <w:sz w:val="20"/>
                <w:szCs w:val="20"/>
                <w:color w:val="auto"/>
              </w:rPr>
            </w:pPr>
            <w:r>
              <w:rPr>
                <w:rFonts w:ascii="Arial" w:cs="Arial" w:eastAsia="Arial" w:hAnsi="Arial"/>
                <w:sz w:val="18"/>
                <w:szCs w:val="18"/>
                <w:color w:val="auto"/>
              </w:rPr>
              <w:t>53,886</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56,951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228,675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77,902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500"/>
              <w:spacing w:after="0" w:line="205" w:lineRule="exact"/>
              <w:rPr>
                <w:sz w:val="20"/>
                <w:szCs w:val="20"/>
                <w:color w:val="auto"/>
              </w:rPr>
            </w:pPr>
            <w:r>
              <w:rPr>
                <w:rFonts w:ascii="Arial" w:cs="Arial" w:eastAsia="Arial" w:hAnsi="Arial"/>
                <w:sz w:val="18"/>
                <w:szCs w:val="18"/>
                <w:b w:val="1"/>
                <w:bCs w:val="1"/>
                <w:color w:val="auto"/>
              </w:rPr>
              <w:t>June 30,</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June 30,</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6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Eastport Holdings, LLC</w:t>
            </w: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272,702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272,634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195,256</w:t>
            </w: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192,419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IPO, we have raised approximately $136.0 million in net proceeds from equity offerings through June 30, 2019.</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17, 2014, the Company entered into a senior secured revolving credit agreement (as amended, the “Credit Facility”) with ING Capital, LLC, as administrative agent, arranger, and bookrunner, and the lenders party thereto. The Credit Facility was amended on May 22, 2015, June 16, 2017, July 19, 2018, and February 22, 2019 (the “Amendments”). The Amendments were affected, among other things, in order to increase the total borrowings allowed under the Credit Facility, allow for stock repurchases, extend the maturity date, reduce the minimum required interest coverage ratio, reduce the minimum required net asset value, and reduce the minimum required asset coverage ratio. The Credit Facility currently provides for borrowings up to $114.5 million and may be increased up to $200.0 million pursuant to its “accordion” feature. The Credit Facility matures on June 16, 2021. As of June 30, 2019, we had $5.0 million outstanding and $109.5 million available under the Credit Facility.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is payable quarterly beginning August 31, 2017. The 2022 Notes are listed on the NASDAQ Global Select Market under the trading symbol “CPTAL” with a par value $25.00 per share.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is payable quarterly beginning August 31, 2017. The 2022 Convertible Notes are listed on the NASDAQ Capital Market under the trading symbol “CPTAG” with a par value $25.00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8" w:name="page79"/>
    <w:bookmarkEnd w:id="78"/>
    <w:p>
      <w:pPr>
        <w:jc w:val="both"/>
        <w:ind w:firstLine="648"/>
        <w:spacing w:after="0" w:line="286" w:lineRule="auto"/>
        <w:rPr>
          <w:sz w:val="20"/>
          <w:szCs w:val="20"/>
          <w:color w:val="auto"/>
        </w:rPr>
      </w:pPr>
      <w:r>
        <w:rPr>
          <w:rFonts w:ascii="Arial" w:cs="Arial" w:eastAsia="Arial" w:hAnsi="Arial"/>
          <w:sz w:val="16"/>
          <w:szCs w:val="16"/>
          <w:color w:val="auto"/>
        </w:rPr>
        <w:t>As of June 30, 2019,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w:t>
      </w:r>
    </w:p>
    <w:p>
      <w:pPr>
        <w:spacing w:after="0" w:line="2" w:lineRule="exact"/>
        <w:rPr>
          <w:sz w:val="20"/>
          <w:szCs w:val="20"/>
          <w:color w:val="auto"/>
        </w:rPr>
      </w:pPr>
    </w:p>
    <w:p>
      <w:pPr>
        <w:ind w:right="20" w:firstLine="8"/>
        <w:spacing w:after="0" w:line="261" w:lineRule="auto"/>
        <w:tabs>
          <w:tab w:leader="none" w:pos="1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and Fund III as SBICs) and from certain reporting requirements mandated by the 1934 Act, with respect to Fund II and Fund III. We intend to comply with the conditions of the order.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we had $43.5 million in cash and cash equivalents, and our net assets totaled $153.9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significant contractual payment obligations as of June 30, 2019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Less Than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700"/>
              <w:spacing w:after="0" w:line="191" w:lineRule="exact"/>
              <w:rPr>
                <w:sz w:val="20"/>
                <w:szCs w:val="20"/>
                <w:color w:val="auto"/>
              </w:rPr>
            </w:pPr>
            <w:r>
              <w:rPr>
                <w:rFonts w:ascii="Arial" w:cs="Arial" w:eastAsia="Arial" w:hAnsi="Arial"/>
                <w:sz w:val="18"/>
                <w:szCs w:val="18"/>
                <w:b w:val="1"/>
                <w:bCs w:val="1"/>
                <w:color w:val="auto"/>
              </w:rPr>
              <w:t>1 – 3</w:t>
            </w:r>
          </w:p>
        </w:tc>
        <w:tc>
          <w:tcPr>
            <w:tcW w:w="240" w:type="dxa"/>
            <w:vAlign w:val="bottom"/>
          </w:tcPr>
          <w:p>
            <w:pPr>
              <w:spacing w:after="0"/>
              <w:rPr>
                <w:sz w:val="16"/>
                <w:szCs w:val="16"/>
                <w:color w:val="auto"/>
              </w:rPr>
            </w:pPr>
          </w:p>
        </w:tc>
        <w:tc>
          <w:tcPr>
            <w:tcW w:w="122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3 – 5</w:t>
            </w:r>
          </w:p>
        </w:tc>
        <w:tc>
          <w:tcPr>
            <w:tcW w:w="120" w:type="dxa"/>
            <w:vAlign w:val="bottom"/>
          </w:tcPr>
          <w:p>
            <w:pPr>
              <w:spacing w:after="0"/>
              <w:rPr>
                <w:sz w:val="16"/>
                <w:szCs w:val="16"/>
                <w:color w:val="auto"/>
              </w:rPr>
            </w:pPr>
          </w:p>
        </w:tc>
        <w:tc>
          <w:tcPr>
            <w:tcW w:w="132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More Than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5 Years</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106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0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52,088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106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257,088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summarize our distributions declared from January 1, 2017 through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2019</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2019</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21, 2019</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28, 2019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22, 2019</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2019</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23, 2019</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2019</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27, 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2019</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2018</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2018</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19, 2018</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April 27,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22, 2018</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2018</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28,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23, 2018</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July 2, 2018</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23, 2018</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August 30,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 2018</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23, 2018</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October 30,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21, 2018</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20, 2018</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28, 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2018</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vMerge w:val="restart"/>
          </w:tcPr>
          <w:p>
            <w:pPr>
              <w:jc w:val="right"/>
              <w:ind w:right="11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2017</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2017</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19, 2017</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April 27, 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23, 2017</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29, 2017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24, 2017</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29, 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21, 2017</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23, 2017</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August 30, 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 2017</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28, 2017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23, 2017</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21, 2017</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20, 2017</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28, 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2017</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an affiliate of the Investment Advisor also manages CapitalSouth Partners SBIC Fund IV, L.P. (‘‘Fund IV’’), a private investment limited partnership which provides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June 30, 2019, the Company has evaluated the fair value of the guarantee under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determined that the fair value of the guarantee is immaterial as the risk of payment default for first-out loans in CSLF II is considered remote. The maximum exposure to credit risk as of June 30, 2019 and December 31, 2018, was $7.4 million and $4.3 million, respectively, and extends to the stated maturity of the underlying loans in CSLF II.</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director of our Administrator.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June 30, 2019, the Company had outstanding unfunded commitments related to debt and equity investments in existing portfolio companies of $6.4 million (CSLF II), $3.9 million (Portrait Studio, LLC), $1.0 million (Freedom Electronics, LLC), $1.0 million (Jurassic Quest Holdings, LLC), and $1.0 million (U.S. BioTek Laboratories, LLC). As of December 31, 2018, the Company had outstanding unfunded commitments related to debt and equity investments in existing portfolio companies of $6.4 million (CSLF II), $5.0 million (Portrait Studio, LLC), $1.1 million (MC Sign Lessor, Corp.), $1.0 million (U.S. BioTek Laboratories, LLC), $0.8 million (Freedom Electronics, LLC), and $0.3 million (CableOrganizer Acquisition, LLC).</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1, 2019, the Company’s Board declared normal monthly distributions for July, August, and September of 2019 as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176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420" w:type="dxa"/>
            <w:vAlign w:val="bottom"/>
            <w:gridSpan w:val="2"/>
          </w:tcPr>
          <w:p>
            <w:pPr>
              <w:ind w:left="680"/>
              <w:spacing w:after="0"/>
              <w:rPr>
                <w:sz w:val="20"/>
                <w:szCs w:val="20"/>
                <w:color w:val="auto"/>
              </w:rPr>
            </w:pPr>
            <w:r>
              <w:rPr>
                <w:rFonts w:ascii="Arial" w:cs="Arial" w:eastAsia="Arial" w:hAnsi="Arial"/>
                <w:sz w:val="18"/>
                <w:szCs w:val="18"/>
                <w:b w:val="1"/>
                <w:bCs w:val="1"/>
                <w:color w:val="auto"/>
              </w:rPr>
              <w:t>Record Date</w:t>
            </w:r>
          </w:p>
        </w:tc>
        <w:tc>
          <w:tcPr>
            <w:tcW w:w="2280" w:type="dxa"/>
            <w:vAlign w:val="bottom"/>
          </w:tcPr>
          <w:p>
            <w:pPr>
              <w:ind w:left="60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8"/>
                <w:szCs w:val="18"/>
                <w:b w:val="1"/>
                <w:bCs w:val="1"/>
                <w:color w:val="auto"/>
                <w:w w:val="95"/>
              </w:rPr>
              <w:t>Distributions per Share</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2019</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23, 2019</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30, 2019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July 1, 2019</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August 22, 2019</w:t>
            </w:r>
          </w:p>
        </w:tc>
        <w:tc>
          <w:tcPr>
            <w:tcW w:w="2280" w:type="dxa"/>
            <w:vAlign w:val="bottom"/>
          </w:tcPr>
          <w:p>
            <w:pPr>
              <w:spacing w:after="0"/>
              <w:rPr>
                <w:sz w:val="20"/>
                <w:szCs w:val="20"/>
                <w:color w:val="auto"/>
              </w:rPr>
            </w:pPr>
            <w:r>
              <w:rPr>
                <w:rFonts w:ascii="Arial" w:cs="Arial" w:eastAsia="Arial" w:hAnsi="Arial"/>
                <w:sz w:val="18"/>
                <w:szCs w:val="18"/>
                <w:color w:val="auto"/>
              </w:rPr>
              <w:t>August 29, 2019</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July 1, 2019</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20, 2019</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September 27, 2019</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25, 2019, the Company received $6.3 million for its debt investments in Micro Precision, LLC, repaid at par.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August 1, 2019, the Company received $18.0 million for its first lien debt investment in Sunset Digital Holdings, LLC, repaid at par.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six months ended June 30, 2019, we did not engage in hedging activities.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June 30, 2019, we held 27 securities bearing a variable rate of interest. Our variable rate investments represent approximately 72.8% of the fair value of total debt investments. On a fair value basis, 4.4% of variable rate securities were yielding interest at a rate equal to the established interest rate floor or interest rate ceiling and 95.6% of variable rate securities were yielding interest at a rate above its interest rate floor or were not subject to an interest rate floor as of June 30, 2019. As of June 30, 2019, we had $5.0 million outstanding on our Credit Facility, which has a variable rate of interest at one-month LIBOR + 3.0%. As of June 30, 2019, all of our other interest paying liabilities, consisting of $150.0 million in SBA-guaranteed debentures, $75.0 million in 2022 Notes, and $52.1 million in 2022 Convertible Notes, were bearing interest at a fixed rate.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our June 30, 2019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Increase)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Increase</w:t>
            </w:r>
          </w:p>
        </w:tc>
      </w:t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interest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4940" w:type="dxa"/>
            <w:vAlign w:val="bottom"/>
          </w:tcPr>
          <w:p>
            <w:pPr>
              <w:ind w:left="2740"/>
              <w:spacing w:after="0"/>
              <w:rPr>
                <w:sz w:val="20"/>
                <w:szCs w:val="20"/>
                <w:color w:val="auto"/>
              </w:rPr>
            </w:pPr>
            <w:r>
              <w:rPr>
                <w:rFonts w:ascii="Arial" w:cs="Arial" w:eastAsia="Arial" w:hAnsi="Arial"/>
                <w:sz w:val="18"/>
                <w:szCs w:val="18"/>
                <w:b w:val="1"/>
                <w:bCs w:val="1"/>
                <w:color w:val="auto"/>
              </w:rPr>
              <w:t>Basis Point Change</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income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 net income</w:t>
            </w: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Up 200 basis points</w:t>
            </w:r>
          </w:p>
        </w:tc>
        <w:tc>
          <w:tcPr>
            <w:tcW w:w="2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4,512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4,412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3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Down 100 basis points</w:t>
            </w:r>
          </w:p>
        </w:tc>
        <w:tc>
          <w:tcPr>
            <w:tcW w:w="2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(1,513)</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3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(2,498)</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Down 300 basis points</w:t>
            </w:r>
          </w:p>
        </w:tc>
        <w:tc>
          <w:tcPr>
            <w:tcW w:w="2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(2,478)</w:t>
            </w:r>
          </w:p>
        </w:tc>
      </w:tr>
      <w:tr>
        <w:trPr>
          <w:trHeight w:val="634"/>
        </w:trPr>
        <w:tc>
          <w:tcPr>
            <w:tcW w:w="4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June 30, 2019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second quarter of 2019 that has materially affected, or is reasonably likely to materially affect, the Company’s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than as described below, 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complaint, as currently amended, alleges certain violations of the securities laws, including, inter alia, that the defendants made certain materially false and misleading statements and omissions regarding the Company’s business, operations, and prospects between January 4, 2016 and August 7, 2017. The plaintiffs in the Paskowitz Action seek compensatory damages and attorneys’ fees and costs, among other relief, but did not specify the amount of damages being sought. Defendants have moved to dismiss the amended complaint. While the Company intends to vigorously defend itself in this litigation, the outcome of these legal proceedings cannot be predicted with certainty.</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adversely affect the Company’s financial condition, results of operations or cash flows in any particular reporting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fiscal year ended December 31, 2018, which could materially affect our business, financial condition and/or operating results, including the Risk Factor titled “Recent legislation may allow us to incur additional leverage”.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During the six months ended June 30, 2019, there have been no material changes from the risk factors set forth in our Annual Report on Form 10-K for the year ended December 31, 2018.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quarter ended June 30, 2019, we issued 34,805 shares of common stock under our DRIP. The issuances were not subject to the registration requirements under the Securities Act of 1933, as amended. The cash paid for shares of common stock issued under our DRIP during the quarter ended June 30, 2019 was approximately $0.3 million. Other than the shares issued under our DRIP during the quarter ended June 30, 2019, we did not sell any unregistered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400"/>
          </w:cols>
          <w:pgMar w:left="240" w:top="905" w:right="259" w:bottom="1440" w:gutter="0" w:footer="0" w:header="0"/>
        </w:sectPr>
      </w:pPr>
    </w:p>
    <w:p>
      <w:pPr>
        <w:spacing w:after="0" w:line="244" w:lineRule="exact"/>
        <w:rPr>
          <w:sz w:val="20"/>
          <w:szCs w:val="20"/>
          <w:color w:val="auto"/>
        </w:rPr>
      </w:pPr>
    </w:p>
    <w:p>
      <w:pPr>
        <w:jc w:val="both"/>
        <w:spacing w:after="0" w:line="323" w:lineRule="auto"/>
        <w:rPr>
          <w:rFonts w:ascii="Arial" w:cs="Arial" w:eastAsia="Arial" w:hAnsi="Arial"/>
          <w:sz w:val="16"/>
          <w:szCs w:val="16"/>
          <w:u w:val="single" w:color="auto"/>
          <w:color w:val="0000EE"/>
        </w:rPr>
      </w:pPr>
      <w:r>
        <w:rPr>
          <w:rFonts w:ascii="Arial" w:cs="Arial" w:eastAsia="Arial" w:hAnsi="Arial"/>
          <w:sz w:val="16"/>
          <w:szCs w:val="16"/>
          <w:b w:val="1"/>
          <w:bCs w:val="1"/>
          <w:color w:val="auto"/>
        </w:rPr>
        <w:t xml:space="preserve">Exhibit Number </w:t>
      </w:r>
      <w:hyperlink r:id="rId111">
        <w:r>
          <w:rPr>
            <w:rFonts w:ascii="Arial" w:cs="Arial" w:eastAsia="Arial" w:hAnsi="Arial"/>
            <w:sz w:val="16"/>
            <w:szCs w:val="16"/>
            <w:u w:val="single" w:color="auto"/>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3.2</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3.3</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3.4</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3.5</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3.6</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4.1</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31.1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4490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10" w:lineRule="exact"/>
        <w:rPr>
          <w:sz w:val="20"/>
          <w:szCs w:val="20"/>
          <w:color w:val="auto"/>
        </w:rPr>
      </w:pPr>
    </w:p>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 xml:space="preserve">Articles of Amendment and Restatement </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 xml:space="preserve">Certificate of Limited Partnership of CapitalSouth Partners Fund II Limited Partnership </w:t>
        </w:r>
      </w:hyperlink>
      <w:r>
        <w:rPr>
          <w:rFonts w:ascii="Arial" w:cs="Arial" w:eastAsia="Arial" w:hAnsi="Arial"/>
          <w:sz w:val="30"/>
          <w:szCs w:val="30"/>
          <w:u w:val="single" w:color="auto"/>
          <w:color w:val="0000EE"/>
          <w:vertAlign w:val="superscript"/>
        </w:rPr>
        <w:t>(2)</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 xml:space="preserve">Certificate of Limited Partnership of CapitalSouth Partners SBIC Fund III, L.P. </w:t>
        </w:r>
      </w:hyperlink>
      <w:r>
        <w:rPr>
          <w:rFonts w:ascii="Arial" w:cs="Arial" w:eastAsia="Arial" w:hAnsi="Arial"/>
          <w:sz w:val="30"/>
          <w:szCs w:val="30"/>
          <w:u w:val="single" w:color="auto"/>
          <w:color w:val="0000EE"/>
          <w:vertAlign w:val="superscript"/>
        </w:rPr>
        <w:t>(2)</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 xml:space="preserve">Bylaws </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 xml:space="preserve">Form of Amended and Restated Limited Partnership Agreement of CapitalSouth Partners Fund II Limited Partnership </w:t>
        </w:r>
      </w:hyperlink>
      <w:r>
        <w:rPr>
          <w:rFonts w:ascii="Arial" w:cs="Arial" w:eastAsia="Arial" w:hAnsi="Arial"/>
          <w:sz w:val="30"/>
          <w:szCs w:val="30"/>
          <w:u w:val="single" w:color="auto"/>
          <w:color w:val="0000EE"/>
          <w:vertAlign w:val="superscript"/>
        </w:rPr>
        <w:t>(3)</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 xml:space="preserve">Form of Amended and Restated Agreement of Limited Partnership of CapitalSouth Partners SBIC Fund III, L.P. </w:t>
        </w:r>
      </w:hyperlink>
      <w:r>
        <w:rPr>
          <w:rFonts w:ascii="Arial" w:cs="Arial" w:eastAsia="Arial" w:hAnsi="Arial"/>
          <w:sz w:val="30"/>
          <w:szCs w:val="30"/>
          <w:u w:val="single" w:color="auto"/>
          <w:color w:val="0000EE"/>
          <w:vertAlign w:val="superscript"/>
        </w:rPr>
        <w:t>(3)</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 xml:space="preserve">Form of Common Stock Certificate </w:t>
        </w:r>
      </w:hyperlink>
      <w:r>
        <w:rPr>
          <w:rFonts w:ascii="Arial" w:cs="Arial" w:eastAsia="Arial" w:hAnsi="Arial"/>
          <w:sz w:val="30"/>
          <w:szCs w:val="30"/>
          <w:u w:val="single" w:color="auto"/>
          <w:color w:val="0000EE"/>
          <w:vertAlign w:val="superscript"/>
        </w:rPr>
        <w:t>(1)</w:t>
      </w:r>
    </w:p>
    <w:p>
      <w:pPr>
        <w:spacing w:after="0" w:line="124"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Certification of Chief Executive Officer pursuant to Rule 13a-14 of the Securities Exchange Act of 1934, as adopted pursuant to Section 302</w:t>
        </w:r>
      </w:hyperlink>
      <w:r>
        <w:rPr>
          <w:rFonts w:ascii="Arial" w:cs="Arial" w:eastAsia="Arial" w:hAnsi="Arial"/>
          <w:sz w:val="18"/>
          <w:szCs w:val="18"/>
          <w:u w:val="single" w:color="auto"/>
          <w:color w:val="0000EE"/>
        </w:rPr>
        <w:t xml:space="preserve"> </w:t>
      </w:r>
      <w:hyperlink w:anchor="page89">
        <w:r>
          <w:rPr>
            <w:rFonts w:ascii="Arial" w:cs="Arial" w:eastAsia="Arial" w:hAnsi="Arial"/>
            <w:sz w:val="18"/>
            <w:szCs w:val="18"/>
            <w:u w:val="single" w:color="auto"/>
            <w:color w:val="0000EE"/>
          </w:rPr>
          <w:t>of the Sarbanes-Oxley Act of 2002 (filed herewith)</w:t>
        </w:r>
      </w:hyperlink>
    </w:p>
    <w:p>
      <w:pPr>
        <w:spacing w:after="0" w:line="153" w:lineRule="exact"/>
        <w:rPr>
          <w:sz w:val="20"/>
          <w:szCs w:val="20"/>
          <w:color w:val="auto"/>
        </w:rPr>
      </w:pPr>
    </w:p>
    <w:p>
      <w:pPr>
        <w:sectPr>
          <w:pgSz w:w="11900" w:h="16838" w:orient="portrait"/>
          <w:cols w:equalWidth="0" w:num="2">
            <w:col w:w="640" w:space="620"/>
            <w:col w:w="10140"/>
          </w:cols>
          <w:pgMar w:left="240" w:top="905"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jc w:val="right"/>
              <w:ind w:right="940"/>
              <w:spacing w:after="0"/>
              <w:rPr>
                <w:rFonts w:ascii="Arial" w:cs="Arial" w:eastAsia="Arial" w:hAnsi="Arial"/>
                <w:sz w:val="18"/>
                <w:szCs w:val="18"/>
                <w:color w:val="0000EE"/>
                <w:w w:val="85"/>
              </w:rPr>
            </w:pPr>
            <w:hyperlink w:anchor="page9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140" w:type="dxa"/>
            <w:vAlign w:val="bottom"/>
            <w:gridSpan w:val="4"/>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Certification of Chief Financial Officer pursuant to Rule 13a-14 of the Securities Exchange Act of 1934, as adopted pursuant to Section 302</w:t>
              </w:r>
            </w:hyperlink>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10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of the Sarbanes-Oxley Act of 2002 (filed herewith)</w:t>
              </w:r>
            </w:hyperlink>
          </w:p>
        </w:tc>
      </w:tr>
      <w:tr>
        <w:trPr>
          <w:trHeight w:val="20"/>
        </w:trPr>
        <w:tc>
          <w:tcPr>
            <w:tcW w:w="126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412"/>
        </w:trPr>
        <w:tc>
          <w:tcPr>
            <w:tcW w:w="1260" w:type="dxa"/>
            <w:vAlign w:val="bottom"/>
            <w:gridSpan w:val="2"/>
          </w:tcPr>
          <w:p>
            <w:pPr>
              <w:jc w:val="right"/>
              <w:ind w:right="940"/>
              <w:spacing w:after="0"/>
              <w:rPr>
                <w:rFonts w:ascii="Arial" w:cs="Arial" w:eastAsia="Arial" w:hAnsi="Arial"/>
                <w:sz w:val="18"/>
                <w:szCs w:val="18"/>
                <w:color w:val="0000EE"/>
                <w:w w:val="85"/>
              </w:rPr>
            </w:pPr>
            <w:hyperlink w:anchor="page91">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140" w:type="dxa"/>
            <w:vAlign w:val="bottom"/>
            <w:gridSpan w:val="4"/>
          </w:tcPr>
          <w:p>
            <w:pPr>
              <w:spacing w:after="0"/>
              <w:rPr>
                <w:rFonts w:ascii="Arial" w:cs="Arial" w:eastAsia="Arial" w:hAnsi="Arial"/>
                <w:sz w:val="18"/>
                <w:szCs w:val="18"/>
                <w:color w:val="0000EE"/>
                <w:w w:val="94"/>
              </w:rPr>
            </w:pPr>
            <w:hyperlink w:anchor="page91">
              <w:r>
                <w:rPr>
                  <w:rFonts w:ascii="Arial" w:cs="Arial" w:eastAsia="Arial" w:hAnsi="Arial"/>
                  <w:sz w:val="18"/>
                  <w:szCs w:val="18"/>
                  <w:color w:val="0000EE"/>
                  <w:w w:val="94"/>
                </w:rPr>
                <w:t>Certification of Chief Executive Officer 18 U.S.C. Section 1350, as adopted pursuant to section 906 of the Sarbanes-Oxley Act of 2002</w:t>
              </w:r>
            </w:hyperlink>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10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(filed herewith)</w:t>
              </w:r>
            </w:hyperlink>
          </w:p>
        </w:tc>
      </w:tr>
      <w:tr>
        <w:trPr>
          <w:trHeight w:val="20"/>
        </w:trPr>
        <w:tc>
          <w:tcPr>
            <w:tcW w:w="126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r>
      <w:tr>
        <w:trPr>
          <w:trHeight w:val="412"/>
        </w:trPr>
        <w:tc>
          <w:tcPr>
            <w:tcW w:w="1260" w:type="dxa"/>
            <w:vAlign w:val="bottom"/>
            <w:gridSpan w:val="2"/>
          </w:tcPr>
          <w:p>
            <w:pPr>
              <w:jc w:val="right"/>
              <w:ind w:right="940"/>
              <w:spacing w:after="0"/>
              <w:rPr>
                <w:rFonts w:ascii="Arial" w:cs="Arial" w:eastAsia="Arial" w:hAnsi="Arial"/>
                <w:sz w:val="18"/>
                <w:szCs w:val="18"/>
                <w:color w:val="0000EE"/>
                <w:w w:val="85"/>
              </w:rPr>
            </w:pPr>
            <w:hyperlink w:anchor="page9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10140" w:type="dxa"/>
            <w:vAlign w:val="bottom"/>
            <w:gridSpan w:val="4"/>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Certification of Chief Financial Officer 18 U.S.C. Section 1350, as adopted pursuant to section 906 of the Sarbanes-Oxley Act of 2002 (filed</w:t>
              </w:r>
            </w:hyperlink>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herewith)</w:t>
              </w:r>
            </w:hyperlink>
          </w:p>
        </w:tc>
        <w:tc>
          <w:tcPr>
            <w:tcW w:w="9440" w:type="dxa"/>
            <w:vAlign w:val="bottom"/>
            <w:tcBorders>
              <w:top w:val="single" w:sz="8" w:color="0000EE"/>
            </w:tcBorders>
            <w:gridSpan w:val="3"/>
          </w:tcPr>
          <w:p>
            <w:pPr>
              <w:spacing w:after="0"/>
              <w:rPr>
                <w:sz w:val="17"/>
                <w:szCs w:val="17"/>
                <w:color w:val="auto"/>
              </w:rPr>
            </w:pPr>
          </w:p>
        </w:tc>
      </w:tr>
    </w:tbl>
    <w:p>
      <w:pPr>
        <w:spacing w:after="0" w:line="229" w:lineRule="exact"/>
        <w:rPr>
          <w:sz w:val="20"/>
          <w:szCs w:val="20"/>
          <w:color w:val="auto"/>
        </w:rPr>
      </w:pPr>
    </w:p>
    <w:p>
      <w:pPr>
        <w:ind w:left="1260" w:hanging="1252"/>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1260" w:hanging="1252"/>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1260" w:hanging="1252"/>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5,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5,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5,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A. Koonts</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Kevin A. Koonts</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83</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2"/>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2"/>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2"/>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2"/>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June 30, 2019,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8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June 30, 2019,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8"/>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7"/>
    </w:lvl>
  </w:abstractNum>
  <w:abstractNum w:abstractNumId="6">
    <w:nsid w:val="2D1D5AE9"/>
    <w:multiLevelType w:val="hybridMultilevel"/>
    <w:lvl w:ilvl="0">
      <w:lvlJc w:val="left"/>
      <w:lvlText w:val="%1"/>
      <w:numFmt w:val="upperLetter"/>
      <w:start w:val="6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5"/>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lvl w:ilvl="1">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upperLetter"/>
      <w:start w:val="6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bullet"/>
      <w:start w:val="1"/>
    </w:lvl>
  </w:abstractNum>
  <w:abstractNum w:abstractNumId="26">
    <w:nsid w:val="4516DDE9"/>
    <w:multiLevelType w:val="hybridMultilevel"/>
    <w:lvl w:ilvl="0">
      <w:lvlJc w:val="left"/>
      <w:lvlText w:val="2"/>
      <w:numFmt w:val="bullet"/>
      <w:start w:val="1"/>
    </w:lvl>
  </w:abstractNum>
  <w:abstractNum w:abstractNumId="27">
    <w:nsid w:val="3006C83E"/>
    <w:multiLevelType w:val="hybridMultilevel"/>
    <w:lvl w:ilvl="0">
      <w:lvlJc w:val="left"/>
      <w:lvlText w:val="3"/>
      <w:numFmt w:val="bullet"/>
      <w:start w:val="1"/>
    </w:lvl>
  </w:abstractNum>
  <w:abstractNum w:abstractNumId="28">
    <w:nsid w:val="614FD4A1"/>
    <w:multiLevelType w:val="hybridMultilevel"/>
    <w:lvl w:ilvl="0">
      <w:lvlJc w:val="left"/>
      <w:lvlText w:val="4"/>
      <w:numFmt w:val="bullet"/>
      <w:start w:val="1"/>
    </w:lvl>
  </w:abstractNum>
  <w:abstractNum w:abstractNumId="29">
    <w:nsid w:val="419AC241"/>
    <w:multiLevelType w:val="hybridMultilevel"/>
    <w:lvl w:ilvl="0">
      <w:lvlJc w:val="left"/>
      <w:lvlText w:val="5"/>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upperLetter"/>
      <w:start w:val="35"/>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4">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6">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7">
    <w:nsid w:val="2463B9EA"/>
    <w:multiLevelType w:val="hybridMultilevel"/>
    <w:lvl w:ilvl="0">
      <w:lvlJc w:val="left"/>
      <w:lvlText w:val="%1."/>
      <w:numFmt w:val="decimal"/>
      <w:start w:val="1"/>
    </w:lvl>
    <w:lvl w:ilvl="1">
      <w:lvlJc w:val="left"/>
      <w:lvlText w:val="%2."/>
      <w:numFmt w:val="decimal"/>
      <w:start w:val="2"/>
    </w:lvl>
  </w:abstractNum>
  <w:abstractNum w:abstractNumId="38">
    <w:nsid w:val="5E884ADC"/>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2"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11" Type="http://schemas.openxmlformats.org/officeDocument/2006/relationships/hyperlink" Target="http://www.sec.gov/Archives/edgar/data/1221483/000119312513361263/d505298dex99a1.htm" TargetMode="External"/><Relationship Id="rId113" Type="http://schemas.openxmlformats.org/officeDocument/2006/relationships/hyperlink" Target="http://www.sec.gov/Archives/edgar/data/1221483/000119312513368161/d505298dex99a2.htm" TargetMode="External"/><Relationship Id="rId114" Type="http://schemas.openxmlformats.org/officeDocument/2006/relationships/hyperlink" Target="http://www.sec.gov/Archives/edgar/data/1221483/000119312513368161/d505298dex99a3.htm" TargetMode="External"/><Relationship Id="rId115" Type="http://schemas.openxmlformats.org/officeDocument/2006/relationships/hyperlink" Target="http://www.sec.gov/Archives/edgar/data/1221483/000119312513361263/d505298dex99b1.htm" TargetMode="External"/><Relationship Id="rId116" Type="http://schemas.openxmlformats.org/officeDocument/2006/relationships/hyperlink" Target="http://www.sec.gov/Archives/edgar/data/1571329/000119312513376445/d505298dex99b2.htm" TargetMode="External"/><Relationship Id="rId117" Type="http://schemas.openxmlformats.org/officeDocument/2006/relationships/hyperlink" Target="http://www.sec.gov/Archives/edgar/data/1571329/000119312513376445/d505298dex99b3.htm" TargetMode="External"/><Relationship Id="rId118" Type="http://schemas.openxmlformats.org/officeDocument/2006/relationships/hyperlink" Target="http://www.sec.gov/Archives/edgar/data/1221483/000119312513361263/d505298d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2019-12-28T08:41:59Z</dcterms:created>
  <dcterms:modified xsi:type="dcterms:W3CDTF">2019-12-28T08:41:59Z</dcterms:modified>
</cp:coreProperties>
</file>