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660" w:right="2700" w:hanging="2761"/>
        <w:spacing w:after="0" w:line="496" w:lineRule="auto"/>
        <w:tabs>
          <w:tab w:leader="none" w:pos="1768"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2022</w:t>
      </w:r>
    </w:p>
    <w:p>
      <w:pPr>
        <w:spacing w:after="0" w:line="29" w:lineRule="exact"/>
        <w:rPr>
          <w:sz w:val="24"/>
          <w:szCs w:val="24"/>
          <w:color w:val="auto"/>
        </w:rPr>
      </w:pPr>
    </w:p>
    <w:p>
      <w:pPr>
        <w:ind w:left="1760" w:hanging="861"/>
        <w:spacing w:after="0"/>
        <w:tabs>
          <w:tab w:leader="none" w:pos="1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702" w:right="339" w:bottom="1440" w:gutter="0" w:footer="0" w:header="0"/>
        </w:sectPr>
      </w:pPr>
    </w:p>
    <w:p>
      <w:pPr>
        <w:spacing w:after="0" w:line="398" w:lineRule="exact"/>
        <w:rPr>
          <w:sz w:val="24"/>
          <w:szCs w:val="24"/>
          <w:color w:val="auto"/>
        </w:rPr>
      </w:pPr>
    </w:p>
    <w:p>
      <w:pPr>
        <w:ind w:left="920"/>
        <w:spacing w:after="0"/>
        <w:rPr>
          <w:sz w:val="20"/>
          <w:szCs w:val="20"/>
          <w:color w:val="auto"/>
        </w:rPr>
      </w:pPr>
      <w:r>
        <w:rPr>
          <w:rFonts w:ascii="Arial" w:cs="Arial" w:eastAsia="Arial" w:hAnsi="Arial"/>
          <w:sz w:val="13"/>
          <w:szCs w:val="13"/>
          <w:b w:val="1"/>
          <w:bCs w:val="1"/>
          <w:color w:val="auto"/>
        </w:rPr>
        <w:t>Commission</w:t>
      </w:r>
    </w:p>
    <w:p>
      <w:pPr>
        <w:spacing w:after="0" w:line="29" w:lineRule="exact"/>
        <w:rPr>
          <w:sz w:val="24"/>
          <w:szCs w:val="24"/>
          <w:color w:val="auto"/>
        </w:rPr>
      </w:pPr>
    </w:p>
    <w:p>
      <w:pPr>
        <w:ind w:left="90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ind w:right="920" w:firstLine="321"/>
        <w:spacing w:after="0" w:line="290" w:lineRule="auto"/>
        <w:rPr>
          <w:sz w:val="20"/>
          <w:szCs w:val="20"/>
          <w:color w:val="auto"/>
        </w:rPr>
      </w:pPr>
      <w:r>
        <w:rPr>
          <w:rFonts w:ascii="Arial" w:cs="Arial" w:eastAsia="Arial" w:hAnsi="Arial"/>
          <w:sz w:val="13"/>
          <w:szCs w:val="13"/>
          <w:b w:val="1"/>
          <w:bCs w:val="1"/>
          <w:color w:val="auto"/>
        </w:rPr>
        <w:t>Exact name of registrant as specified in its charter, address of principal executive office, telephone number, and state or other jurisdiction of incorporation or organization</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420"/>
        <w:spacing w:after="0"/>
        <w:rPr>
          <w:sz w:val="20"/>
          <w:szCs w:val="20"/>
          <w:color w:val="auto"/>
        </w:rPr>
      </w:pPr>
      <w:r>
        <w:rPr>
          <w:rFonts w:ascii="Arial" w:cs="Arial" w:eastAsia="Arial" w:hAnsi="Arial"/>
          <w:sz w:val="15"/>
          <w:szCs w:val="15"/>
          <w:b w:val="1"/>
          <w:bCs w:val="1"/>
          <w:color w:val="auto"/>
        </w:rPr>
        <w:t>I.R.S. Employer</w:t>
      </w:r>
    </w:p>
    <w:p>
      <w:pPr>
        <w:spacing w:after="0" w:line="6"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Identification Number</w:t>
      </w:r>
    </w:p>
    <w:p>
      <w:pPr>
        <w:spacing w:after="0" w:line="41" w:lineRule="exact"/>
        <w:rPr>
          <w:sz w:val="24"/>
          <w:szCs w:val="24"/>
          <w:color w:val="auto"/>
        </w:rPr>
      </w:pPr>
    </w:p>
    <w:p>
      <w:pPr>
        <w:sectPr>
          <w:pgSz w:w="11900" w:h="16838" w:orient="portrait"/>
          <w:cols w:equalWidth="0" w:num="3">
            <w:col w:w="3100" w:space="720"/>
            <w:col w:w="4820" w:space="720"/>
            <w:col w:w="1880"/>
          </w:cols>
          <w:pgMar w:left="320" w:top="702"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620" w:type="dxa"/>
            <w:vAlign w:val="bottom"/>
            <w:tcBorders>
              <w:top w:val="single" w:sz="8" w:color="auto"/>
            </w:tcBorders>
          </w:tcPr>
          <w:p>
            <w:pPr>
              <w:jc w:val="right"/>
              <w:ind w:right="904"/>
              <w:spacing w:after="0"/>
              <w:rPr>
                <w:sz w:val="20"/>
                <w:szCs w:val="20"/>
                <w:color w:val="auto"/>
              </w:rPr>
            </w:pPr>
            <w:r>
              <w:rPr>
                <w:rFonts w:ascii="Arial" w:cs="Arial" w:eastAsia="Arial" w:hAnsi="Arial"/>
                <w:sz w:val="15"/>
                <w:szCs w:val="15"/>
                <w:b w:val="1"/>
                <w:bCs w:val="1"/>
                <w:color w:val="auto"/>
              </w:rPr>
              <w:t>814-01022</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gridSpan w:val="5"/>
          </w:tcPr>
          <w:p>
            <w:pPr>
              <w:jc w:val="center"/>
              <w:spacing w:after="0" w:line="234" w:lineRule="exact"/>
              <w:rPr>
                <w:sz w:val="20"/>
                <w:szCs w:val="20"/>
                <w:color w:val="auto"/>
              </w:rPr>
            </w:pPr>
            <w:r>
              <w:rPr>
                <w:rFonts w:ascii="Arial" w:cs="Arial" w:eastAsia="Arial" w:hAnsi="Arial"/>
                <w:sz w:val="25"/>
                <w:szCs w:val="25"/>
                <w:b w:val="1"/>
                <w:bCs w:val="1"/>
                <w:color w:val="auto"/>
                <w:w w:val="91"/>
              </w:rPr>
              <w:t>Logan Ridge Finance Corporation</w:t>
            </w: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top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90-0945675</w:t>
            </w: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3"/>
          </w:tcPr>
          <w:p>
            <w:pPr>
              <w:ind w:left="640"/>
              <w:spacing w:after="0" w:line="162" w:lineRule="exact"/>
              <w:rPr>
                <w:sz w:val="20"/>
                <w:szCs w:val="20"/>
                <w:color w:val="auto"/>
              </w:rPr>
            </w:pPr>
            <w:r>
              <w:rPr>
                <w:rFonts w:ascii="Arial" w:cs="Arial" w:eastAsia="Arial" w:hAnsi="Arial"/>
                <w:sz w:val="15"/>
                <w:szCs w:val="15"/>
                <w:b w:val="1"/>
                <w:bCs w:val="1"/>
                <w:color w:val="auto"/>
              </w:rPr>
              <w:t>650 Madison Avenue, 23rd Floor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2"/>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gridSpan w:val="3"/>
          </w:tcPr>
          <w:p>
            <w:pPr>
              <w:jc w:val="center"/>
              <w:ind w:right="520"/>
              <w:spacing w:after="0" w:line="152" w:lineRule="exact"/>
              <w:rPr>
                <w:sz w:val="20"/>
                <w:szCs w:val="20"/>
                <w:color w:val="auto"/>
              </w:rPr>
            </w:pPr>
            <w:r>
              <w:rPr>
                <w:rFonts w:ascii="Arial" w:cs="Arial" w:eastAsia="Arial" w:hAnsi="Arial"/>
                <w:sz w:val="15"/>
                <w:szCs w:val="15"/>
                <w:b w:val="1"/>
                <w:bCs w:val="1"/>
                <w:color w:val="auto"/>
                <w:w w:val="94"/>
              </w:rPr>
              <w:t>New York, New York 10022</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gridSpan w:val="3"/>
          </w:tcPr>
          <w:p>
            <w:pPr>
              <w:jc w:val="center"/>
              <w:ind w:right="480"/>
              <w:spacing w:after="0" w:line="159" w:lineRule="exact"/>
              <w:rPr>
                <w:sz w:val="20"/>
                <w:szCs w:val="20"/>
                <w:color w:val="auto"/>
              </w:rPr>
            </w:pPr>
            <w:r>
              <w:rPr>
                <w:rFonts w:ascii="Arial" w:cs="Arial" w:eastAsia="Arial" w:hAnsi="Arial"/>
                <w:sz w:val="15"/>
                <w:szCs w:val="15"/>
                <w:b w:val="1"/>
                <w:bCs w:val="1"/>
                <w:color w:val="auto"/>
                <w:w w:val="95"/>
              </w:rPr>
              <w:t>State of Incorporation: Maryland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98"/>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gridSpan w:val="3"/>
          </w:tcPr>
          <w:p>
            <w:pPr>
              <w:jc w:val="center"/>
              <w:ind w:right="460"/>
              <w:spacing w:after="0"/>
              <w:rPr>
                <w:sz w:val="20"/>
                <w:szCs w:val="20"/>
                <w:color w:val="auto"/>
              </w:rPr>
            </w:pPr>
            <w:r>
              <w:rPr>
                <w:rFonts w:ascii="Arial" w:cs="Arial" w:eastAsia="Arial" w:hAnsi="Arial"/>
                <w:sz w:val="15"/>
                <w:szCs w:val="15"/>
                <w:b w:val="1"/>
                <w:bCs w:val="1"/>
                <w:color w:val="auto"/>
                <w:w w:val="91"/>
              </w:rPr>
              <w:t>Telephone: (212) 891-2880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608"/>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80" w:type="dxa"/>
            <w:vAlign w:val="bottom"/>
            <w:gridSpan w:val="5"/>
          </w:tcPr>
          <w:p>
            <w:pPr>
              <w:ind w:left="22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42"/>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gridSpan w:val="3"/>
          </w:tcPr>
          <w:p>
            <w:pPr>
              <w:jc w:val="center"/>
              <w:ind w:right="344"/>
              <w:spacing w:after="0"/>
              <w:rPr>
                <w:sz w:val="20"/>
                <w:szCs w:val="20"/>
                <w:color w:val="auto"/>
              </w:rPr>
            </w:pPr>
            <w:r>
              <w:rPr>
                <w:rFonts w:ascii="Arial" w:cs="Arial" w:eastAsia="Arial" w:hAnsi="Arial"/>
                <w:sz w:val="15"/>
                <w:szCs w:val="15"/>
                <w:b w:val="1"/>
                <w:bCs w:val="1"/>
                <w:color w:val="auto"/>
                <w:w w:val="91"/>
              </w:rPr>
              <w:t>Name of Each Exchange on Which</w:t>
            </w:r>
          </w:p>
        </w:tc>
      </w:tr>
      <w:tr>
        <w:trPr>
          <w:trHeight w:val="200"/>
        </w:trPr>
        <w:tc>
          <w:tcPr>
            <w:tcW w:w="3540" w:type="dxa"/>
            <w:vAlign w:val="bottom"/>
            <w:gridSpan w:val="3"/>
          </w:tcPr>
          <w:p>
            <w:pPr>
              <w:jc w:val="center"/>
              <w:ind w:left="344"/>
              <w:spacing w:after="0"/>
              <w:rPr>
                <w:sz w:val="20"/>
                <w:szCs w:val="20"/>
                <w:color w:val="auto"/>
              </w:rPr>
            </w:pPr>
            <w:r>
              <w:rPr>
                <w:rFonts w:ascii="Arial" w:cs="Arial" w:eastAsia="Arial" w:hAnsi="Arial"/>
                <w:sz w:val="15"/>
                <w:szCs w:val="15"/>
                <w:b w:val="1"/>
                <w:bCs w:val="1"/>
                <w:color w:val="auto"/>
                <w:w w:val="92"/>
              </w:rPr>
              <w:t>Title of Each Class</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gridSpan w:val="3"/>
          </w:tcPr>
          <w:p>
            <w:pPr>
              <w:jc w:val="center"/>
              <w:ind w:right="500"/>
              <w:spacing w:after="0"/>
              <w:rPr>
                <w:sz w:val="20"/>
                <w:szCs w:val="20"/>
                <w:color w:val="auto"/>
              </w:rPr>
            </w:pPr>
            <w:r>
              <w:rPr>
                <w:rFonts w:ascii="Arial" w:cs="Arial" w:eastAsia="Arial" w:hAnsi="Arial"/>
                <w:sz w:val="15"/>
                <w:szCs w:val="15"/>
                <w:b w:val="1"/>
                <w:bCs w:val="1"/>
                <w:color w:val="auto"/>
                <w:w w:val="90"/>
              </w:rPr>
              <w:t>Trading symbol(s)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center"/>
              <w:ind w:right="1324"/>
              <w:spacing w:after="0"/>
              <w:rPr>
                <w:sz w:val="20"/>
                <w:szCs w:val="20"/>
                <w:color w:val="auto"/>
              </w:rPr>
            </w:pPr>
            <w:r>
              <w:rPr>
                <w:rFonts w:ascii="Arial" w:cs="Arial" w:eastAsia="Arial" w:hAnsi="Arial"/>
                <w:sz w:val="15"/>
                <w:szCs w:val="15"/>
                <w:b w:val="1"/>
                <w:bCs w:val="1"/>
                <w:color w:val="auto"/>
                <w:w w:val="90"/>
              </w:rPr>
              <w:t>Registered</w:t>
            </w:r>
          </w:p>
        </w:tc>
      </w:tr>
      <w:tr>
        <w:trPr>
          <w:trHeight w:val="198"/>
        </w:trPr>
        <w:tc>
          <w:tcPr>
            <w:tcW w:w="3540" w:type="dxa"/>
            <w:vAlign w:val="bottom"/>
            <w:tcBorders>
              <w:top w:val="single" w:sz="8" w:color="auto"/>
            </w:tcBorders>
            <w:gridSpan w:val="3"/>
          </w:tcPr>
          <w:p>
            <w:pPr>
              <w:jc w:val="center"/>
              <w:ind w:left="344"/>
              <w:spacing w:after="0"/>
              <w:rPr>
                <w:sz w:val="20"/>
                <w:szCs w:val="20"/>
                <w:color w:val="auto"/>
              </w:rPr>
            </w:pPr>
            <w:r>
              <w:rPr>
                <w:rFonts w:ascii="Arial" w:cs="Arial" w:eastAsia="Arial" w:hAnsi="Arial"/>
                <w:sz w:val="15"/>
                <w:szCs w:val="15"/>
                <w:b w:val="1"/>
                <w:bCs w:val="1"/>
                <w:color w:val="auto"/>
                <w:w w:val="91"/>
              </w:rPr>
              <w:t>Common Stock, par value $0.01 per share</w:t>
            </w: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LRFC</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gridSpan w:val="3"/>
          </w:tcPr>
          <w:p>
            <w:pPr>
              <w:jc w:val="center"/>
              <w:ind w:right="304"/>
              <w:spacing w:after="0"/>
              <w:rPr>
                <w:sz w:val="20"/>
                <w:szCs w:val="20"/>
                <w:color w:val="auto"/>
              </w:rPr>
            </w:pPr>
            <w:r>
              <w:rPr>
                <w:rFonts w:ascii="Arial" w:cs="Arial" w:eastAsia="Arial" w:hAnsi="Arial"/>
                <w:sz w:val="15"/>
                <w:szCs w:val="15"/>
                <w:b w:val="1"/>
                <w:bCs w:val="1"/>
                <w:color w:val="auto"/>
                <w:w w:val="95"/>
              </w:rPr>
              <w:t>NASDAQ Global Select Market</w:t>
            </w:r>
          </w:p>
        </w:tc>
      </w:tr>
    </w:tbl>
    <w:p>
      <w:pPr>
        <w:spacing w:after="0" w:line="174" w:lineRule="exact"/>
        <w:rPr>
          <w:sz w:val="24"/>
          <w:szCs w:val="24"/>
          <w:color w:val="auto"/>
        </w:rPr>
      </w:pPr>
    </w:p>
    <w:p>
      <w:pPr>
        <w:jc w:val="both"/>
        <w:ind w:firstLine="749"/>
        <w:spacing w:after="0" w:line="29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3" w:lineRule="exact"/>
        <w:rPr>
          <w:sz w:val="24"/>
          <w:szCs w:val="24"/>
          <w:color w:val="auto"/>
        </w:rPr>
      </w:pPr>
    </w:p>
    <w:p>
      <w:pPr>
        <w:ind w:left="5660"/>
        <w:spacing w:after="0" w:line="161" w:lineRule="exact"/>
        <w:tabs>
          <w:tab w:leader="none" w:pos="78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31" w:lineRule="exact"/>
        <w:rPr>
          <w:sz w:val="24"/>
          <w:szCs w:val="24"/>
          <w:color w:val="auto"/>
        </w:rPr>
      </w:pPr>
    </w:p>
    <w:p>
      <w:pPr>
        <w:jc w:val="both"/>
        <w:ind w:right="20" w:firstLine="749"/>
        <w:spacing w:after="0" w:line="29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3" w:lineRule="exact"/>
        <w:rPr>
          <w:sz w:val="24"/>
          <w:szCs w:val="24"/>
          <w:color w:val="auto"/>
        </w:rPr>
      </w:pPr>
    </w:p>
    <w:p>
      <w:pPr>
        <w:ind w:left="5660"/>
        <w:spacing w:after="0" w:line="161" w:lineRule="exact"/>
        <w:tabs>
          <w:tab w:leader="none" w:pos="78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44" w:lineRule="exact"/>
        <w:rPr>
          <w:sz w:val="24"/>
          <w:szCs w:val="24"/>
          <w:color w:val="auto"/>
        </w:rPr>
      </w:pPr>
    </w:p>
    <w:p>
      <w:pPr>
        <w:ind w:left="7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280" w:type="dxa"/>
        <w:tblCellMar>
          <w:top w:w="0" w:type="dxa"/>
          <w:left w:w="0" w:type="dxa"/>
          <w:bottom w:w="0" w:type="dxa"/>
          <w:right w:w="0" w:type="dxa"/>
        </w:tblCellMar>
      </w:tblPr>
      <w:tr>
        <w:trPr>
          <w:trHeight w:val="226"/>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66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78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660" w:type="dxa"/>
            <w:vAlign w:val="bottom"/>
          </w:tcPr>
          <w:p>
            <w:pPr>
              <w:ind w:left="760"/>
              <w:spacing w:after="0"/>
              <w:rPr>
                <w:sz w:val="20"/>
                <w:szCs w:val="20"/>
                <w:color w:val="auto"/>
              </w:rPr>
            </w:pPr>
            <w:r>
              <w:rPr>
                <w:rFonts w:ascii="Arial" w:cs="Arial" w:eastAsia="Arial" w:hAnsi="Arial"/>
                <w:sz w:val="14"/>
                <w:szCs w:val="14"/>
                <w:color w:val="auto"/>
              </w:rPr>
              <w:t>x</w:t>
            </w:r>
          </w:p>
        </w:tc>
        <w:tc>
          <w:tcPr>
            <w:tcW w:w="2960" w:type="dxa"/>
            <w:vAlign w:val="bottom"/>
          </w:tcPr>
          <w:p>
            <w:pPr>
              <w:ind w:left="78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60" w:type="dxa"/>
            <w:vAlign w:val="bottom"/>
          </w:tcPr>
          <w:p>
            <w:pPr>
              <w:ind w:left="78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0" w:lineRule="exact"/>
        <w:rPr>
          <w:sz w:val="24"/>
          <w:szCs w:val="24"/>
          <w:color w:val="auto"/>
        </w:rPr>
      </w:pPr>
    </w:p>
    <w:p>
      <w:pPr>
        <w:ind w:left="76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w:t>
      </w:r>
    </w:p>
    <w:p>
      <w:pPr>
        <w:spacing w:after="0" w:line="19" w:lineRule="exact"/>
        <w:rPr>
          <w:sz w:val="24"/>
          <w:szCs w:val="24"/>
          <w:color w:val="auto"/>
        </w:rPr>
      </w:pPr>
    </w:p>
    <w:p>
      <w:pPr>
        <w:spacing w:after="0" w:line="161" w:lineRule="exact"/>
        <w:tabs>
          <w:tab w:leader="none" w:pos="5740" w:val="left"/>
        </w:tabs>
        <w:rPr>
          <w:sz w:val="20"/>
          <w:szCs w:val="20"/>
          <w:color w:val="auto"/>
        </w:rPr>
      </w:pPr>
      <w:r>
        <w:rPr>
          <w:rFonts w:ascii="Arial" w:cs="Arial" w:eastAsia="Arial" w:hAnsi="Arial"/>
          <w:sz w:val="14"/>
          <w:szCs w:val="14"/>
          <w:color w:val="auto"/>
        </w:rPr>
        <w:t>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210" w:lineRule="exact"/>
        <w:rPr>
          <w:sz w:val="24"/>
          <w:szCs w:val="24"/>
          <w:color w:val="auto"/>
        </w:rPr>
      </w:pPr>
    </w:p>
    <w:p>
      <w:pPr>
        <w:ind w:left="7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ectPr>
          <w:pgSz w:w="11900" w:h="16838" w:orient="portrait"/>
          <w:cols w:equalWidth="0" w:num="1">
            <w:col w:w="11240"/>
          </w:cols>
          <w:pgMar w:left="320" w:top="702" w:right="339" w:bottom="1440" w:gutter="0" w:footer="0" w:header="0"/>
          <w:type w:val="continuous"/>
        </w:sectPr>
      </w:pPr>
    </w:p>
    <w:p>
      <w:pPr>
        <w:spacing w:after="0" w:line="217" w:lineRule="exact"/>
        <w:rPr>
          <w:sz w:val="24"/>
          <w:szCs w:val="24"/>
          <w:color w:val="auto"/>
        </w:rPr>
      </w:pPr>
    </w:p>
    <w:p>
      <w:pPr>
        <w:ind w:left="5660"/>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200" w:lineRule="exact"/>
        <w:rPr>
          <w:sz w:val="24"/>
          <w:szCs w:val="24"/>
          <w:color w:val="auto"/>
        </w:rPr>
      </w:pPr>
    </w:p>
    <w:p>
      <w:pPr>
        <w:sectPr>
          <w:pgSz w:w="11900" w:h="16838" w:orient="portrait"/>
          <w:cols w:equalWidth="0" w:num="3">
            <w:col w:w="5860" w:space="80"/>
            <w:col w:w="1240" w:space="720"/>
            <w:col w:w="3340"/>
          </w:cols>
          <w:pgMar w:left="320" w:top="702" w:right="339" w:bottom="1440" w:gutter="0" w:footer="0" w:header="0"/>
          <w:type w:val="continuous"/>
        </w:sectPr>
      </w:pPr>
    </w:p>
    <w:p>
      <w:pPr>
        <w:spacing w:after="0" w:line="4" w:lineRule="exact"/>
        <w:rPr>
          <w:sz w:val="24"/>
          <w:szCs w:val="24"/>
          <w:color w:val="auto"/>
        </w:rPr>
      </w:pPr>
    </w:p>
    <w:p>
      <w:pPr>
        <w:ind w:left="760"/>
        <w:spacing w:after="0"/>
        <w:rPr>
          <w:sz w:val="20"/>
          <w:szCs w:val="20"/>
          <w:color w:val="auto"/>
        </w:rPr>
      </w:pPr>
      <w:r>
        <w:rPr>
          <w:rFonts w:ascii="Arial" w:cs="Arial" w:eastAsia="Arial" w:hAnsi="Arial"/>
          <w:sz w:val="12"/>
          <w:szCs w:val="12"/>
          <w:color w:val="auto"/>
        </w:rPr>
        <w:t>The number of shares of Logan Ridge Finance Corporation’s common stock, $0.01 par value, outstanding as of November 8, 2022 was 2,711,068.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940" w:type="dxa"/>
            <w:vAlign w:val="bottom"/>
            <w:gridSpan w:val="8"/>
          </w:tcPr>
          <w:p>
            <w:pPr>
              <w:ind w:left="12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Page</w:t>
            </w:r>
          </w:p>
        </w:tc>
      </w:tr>
      <w:tr>
        <w:trPr>
          <w:trHeight w:val="149"/>
        </w:trPr>
        <w:tc>
          <w:tcPr>
            <w:tcW w:w="94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0000FF"/>
              </w:rPr>
              <w:t>PART I.</w:t>
            </w:r>
          </w:p>
        </w:tc>
        <w:tc>
          <w:tcPr>
            <w:tcW w:w="9740" w:type="dxa"/>
            <w:vAlign w:val="bottom"/>
            <w:gridSpan w:val="18"/>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0000FF"/>
              </w:rPr>
              <w:t>FINANCIAL INFORMATION</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Item 1.</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Consolidated Financial Statements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Consolidated Statements of Assets and Liabilities as of September 30, 2022 (unaudited) and December 31, 2021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Consolidated Statements of Operations for the three and nine months ended September 30, 2022 and 2021 (unaudited)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Consolidated Statements of Changes in Net Assets for the three and nine months ended September 30, 2022 and 2021 (unaudited)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Consolidated Statements of Cash Flows for the nine months ended September 30, 2022 and 2021 (unaudited)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Consolidated Schedules of Investments as of September 30, 2022 (unaudited) and December 31, 2021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Notes to Consolidated Financial Statements as of and for the period ended September 30, 2022 (unaudited)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2.</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3.</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Quantitative and Qualitative Disclosures About Market Risk</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4.</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Controls and Procedures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0000FF"/>
              </w:rPr>
              <w:t>PART II.</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0000FF"/>
              </w:rPr>
              <w:t>OTHER INFORMATION</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1.</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Legal Proceedings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1A.</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Risk Factors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6"/>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2.</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Unregistered Sales of Equity Securities and Use of Proceeds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3.</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Defaults Upon Senior Securities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4.</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Mine Safety Disclosures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5.</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Other Information</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6"/>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Item 6.</w:t>
            </w:r>
          </w:p>
        </w:tc>
        <w:tc>
          <w:tcPr>
            <w:tcW w:w="9740" w:type="dxa"/>
            <w:vAlign w:val="bottom"/>
            <w:gridSpan w:val="18"/>
            <w:shd w:val="clear" w:color="auto" w:fill="CCEEFF"/>
          </w:tcPr>
          <w:p>
            <w:pPr>
              <w:ind w:left="320"/>
              <w:spacing w:after="0" w:line="149" w:lineRule="exact"/>
              <w:rPr>
                <w:sz w:val="20"/>
                <w:szCs w:val="20"/>
                <w:color w:val="auto"/>
              </w:rPr>
            </w:pPr>
            <w:r>
              <w:rPr>
                <w:rFonts w:ascii="Arial" w:cs="Arial" w:eastAsia="Arial" w:hAnsi="Arial"/>
                <w:sz w:val="14"/>
                <w:szCs w:val="14"/>
                <w:color w:val="0000FF"/>
              </w:rPr>
              <w:t>Exhibits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75"/>
        </w:trPr>
        <w:tc>
          <w:tcPr>
            <w:tcW w:w="2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9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r>
      <w:tr>
        <w:trPr>
          <w:trHeight w:val="155"/>
        </w:trPr>
        <w:tc>
          <w:tcPr>
            <w:tcW w:w="94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0000FF"/>
              </w:rPr>
              <w:t>Signatures</w:t>
            </w: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r>
      <w:tr>
        <w:trPr>
          <w:trHeight w:val="533"/>
        </w:trPr>
        <w:tc>
          <w:tcPr>
            <w:tcW w:w="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480" w:type="dxa"/>
            <w:vAlign w:val="bottom"/>
            <w:tcBorders>
              <w:top w:val="single" w:sz="8" w:color="CCEEFF"/>
              <w:bottom w:val="single" w:sz="8" w:color="9A9A9A"/>
            </w:tcBorders>
          </w:tcPr>
          <w:p>
            <w:pPr>
              <w:spacing w:after="0"/>
              <w:rPr>
                <w:sz w:val="24"/>
                <w:szCs w:val="24"/>
                <w:color w:val="auto"/>
              </w:rPr>
            </w:pPr>
          </w:p>
        </w:tc>
        <w:tc>
          <w:tcPr>
            <w:tcW w:w="168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94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7400" w:type="dxa"/>
            <w:vAlign w:val="bottom"/>
          </w:tcPr>
          <w:p>
            <w:pPr>
              <w:jc w:val="center"/>
              <w:ind w:left="3768"/>
              <w:spacing w:after="0"/>
              <w:rPr>
                <w:sz w:val="20"/>
                <w:szCs w:val="20"/>
                <w:color w:val="auto"/>
              </w:rPr>
            </w:pPr>
            <w:r>
              <w:rPr>
                <w:rFonts w:ascii="Arial" w:cs="Arial" w:eastAsia="Arial" w:hAnsi="Arial"/>
                <w:sz w:val="14"/>
                <w:szCs w:val="14"/>
                <w:b w:val="1"/>
                <w:bCs w:val="1"/>
                <w:color w:val="auto"/>
              </w:rPr>
              <w:t>PART I. FINANCIAL INFORMATION</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4"/>
        </w:trPr>
        <w:tc>
          <w:tcPr>
            <w:tcW w:w="7400" w:type="dxa"/>
            <w:vAlign w:val="bottom"/>
          </w:tcPr>
          <w:p>
            <w:pPr>
              <w:jc w:val="center"/>
              <w:ind w:left="3768"/>
              <w:spacing w:after="0"/>
              <w:rPr>
                <w:sz w:val="20"/>
                <w:szCs w:val="20"/>
                <w:color w:val="auto"/>
              </w:rPr>
            </w:pPr>
            <w:r>
              <w:rPr>
                <w:rFonts w:ascii="Arial" w:cs="Arial" w:eastAsia="Arial" w:hAnsi="Arial"/>
                <w:sz w:val="14"/>
                <w:szCs w:val="14"/>
                <w:b w:val="1"/>
                <w:bCs w:val="1"/>
                <w:color w:val="auto"/>
                <w:w w:val="93"/>
              </w:rPr>
              <w:t>Logan Ridge Finance Corporation</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7400" w:type="dxa"/>
            <w:vAlign w:val="bottom"/>
          </w:tcPr>
          <w:p>
            <w:pPr>
              <w:jc w:val="center"/>
              <w:ind w:left="3788"/>
              <w:spacing w:after="0"/>
              <w:rPr>
                <w:sz w:val="20"/>
                <w:szCs w:val="20"/>
                <w:color w:val="auto"/>
              </w:rPr>
            </w:pPr>
            <w:r>
              <w:rPr>
                <w:rFonts w:ascii="Arial" w:cs="Arial" w:eastAsia="Arial" w:hAnsi="Arial"/>
                <w:sz w:val="14"/>
                <w:szCs w:val="14"/>
                <w:b w:val="1"/>
                <w:bCs w:val="1"/>
                <w:color w:val="auto"/>
                <w:w w:val="90"/>
              </w:rPr>
              <w:t>Consolidated Statements of Assets and Liabilities</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7400" w:type="dxa"/>
            <w:vAlign w:val="bottom"/>
          </w:tcPr>
          <w:p>
            <w:pPr>
              <w:jc w:val="center"/>
              <w:ind w:left="3788"/>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0"/>
        </w:trPr>
        <w:tc>
          <w:tcPr>
            <w:tcW w:w="7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As of September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As of December 31,</w:t>
            </w:r>
          </w:p>
        </w:tc>
      </w:tr>
      <w:tr>
        <w:trPr>
          <w:trHeight w:val="169"/>
        </w:trPr>
        <w:tc>
          <w:tcPr>
            <w:tcW w:w="74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 (amortized cost of $172,131 and $131,829, respectively)</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166,404</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129,991</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00"/>
              <w:spacing w:after="0"/>
              <w:rPr>
                <w:sz w:val="20"/>
                <w:szCs w:val="20"/>
                <w:color w:val="auto"/>
              </w:rPr>
            </w:pPr>
            <w:r>
              <w:rPr>
                <w:rFonts w:ascii="Arial" w:cs="Arial" w:eastAsia="Arial" w:hAnsi="Arial"/>
                <w:sz w:val="14"/>
                <w:szCs w:val="14"/>
                <w:color w:val="auto"/>
              </w:rPr>
              <w:t>Affiliate investments (amortized cost of $30,612 and $49,803, respectively)</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26,716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61,359</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 investments (amortized cost of $0 and $8,850, respectively)</w:t>
            </w:r>
          </w:p>
        </w:tc>
        <w:tc>
          <w:tcPr>
            <w:tcW w:w="16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6,839</w:t>
            </w:r>
          </w:p>
        </w:tc>
        <w:tc>
          <w:tcPr>
            <w:tcW w:w="100" w:type="dxa"/>
            <w:vAlign w:val="bottom"/>
            <w:shd w:val="clear" w:color="auto" w:fill="CFF0FC"/>
          </w:tcPr>
          <w:p>
            <w:pPr>
              <w:spacing w:after="0"/>
              <w:rPr>
                <w:sz w:val="15"/>
                <w:szCs w:val="15"/>
                <w:color w:val="auto"/>
              </w:rPr>
            </w:pPr>
          </w:p>
        </w:tc>
      </w:tr>
      <w:tr>
        <w:trPr>
          <w:trHeight w:val="169"/>
        </w:trPr>
        <w:tc>
          <w:tcPr>
            <w:tcW w:w="7400" w:type="dxa"/>
            <w:vAlign w:val="bottom"/>
            <w:tcBorders>
              <w:top w:val="single" w:sz="8" w:color="CFF0FC"/>
            </w:tcBorders>
          </w:tcPr>
          <w:p>
            <w:pPr>
              <w:ind w:left="200"/>
              <w:spacing w:after="0"/>
              <w:rPr>
                <w:sz w:val="20"/>
                <w:szCs w:val="20"/>
                <w:color w:val="auto"/>
              </w:rPr>
            </w:pPr>
            <w:r>
              <w:rPr>
                <w:rFonts w:ascii="Arial" w:cs="Arial" w:eastAsia="Arial" w:hAnsi="Arial"/>
                <w:sz w:val="14"/>
                <w:szCs w:val="14"/>
                <w:color w:val="auto"/>
              </w:rPr>
              <w:t>Total investments at fair value (amortized cost of $202,743 and $190,482, respectively)</w:t>
            </w: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193,120</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198,189</w:t>
            </w:r>
          </w:p>
        </w:tc>
        <w:tc>
          <w:tcPr>
            <w:tcW w:w="100" w:type="dxa"/>
            <w:vAlign w:val="bottom"/>
            <w:tcBorders>
              <w:top w:val="single" w:sz="8" w:color="CFF0FC"/>
            </w:tcBorders>
          </w:tcPr>
          <w:p>
            <w:pPr>
              <w:spacing w:after="0"/>
              <w:rPr>
                <w:sz w:val="14"/>
                <w:szCs w:val="14"/>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11,263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39,056</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Interest and dividend receivable</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Receivable for unsettled trades</w:t>
            </w:r>
          </w:p>
        </w:tc>
        <w:tc>
          <w:tcPr>
            <w:tcW w:w="160" w:type="dxa"/>
            <w:vAlign w:val="bottom"/>
          </w:tcPr>
          <w:p>
            <w:pPr>
              <w:spacing w:after="0"/>
              <w:rPr>
                <w:sz w:val="15"/>
                <w:szCs w:val="15"/>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15"/>
                <w:szCs w:val="15"/>
                <w:color w:val="auto"/>
              </w:rPr>
            </w:pPr>
          </w:p>
        </w:tc>
      </w:tr>
      <w:tr>
        <w:trPr>
          <w:trHeight w:val="176"/>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400" w:type="dxa"/>
            <w:vAlign w:val="bottom"/>
          </w:tcPr>
          <w:p>
            <w:pPr>
              <w:ind w:left="200"/>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line="155" w:lineRule="exact"/>
              <w:rPr>
                <w:sz w:val="20"/>
                <w:szCs w:val="20"/>
                <w:color w:val="auto"/>
              </w:rPr>
            </w:pPr>
            <w:r>
              <w:rPr>
                <w:rFonts w:ascii="Arial" w:cs="Arial" w:eastAsia="Arial" w:hAnsi="Arial"/>
                <w:sz w:val="14"/>
                <w:szCs w:val="14"/>
                <w:color w:val="auto"/>
              </w:rPr>
              <w:t>208,483</w:t>
            </w:r>
          </w:p>
        </w:tc>
        <w:tc>
          <w:tcPr>
            <w:tcW w:w="120" w:type="dxa"/>
            <w:vAlign w:val="bottom"/>
          </w:tcPr>
          <w:p>
            <w:pPr>
              <w:spacing w:after="0"/>
              <w:rPr>
                <w:sz w:val="14"/>
                <w:szCs w:val="14"/>
                <w:color w:val="auto"/>
              </w:rPr>
            </w:pPr>
          </w:p>
        </w:tc>
        <w:tc>
          <w:tcPr>
            <w:tcW w:w="3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242,217</w:t>
            </w:r>
          </w:p>
        </w:tc>
        <w:tc>
          <w:tcPr>
            <w:tcW w:w="10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4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LIABILITIES</w:t>
            </w: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2022 Notes (net of deferred financing costs of zero and $46, respectively)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22,787</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Convertible Notes (net of deferred financing costs of zero and $167, respectively)</w:t>
            </w:r>
          </w:p>
        </w:tc>
        <w:tc>
          <w:tcPr>
            <w:tcW w:w="160" w:type="dxa"/>
            <w:vAlign w:val="bottom"/>
            <w:shd w:val="clear" w:color="auto" w:fill="CFF0FC"/>
          </w:tcPr>
          <w:p>
            <w:pPr>
              <w:spacing w:after="0"/>
              <w:rPr>
                <w:sz w:val="15"/>
                <w:szCs w:val="15"/>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51,921</w:t>
            </w:r>
          </w:p>
        </w:tc>
        <w:tc>
          <w:tcPr>
            <w:tcW w:w="100" w:type="dxa"/>
            <w:vAlign w:val="bottom"/>
            <w:shd w:val="clear" w:color="auto" w:fill="CFF0FC"/>
          </w:tcPr>
          <w:p>
            <w:pPr>
              <w:spacing w:after="0"/>
              <w:rPr>
                <w:sz w:val="15"/>
                <w:szCs w:val="15"/>
                <w:color w:val="auto"/>
              </w:rPr>
            </w:pP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2026 Notes (net of deferred financing costs and original issue discount of $1,509 and $1,552, respectively)</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48,491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48,448</w:t>
            </w:r>
          </w:p>
        </w:tc>
        <w:tc>
          <w:tcPr>
            <w:tcW w:w="100" w:type="dxa"/>
            <w:vAlign w:val="bottom"/>
          </w:tcPr>
          <w:p>
            <w:pPr>
              <w:spacing w:after="0"/>
              <w:rPr>
                <w:sz w:val="15"/>
                <w:szCs w:val="15"/>
                <w:color w:val="auto"/>
              </w:rPr>
            </w:pPr>
          </w:p>
        </w:tc>
      </w:tr>
      <w:tr>
        <w:trPr>
          <w:trHeight w:val="175"/>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2032 Convertible Notes (net of deferred financing costs and original issue discount of $1,146 and zero, respectively)</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13,854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400" w:type="dxa"/>
            <w:vAlign w:val="bottom"/>
          </w:tcPr>
          <w:p>
            <w:pPr>
              <w:ind w:left="20"/>
              <w:spacing w:after="0"/>
              <w:rPr>
                <w:sz w:val="20"/>
                <w:szCs w:val="20"/>
                <w:color w:val="auto"/>
              </w:rPr>
            </w:pPr>
            <w:r>
              <w:rPr>
                <w:rFonts w:ascii="Arial" w:cs="Arial" w:eastAsia="Arial" w:hAnsi="Arial"/>
                <w:sz w:val="14"/>
                <w:szCs w:val="14"/>
                <w:color w:val="auto"/>
              </w:rPr>
              <w:t>KeyBank Credit Facility (net of deferred financing costs of $1,391 and $353, respectively)</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44,385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4"/>
                <w:szCs w:val="14"/>
                <w:color w:val="auto"/>
              </w:rPr>
              <w:t>(353 )</w:t>
            </w: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Management and incentive fees payable</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Interest and financing fees payable</w:t>
            </w:r>
          </w:p>
        </w:tc>
        <w:tc>
          <w:tcPr>
            <w:tcW w:w="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Payable for unsettled trades</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9,265</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5"/>
                <w:szCs w:val="15"/>
                <w:color w:val="auto"/>
              </w:rPr>
            </w:pPr>
          </w:p>
        </w:tc>
      </w:tr>
      <w:tr>
        <w:trPr>
          <w:trHeight w:val="169"/>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110,307</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135,188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400" w:type="dxa"/>
            <w:vAlign w:val="bottom"/>
          </w:tcPr>
          <w:p>
            <w:pPr>
              <w:ind w:left="20"/>
              <w:spacing w:after="0"/>
              <w:rPr>
                <w:sz w:val="20"/>
                <w:szCs w:val="20"/>
                <w:color w:val="auto"/>
              </w:rPr>
            </w:pPr>
            <w:r>
              <w:rPr>
                <w:rFonts w:ascii="Arial" w:cs="Arial" w:eastAsia="Arial" w:hAnsi="Arial"/>
                <w:sz w:val="14"/>
                <w:szCs w:val="14"/>
                <w:color w:val="auto"/>
              </w:rPr>
              <w:t>Commitments and contingencies (Note 2)</w:t>
            </w: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ASSETS</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7400" w:type="dxa"/>
            <w:vAlign w:val="bottom"/>
          </w:tcPr>
          <w:p>
            <w:pPr>
              <w:ind w:left="20"/>
              <w:spacing w:after="0" w:line="143" w:lineRule="exact"/>
              <w:rPr>
                <w:sz w:val="20"/>
                <w:szCs w:val="20"/>
                <w:color w:val="auto"/>
              </w:rPr>
            </w:pPr>
            <w:r>
              <w:rPr>
                <w:rFonts w:ascii="Arial" w:cs="Arial" w:eastAsia="Arial" w:hAnsi="Arial"/>
                <w:sz w:val="14"/>
                <w:szCs w:val="14"/>
                <w:color w:val="auto"/>
                <w:w w:val="95"/>
              </w:rPr>
              <w:t>Common stock, par value $0.01, 100,000,000 common shares authorized, 2,711,068 and 2,711,068 common shares issued</w:t>
            </w: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400" w:type="dxa"/>
            <w:vAlign w:val="bottom"/>
          </w:tcPr>
          <w:p>
            <w:pPr>
              <w:ind w:left="20"/>
              <w:spacing w:after="0"/>
              <w:rPr>
                <w:sz w:val="20"/>
                <w:szCs w:val="20"/>
                <w:color w:val="auto"/>
              </w:rPr>
            </w:pPr>
            <w:r>
              <w:rPr>
                <w:rFonts w:ascii="Arial" w:cs="Arial" w:eastAsia="Arial" w:hAnsi="Arial"/>
                <w:sz w:val="14"/>
                <w:szCs w:val="14"/>
                <w:color w:val="auto"/>
              </w:rPr>
              <w:t>and outstanding, respectively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r>
      <w:tr>
        <w:trPr>
          <w:trHeight w:val="176"/>
        </w:trPr>
        <w:tc>
          <w:tcPr>
            <w:tcW w:w="7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Additional paid in capital</w:t>
            </w: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100" w:type="dxa"/>
            <w:vAlign w:val="bottom"/>
            <w:shd w:val="clear" w:color="auto" w:fill="CFF0FC"/>
          </w:tcPr>
          <w:p>
            <w:pPr>
              <w:spacing w:after="0"/>
              <w:rPr>
                <w:sz w:val="15"/>
                <w:szCs w:val="15"/>
                <w:color w:val="auto"/>
              </w:rPr>
            </w:pPr>
          </w:p>
        </w:tc>
      </w:tr>
      <w:tr>
        <w:trPr>
          <w:trHeight w:val="175"/>
        </w:trPr>
        <w:tc>
          <w:tcPr>
            <w:tcW w:w="7400" w:type="dxa"/>
            <w:vAlign w:val="bottom"/>
          </w:tcPr>
          <w:p>
            <w:pPr>
              <w:ind w:left="20"/>
              <w:spacing w:after="0"/>
              <w:rPr>
                <w:sz w:val="20"/>
                <w:szCs w:val="20"/>
                <w:color w:val="auto"/>
              </w:rPr>
            </w:pPr>
            <w:r>
              <w:rPr>
                <w:rFonts w:ascii="Arial" w:cs="Arial" w:eastAsia="Arial" w:hAnsi="Arial"/>
                <w:sz w:val="14"/>
                <w:szCs w:val="14"/>
                <w:color w:val="auto"/>
              </w:rPr>
              <w:t>Total distributable loss</w:t>
            </w:r>
          </w:p>
        </w:tc>
        <w:tc>
          <w:tcPr>
            <w:tcW w:w="160" w:type="dxa"/>
            <w:vAlign w:val="bottom"/>
          </w:tcPr>
          <w:p>
            <w:pPr>
              <w:spacing w:after="0"/>
              <w:rPr>
                <w:sz w:val="15"/>
                <w:szCs w:val="15"/>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(90,697 )</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4"/>
                <w:szCs w:val="14"/>
                <w:color w:val="auto"/>
              </w:rPr>
              <w:t>(81,844 )</w:t>
            </w:r>
          </w:p>
        </w:tc>
      </w:tr>
      <w:tr>
        <w:trPr>
          <w:trHeight w:val="169"/>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net assets</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98,176</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107,029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40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and net assets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208,483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242,217</w:t>
            </w:r>
          </w:p>
        </w:tc>
        <w:tc>
          <w:tcPr>
            <w:tcW w:w="100" w:type="dxa"/>
            <w:vAlign w:val="bottom"/>
          </w:tcPr>
          <w:p>
            <w:pPr>
              <w:spacing w:after="0"/>
              <w:rPr>
                <w:sz w:val="14"/>
                <w:szCs w:val="14"/>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4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asset value per share</w:t>
            </w:r>
          </w:p>
        </w:tc>
        <w:tc>
          <w:tcPr>
            <w:tcW w:w="160" w:type="dxa"/>
            <w:vAlign w:val="bottom"/>
            <w:tcBorders>
              <w:top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36.21</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39.48</w:t>
            </w:r>
          </w:p>
        </w:tc>
        <w:tc>
          <w:tcPr>
            <w:tcW w:w="100" w:type="dxa"/>
            <w:vAlign w:val="bottom"/>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-3093720</wp:posOffset>
            </wp:positionV>
            <wp:extent cx="7747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-2416810</wp:posOffset>
            </wp:positionV>
            <wp:extent cx="7747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-1036320</wp:posOffset>
            </wp:positionV>
            <wp:extent cx="7747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-256540</wp:posOffset>
            </wp:positionV>
            <wp:extent cx="7747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220" w:type="dxa"/>
            <w:vAlign w:val="bottom"/>
            <w:gridSpan w:val="6"/>
          </w:tcPr>
          <w:p>
            <w:pPr>
              <w:jc w:val="right"/>
              <w:ind w:right="288"/>
              <w:spacing w:after="0"/>
              <w:rPr>
                <w:sz w:val="20"/>
                <w:szCs w:val="20"/>
                <w:color w:val="auto"/>
              </w:rPr>
            </w:pPr>
            <w:r>
              <w:rPr>
                <w:rFonts w:ascii="Arial" w:cs="Arial" w:eastAsia="Arial" w:hAnsi="Arial"/>
                <w:sz w:val="14"/>
                <w:szCs w:val="14"/>
                <w:b w:val="1"/>
                <w:bCs w:val="1"/>
                <w:color w:val="auto"/>
                <w:w w:val="96"/>
              </w:rPr>
              <w:t>For the Three Months Ended</w:t>
            </w:r>
          </w:p>
        </w:tc>
        <w:tc>
          <w:tcPr>
            <w:tcW w:w="2020" w:type="dxa"/>
            <w:vAlign w:val="bottom"/>
            <w:gridSpan w:val="6"/>
          </w:tcPr>
          <w:p>
            <w:pPr>
              <w:jc w:val="right"/>
              <w:ind w:right="148"/>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85"/>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jc w:val="right"/>
              <w:ind w:right="72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86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70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INCOME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0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0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8,177</w:t>
            </w:r>
          </w:p>
        </w:tc>
        <w:tc>
          <w:tcPr>
            <w:tcW w:w="100" w:type="dxa"/>
            <w:vAlign w:val="bottom"/>
            <w:shd w:val="clear" w:color="auto" w:fill="CFF0FC"/>
          </w:tcPr>
          <w:p>
            <w:pPr>
              <w:spacing w:after="0"/>
              <w:rPr>
                <w:sz w:val="15"/>
                <w:szCs w:val="15"/>
                <w:color w:val="auto"/>
              </w:rPr>
            </w:pPr>
          </w:p>
        </w:tc>
      </w:tr>
      <w:tr>
        <w:trPr>
          <w:trHeight w:val="175"/>
        </w:trPr>
        <w:tc>
          <w:tcPr>
            <w:tcW w:w="700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3,499</w:t>
            </w:r>
          </w:p>
        </w:tc>
        <w:tc>
          <w:tcPr>
            <w:tcW w:w="100" w:type="dxa"/>
            <w:vAlign w:val="bottom"/>
          </w:tcPr>
          <w:p>
            <w:pPr>
              <w:spacing w:after="0"/>
              <w:rPr>
                <w:sz w:val="15"/>
                <w:szCs w:val="15"/>
                <w:color w:val="auto"/>
              </w:rPr>
            </w:pPr>
          </w:p>
        </w:tc>
      </w:tr>
      <w:tr>
        <w:trPr>
          <w:trHeight w:val="176"/>
        </w:trPr>
        <w:tc>
          <w:tcPr>
            <w:tcW w:w="7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00" w:type="dxa"/>
            <w:vAlign w:val="bottom"/>
          </w:tcPr>
          <w:p>
            <w:pPr>
              <w:ind w:left="200"/>
              <w:spacing w:after="0"/>
              <w:rPr>
                <w:sz w:val="20"/>
                <w:szCs w:val="20"/>
                <w:color w:val="auto"/>
              </w:rPr>
            </w:pPr>
            <w:r>
              <w:rPr>
                <w:rFonts w:ascii="Arial" w:cs="Arial" w:eastAsia="Arial" w:hAnsi="Arial"/>
                <w:sz w:val="14"/>
                <w:szCs w:val="14"/>
                <w:color w:val="auto"/>
              </w:rPr>
              <w:t>Total interest and fee income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9,566</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11,969</w:t>
            </w:r>
          </w:p>
        </w:tc>
        <w:tc>
          <w:tcPr>
            <w:tcW w:w="100" w:type="dxa"/>
            <w:vAlign w:val="bottom"/>
          </w:tcPr>
          <w:p>
            <w:pPr>
              <w:spacing w:after="0"/>
              <w:rPr>
                <w:sz w:val="14"/>
                <w:szCs w:val="14"/>
                <w:color w:val="auto"/>
              </w:rPr>
            </w:pPr>
          </w:p>
        </w:tc>
      </w:tr>
      <w:tr>
        <w:trPr>
          <w:trHeight w:val="169"/>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Payment-in-kind interest and dividend income: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00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r>
      <w:tr>
        <w:trPr>
          <w:trHeight w:val="176"/>
        </w:trPr>
        <w:tc>
          <w:tcPr>
            <w:tcW w:w="7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00" w:type="dxa"/>
            <w:vAlign w:val="bottom"/>
          </w:tcPr>
          <w:p>
            <w:pPr>
              <w:ind w:left="200"/>
              <w:spacing w:after="0"/>
              <w:rPr>
                <w:sz w:val="20"/>
                <w:szCs w:val="20"/>
                <w:color w:val="auto"/>
              </w:rPr>
            </w:pPr>
            <w:r>
              <w:rPr>
                <w:rFonts w:ascii="Arial" w:cs="Arial" w:eastAsia="Arial" w:hAnsi="Arial"/>
                <w:sz w:val="14"/>
                <w:szCs w:val="14"/>
                <w:color w:val="auto"/>
              </w:rPr>
              <w:t>Total payment-in-kind interest and dividend income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4"/>
                <w:szCs w:val="14"/>
                <w:color w:val="auto"/>
              </w:rPr>
            </w:pPr>
          </w:p>
        </w:tc>
      </w:tr>
      <w:tr>
        <w:trPr>
          <w:trHeight w:val="169"/>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 income: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00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180" w:type="dxa"/>
            <w:vAlign w:val="bottom"/>
          </w:tcPr>
          <w:p>
            <w:pPr>
              <w:spacing w:after="0"/>
              <w:rPr>
                <w:sz w:val="15"/>
                <w:szCs w:val="15"/>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5"/>
                <w:szCs w:val="15"/>
                <w:color w:val="auto"/>
              </w:rPr>
            </w:pPr>
          </w:p>
        </w:tc>
      </w:tr>
      <w:tr>
        <w:trPr>
          <w:trHeight w:val="175"/>
        </w:trPr>
        <w:tc>
          <w:tcPr>
            <w:tcW w:w="7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00" w:type="dxa"/>
            <w:vAlign w:val="bottom"/>
          </w:tcPr>
          <w:p>
            <w:pPr>
              <w:ind w:left="200"/>
              <w:spacing w:after="0"/>
              <w:rPr>
                <w:sz w:val="20"/>
                <w:szCs w:val="20"/>
                <w:color w:val="auto"/>
              </w:rPr>
            </w:pPr>
            <w:r>
              <w:rPr>
                <w:rFonts w:ascii="Arial" w:cs="Arial" w:eastAsia="Arial" w:hAnsi="Arial"/>
                <w:sz w:val="14"/>
                <w:szCs w:val="14"/>
                <w:color w:val="auto"/>
              </w:rPr>
              <w:t>Total dividend income</w:t>
            </w:r>
          </w:p>
        </w:tc>
        <w:tc>
          <w:tcPr>
            <w:tcW w:w="180" w:type="dxa"/>
            <w:vAlign w:val="bottom"/>
          </w:tcPr>
          <w:p>
            <w:pPr>
              <w:spacing w:after="0"/>
              <w:rPr>
                <w:sz w:val="14"/>
                <w:szCs w:val="14"/>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4"/>
                <w:szCs w:val="14"/>
                <w:color w:val="auto"/>
              </w:rPr>
            </w:pPr>
          </w:p>
        </w:tc>
      </w:tr>
      <w:tr>
        <w:trPr>
          <w:trHeight w:val="169"/>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00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r>
      <w:tr>
        <w:trPr>
          <w:trHeight w:val="175"/>
        </w:trPr>
        <w:tc>
          <w:tcPr>
            <w:tcW w:w="7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00" w:type="dxa"/>
            <w:vAlign w:val="bottom"/>
          </w:tcPr>
          <w:p>
            <w:pPr>
              <w:ind w:left="200"/>
              <w:spacing w:after="0"/>
              <w:rPr>
                <w:sz w:val="20"/>
                <w:szCs w:val="20"/>
                <w:color w:val="auto"/>
              </w:rPr>
            </w:pPr>
            <w:r>
              <w:rPr>
                <w:rFonts w:ascii="Arial" w:cs="Arial" w:eastAsia="Arial" w:hAnsi="Arial"/>
                <w:sz w:val="14"/>
                <w:szCs w:val="14"/>
                <w:color w:val="auto"/>
              </w:rPr>
              <w:t>Total other income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4"/>
                <w:szCs w:val="14"/>
                <w:color w:val="auto"/>
              </w:rPr>
            </w:pPr>
          </w:p>
        </w:tc>
      </w:tr>
      <w:tr>
        <w:trPr>
          <w:trHeight w:val="169"/>
        </w:trPr>
        <w:tc>
          <w:tcPr>
            <w:tcW w:w="7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investment income</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3,748</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3,372</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10,389</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13,342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0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expenses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2,296</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5,877</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8,061</w:t>
            </w:r>
          </w:p>
        </w:tc>
        <w:tc>
          <w:tcPr>
            <w:tcW w:w="100" w:type="dxa"/>
            <w:vAlign w:val="bottom"/>
            <w:shd w:val="clear" w:color="auto" w:fill="CFF0FC"/>
          </w:tcPr>
          <w:p>
            <w:pPr>
              <w:spacing w:after="0"/>
              <w:rPr>
                <w:sz w:val="15"/>
                <w:szCs w:val="15"/>
                <w:color w:val="auto"/>
              </w:rPr>
            </w:pPr>
          </w:p>
        </w:tc>
      </w:tr>
      <w:tr>
        <w:trPr>
          <w:trHeight w:val="176"/>
        </w:trPr>
        <w:tc>
          <w:tcPr>
            <w:tcW w:w="700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1,111</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3,781</w:t>
            </w:r>
          </w:p>
        </w:tc>
        <w:tc>
          <w:tcPr>
            <w:tcW w:w="100" w:type="dxa"/>
            <w:vAlign w:val="bottom"/>
          </w:tcPr>
          <w:p>
            <w:pPr>
              <w:spacing w:after="0"/>
              <w:rPr>
                <w:sz w:val="15"/>
                <w:szCs w:val="15"/>
                <w:color w:val="auto"/>
              </w:rPr>
            </w:pPr>
          </w:p>
        </w:tc>
      </w:tr>
      <w:tr>
        <w:trPr>
          <w:trHeight w:val="175"/>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Directors expense</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FF0FC"/>
          </w:tcPr>
          <w:p>
            <w:pPr>
              <w:spacing w:after="0"/>
              <w:rPr>
                <w:sz w:val="15"/>
                <w:szCs w:val="15"/>
                <w:color w:val="auto"/>
              </w:rPr>
            </w:pPr>
          </w:p>
        </w:tc>
      </w:tr>
      <w:tr>
        <w:trPr>
          <w:trHeight w:val="176"/>
        </w:trPr>
        <w:tc>
          <w:tcPr>
            <w:tcW w:w="7000" w:type="dxa"/>
            <w:vAlign w:val="bottom"/>
          </w:tcPr>
          <w:p>
            <w:pPr>
              <w:ind w:left="20"/>
              <w:spacing w:after="0"/>
              <w:rPr>
                <w:sz w:val="20"/>
                <w:szCs w:val="20"/>
                <w:color w:val="auto"/>
              </w:rPr>
            </w:pPr>
            <w:r>
              <w:rPr>
                <w:rFonts w:ascii="Arial" w:cs="Arial" w:eastAsia="Arial" w:hAnsi="Arial"/>
                <w:sz w:val="14"/>
                <w:szCs w:val="14"/>
                <w:color w:val="auto"/>
              </w:rPr>
              <w:t>Administrative service fees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5"/>
                <w:szCs w:val="15"/>
                <w:color w:val="auto"/>
              </w:rPr>
            </w:pPr>
          </w:p>
        </w:tc>
      </w:tr>
      <w:tr>
        <w:trPr>
          <w:trHeight w:val="175"/>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1,172</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2,597</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00" w:type="dxa"/>
            <w:vAlign w:val="bottom"/>
          </w:tcPr>
          <w:p>
            <w:pPr>
              <w:ind w:left="20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3,566</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12,186</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15,601</w:t>
            </w:r>
          </w:p>
        </w:tc>
        <w:tc>
          <w:tcPr>
            <w:tcW w:w="100" w:type="dxa"/>
            <w:vAlign w:val="bottom"/>
          </w:tcPr>
          <w:p>
            <w:pPr>
              <w:spacing w:after="0"/>
              <w:rPr>
                <w:sz w:val="14"/>
                <w:szCs w:val="14"/>
                <w:color w:val="auto"/>
              </w:rPr>
            </w:pPr>
          </w:p>
        </w:tc>
      </w:tr>
      <w:tr>
        <w:trPr>
          <w:trHeight w:val="169"/>
        </w:trPr>
        <w:tc>
          <w:tcPr>
            <w:tcW w:w="7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INVESTMENT INCOME (LOSS)</w:t>
            </w: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(1,510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000" w:type="dxa"/>
            <w:vAlign w:val="bottom"/>
          </w:tcPr>
          <w:p>
            <w:pPr>
              <w:ind w:left="20"/>
              <w:spacing w:after="0"/>
              <w:rPr>
                <w:sz w:val="20"/>
                <w:szCs w:val="20"/>
                <w:color w:val="auto"/>
              </w:rPr>
            </w:pPr>
            <w:r>
              <w:rPr>
                <w:rFonts w:ascii="Arial" w:cs="Arial" w:eastAsia="Arial" w:hAnsi="Arial"/>
                <w:sz w:val="14"/>
                <w:szCs w:val="14"/>
                <w:color w:val="auto"/>
              </w:rPr>
              <w:t>REALIZED AND UNREALIZED GAIN (LOSS) ON INVESTMENTS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realized (loss) gain on investments: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00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7,425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15,489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(1,866 )</w:t>
            </w:r>
          </w:p>
        </w:tc>
      </w:tr>
      <w:tr>
        <w:trPr>
          <w:trHeight w:val="175"/>
        </w:trPr>
        <w:tc>
          <w:tcPr>
            <w:tcW w:w="70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2,215</w:t>
            </w:r>
          </w:p>
        </w:tc>
        <w:tc>
          <w:tcPr>
            <w:tcW w:w="100" w:type="dxa"/>
            <w:vAlign w:val="bottom"/>
            <w:shd w:val="clear" w:color="auto" w:fill="CFF0FC"/>
          </w:tcPr>
          <w:p>
            <w:pPr>
              <w:spacing w:after="0"/>
              <w:rPr>
                <w:sz w:val="15"/>
                <w:szCs w:val="15"/>
                <w:color w:val="auto"/>
              </w:rPr>
            </w:pPr>
          </w:p>
        </w:tc>
      </w:tr>
      <w:tr>
        <w:trPr>
          <w:trHeight w:val="175"/>
        </w:trPr>
        <w:tc>
          <w:tcPr>
            <w:tcW w:w="7000" w:type="dxa"/>
            <w:vAlign w:val="bottom"/>
          </w:tcPr>
          <w:p>
            <w:pPr>
              <w:ind w:left="200"/>
              <w:spacing w:after="0"/>
              <w:rPr>
                <w:sz w:val="20"/>
                <w:szCs w:val="20"/>
                <w:color w:val="auto"/>
              </w:rPr>
            </w:pPr>
            <w:r>
              <w:rPr>
                <w:rFonts w:ascii="Arial" w:cs="Arial" w:eastAsia="Arial" w:hAnsi="Arial"/>
                <w:sz w:val="14"/>
                <w:szCs w:val="14"/>
                <w:color w:val="auto"/>
              </w:rPr>
              <w:t>Control investments</w:t>
            </w:r>
          </w:p>
        </w:tc>
        <w:tc>
          <w:tcPr>
            <w:tcW w:w="180" w:type="dxa"/>
            <w:vAlign w:val="bottom"/>
          </w:tcPr>
          <w:p>
            <w:pPr>
              <w:spacing w:after="0"/>
              <w:rPr>
                <w:sz w:val="15"/>
                <w:szCs w:val="15"/>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4"/>
                <w:szCs w:val="14"/>
                <w:color w:val="auto"/>
              </w:rPr>
              <w:t>(5,215 )</w:t>
            </w:r>
          </w:p>
        </w:tc>
        <w:tc>
          <w:tcPr>
            <w:tcW w:w="200" w:type="dxa"/>
            <w:vAlign w:val="bottom"/>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(5,215 )</w:t>
            </w:r>
          </w:p>
        </w:tc>
        <w:tc>
          <w:tcPr>
            <w:tcW w:w="200" w:type="dxa"/>
            <w:vAlign w:val="bottom"/>
          </w:tcPr>
          <w:p>
            <w:pPr>
              <w:spacing w:after="0"/>
              <w:rPr>
                <w:sz w:val="15"/>
                <w:szCs w:val="15"/>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0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realized (loss) gain on investments</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(5,192</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7,425</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10,274</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FF0FC"/>
          </w:tcPr>
          <w:p>
            <w:pPr>
              <w:spacing w:after="0"/>
              <w:rPr>
                <w:sz w:val="14"/>
                <w:szCs w:val="14"/>
                <w:color w:val="auto"/>
              </w:rPr>
            </w:pPr>
          </w:p>
        </w:tc>
      </w:tr>
      <w:tr>
        <w:trPr>
          <w:trHeight w:val="175"/>
        </w:trPr>
        <w:tc>
          <w:tcPr>
            <w:tcW w:w="7000" w:type="dxa"/>
            <w:vAlign w:val="bottom"/>
          </w:tcPr>
          <w:p>
            <w:pPr>
              <w:ind w:left="2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(6,169 )</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(16,993 )</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4,269</w:t>
            </w:r>
          </w:p>
        </w:tc>
        <w:tc>
          <w:tcPr>
            <w:tcW w:w="100" w:type="dxa"/>
            <w:vAlign w:val="bottom"/>
            <w:shd w:val="clear" w:color="auto" w:fill="CFF0FC"/>
          </w:tcPr>
          <w:p>
            <w:pPr>
              <w:spacing w:after="0"/>
              <w:rPr>
                <w:sz w:val="15"/>
                <w:szCs w:val="15"/>
                <w:color w:val="auto"/>
              </w:rPr>
            </w:pPr>
          </w:p>
        </w:tc>
      </w:tr>
      <w:tr>
        <w:trPr>
          <w:trHeight w:val="175"/>
        </w:trPr>
        <w:tc>
          <w:tcPr>
            <w:tcW w:w="700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180" w:type="dxa"/>
            <w:vAlign w:val="bottom"/>
          </w:tcPr>
          <w:p>
            <w:pPr>
              <w:spacing w:after="0"/>
              <w:rPr>
                <w:sz w:val="15"/>
                <w:szCs w:val="15"/>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4"/>
                <w:szCs w:val="14"/>
                <w:color w:val="auto"/>
              </w:rPr>
              <w:t>(3,825 )</w:t>
            </w:r>
          </w:p>
        </w:tc>
        <w:tc>
          <w:tcPr>
            <w:tcW w:w="200" w:type="dxa"/>
            <w:vAlign w:val="bottom"/>
          </w:tcPr>
          <w:p>
            <w:pPr>
              <w:spacing w:after="0"/>
              <w:rPr>
                <w:sz w:val="15"/>
                <w:szCs w:val="15"/>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color w:val="auto"/>
              </w:rPr>
              <w:t>(2,842 )</w:t>
            </w:r>
          </w:p>
        </w:tc>
        <w:tc>
          <w:tcPr>
            <w:tcW w:w="160" w:type="dxa"/>
            <w:vAlign w:val="bottom"/>
          </w:tcPr>
          <w:p>
            <w:pPr>
              <w:spacing w:after="0"/>
              <w:rPr>
                <w:sz w:val="15"/>
                <w:szCs w:val="15"/>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(2,348 )</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Pr>
          <w:p>
            <w:pPr>
              <w:spacing w:after="0"/>
              <w:rPr>
                <w:sz w:val="15"/>
                <w:szCs w:val="15"/>
                <w:color w:val="auto"/>
              </w:rPr>
            </w:pPr>
          </w:p>
        </w:tc>
      </w:tr>
      <w:tr>
        <w:trPr>
          <w:trHeight w:val="175"/>
        </w:trPr>
        <w:tc>
          <w:tcPr>
            <w:tcW w:w="70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5,222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(390 )</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(1,420 )</w:t>
            </w:r>
          </w:p>
        </w:tc>
      </w:tr>
      <w:tr>
        <w:trPr>
          <w:trHeight w:val="20"/>
        </w:trPr>
        <w:tc>
          <w:tcPr>
            <w:tcW w:w="7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000" w:type="dxa"/>
            <w:vAlign w:val="bottom"/>
          </w:tcPr>
          <w:p>
            <w:pPr>
              <w:ind w:left="2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color w:val="auto"/>
              </w:rPr>
              <w:t>(9,401 )</w:t>
            </w:r>
          </w:p>
        </w:tc>
        <w:tc>
          <w:tcPr>
            <w:tcW w:w="160" w:type="dxa"/>
            <w:vAlign w:val="bottom"/>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(17,330 )</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4,039</w:t>
            </w:r>
          </w:p>
        </w:tc>
        <w:tc>
          <w:tcPr>
            <w:tcW w:w="100" w:type="dxa"/>
            <w:vAlign w:val="bottom"/>
          </w:tcPr>
          <w:p>
            <w:pPr>
              <w:spacing w:after="0"/>
              <w:rPr>
                <w:sz w:val="14"/>
                <w:szCs w:val="14"/>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net realized and change in unrealized (loss) gain on investments</w:t>
            </w:r>
          </w:p>
        </w:tc>
        <w:tc>
          <w:tcPr>
            <w:tcW w:w="1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(3,143</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(1,976</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(7,056 )</w:t>
            </w:r>
          </w:p>
        </w:tc>
        <w:tc>
          <w:tcPr>
            <w:tcW w:w="2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4,388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63"/>
        </w:trPr>
        <w:tc>
          <w:tcPr>
            <w:tcW w:w="7000" w:type="dxa"/>
            <w:vAlign w:val="bottom"/>
          </w:tcPr>
          <w:p>
            <w:pPr>
              <w:ind w:left="20"/>
              <w:spacing w:after="0"/>
              <w:rPr>
                <w:sz w:val="20"/>
                <w:szCs w:val="20"/>
                <w:color w:val="auto"/>
              </w:rPr>
            </w:pPr>
            <w:r>
              <w:rPr>
                <w:rFonts w:ascii="Arial" w:cs="Arial" w:eastAsia="Arial" w:hAnsi="Arial"/>
                <w:sz w:val="14"/>
                <w:szCs w:val="14"/>
                <w:color w:val="auto"/>
              </w:rPr>
              <w:t>Net realized loss on extinguishment of debt</w:t>
            </w:r>
          </w:p>
        </w:tc>
        <w:tc>
          <w:tcPr>
            <w:tcW w:w="180" w:type="dxa"/>
            <w:vAlign w:val="bottom"/>
          </w:tcPr>
          <w:p>
            <w:pPr>
              <w:spacing w:after="0"/>
              <w:rPr>
                <w:sz w:val="14"/>
                <w:szCs w:val="14"/>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9"/>
        </w:trPr>
        <w:tc>
          <w:tcPr>
            <w:tcW w:w="700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NET (DECREASE) INCREASE IN NET ASSETS RESULTING FROM OPERATIONS</w:t>
            </w: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(2,961</w:t>
            </w:r>
          </w:p>
        </w:tc>
        <w:tc>
          <w:tcPr>
            <w:tcW w:w="260" w:type="dxa"/>
            <w:vAlign w:val="bottom"/>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(3,486 )</w:t>
            </w: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(8,853</w:t>
            </w:r>
          </w:p>
        </w:tc>
        <w:tc>
          <w:tcPr>
            <w:tcW w:w="24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1,314</w:t>
            </w:r>
          </w:p>
        </w:tc>
        <w:tc>
          <w:tcPr>
            <w:tcW w:w="100" w:type="dxa"/>
            <w:vAlign w:val="bottom"/>
            <w:shd w:val="clear" w:color="auto" w:fill="CFF0FC"/>
          </w:tcPr>
          <w:p>
            <w:pPr>
              <w:spacing w:after="0"/>
              <w:rPr>
                <w:sz w:val="18"/>
                <w:szCs w:val="18"/>
                <w:color w:val="auto"/>
              </w:rPr>
            </w:pPr>
          </w:p>
        </w:tc>
      </w:tr>
      <w:tr>
        <w:trPr>
          <w:trHeight w:val="124"/>
        </w:trPr>
        <w:tc>
          <w:tcPr>
            <w:tcW w:w="7000" w:type="dxa"/>
            <w:vAlign w:val="bottom"/>
            <w:tcBorders>
              <w:top w:val="single" w:sz="8" w:color="CFF0FC"/>
            </w:tcBorders>
          </w:tcPr>
          <w:p>
            <w:pPr>
              <w:ind w:left="20"/>
              <w:spacing w:after="0" w:line="124" w:lineRule="exact"/>
              <w:rPr>
                <w:sz w:val="20"/>
                <w:szCs w:val="20"/>
                <w:color w:val="auto"/>
              </w:rPr>
            </w:pPr>
            <w:r>
              <w:rPr>
                <w:rFonts w:ascii="Arial" w:cs="Arial" w:eastAsia="Arial" w:hAnsi="Arial"/>
                <w:sz w:val="14"/>
                <w:szCs w:val="14"/>
                <w:color w:val="auto"/>
              </w:rPr>
              <w:t>NET (DECREASE) INCREASE IN NET ASSETS PER SHARE RESULTING</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81"/>
        </w:trPr>
        <w:tc>
          <w:tcPr>
            <w:tcW w:w="7000" w:type="dxa"/>
            <w:vAlign w:val="bottom"/>
          </w:tcPr>
          <w:p>
            <w:pPr>
              <w:ind w:left="120"/>
              <w:spacing w:after="0"/>
              <w:rPr>
                <w:sz w:val="20"/>
                <w:szCs w:val="20"/>
                <w:color w:val="auto"/>
              </w:rPr>
            </w:pPr>
            <w:r>
              <w:rPr>
                <w:rFonts w:ascii="Arial" w:cs="Arial" w:eastAsia="Arial" w:hAnsi="Arial"/>
                <w:sz w:val="14"/>
                <w:szCs w:val="14"/>
                <w:color w:val="auto"/>
              </w:rPr>
              <w:t>FROM OPERATIONS – BASIC &amp; DILUTED (SEE NOTE 10)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8"/>
              <w:spacing w:after="0"/>
              <w:rPr>
                <w:sz w:val="20"/>
                <w:szCs w:val="20"/>
                <w:color w:val="auto"/>
              </w:rPr>
            </w:pPr>
            <w:r>
              <w:rPr>
                <w:rFonts w:ascii="Arial" w:cs="Arial" w:eastAsia="Arial" w:hAnsi="Arial"/>
                <w:sz w:val="14"/>
                <w:szCs w:val="14"/>
                <w:color w:val="auto"/>
              </w:rPr>
              <w:t>(1.09 )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8"/>
              <w:spacing w:after="0"/>
              <w:rPr>
                <w:sz w:val="20"/>
                <w:szCs w:val="20"/>
                <w:color w:val="auto"/>
              </w:rPr>
            </w:pPr>
            <w:r>
              <w:rPr>
                <w:rFonts w:ascii="Arial" w:cs="Arial" w:eastAsia="Arial" w:hAnsi="Arial"/>
                <w:sz w:val="14"/>
                <w:szCs w:val="14"/>
                <w:color w:val="auto"/>
              </w:rPr>
              <w:t>(1.29 )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(3.27 )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5"/>
                <w:szCs w:val="15"/>
                <w:color w:val="auto"/>
              </w:rPr>
            </w:pPr>
          </w:p>
        </w:tc>
      </w:tr>
      <w:tr>
        <w:trPr>
          <w:trHeight w:val="143"/>
        </w:trPr>
        <w:tc>
          <w:tcPr>
            <w:tcW w:w="70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WEIGHTED AVERAGE COMMON STOCK OUTSTANDING</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0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 BASIC &amp; DILUTED (SEE NOTE 10)</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2,711,068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2,711,068</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100" w:type="dxa"/>
            <w:vAlign w:val="bottom"/>
            <w:shd w:val="clear" w:color="auto" w:fill="CFF0FC"/>
          </w:tcPr>
          <w:p>
            <w:pPr>
              <w:spacing w:after="0"/>
              <w:rPr>
                <w:sz w:val="15"/>
                <w:szCs w:val="15"/>
                <w:color w:val="auto"/>
              </w:rPr>
            </w:pPr>
          </w:p>
        </w:tc>
      </w:tr>
      <w:tr>
        <w:trPr>
          <w:trHeight w:val="182"/>
        </w:trPr>
        <w:tc>
          <w:tcPr>
            <w:tcW w:w="7000" w:type="dxa"/>
            <w:vAlign w:val="bottom"/>
          </w:tcPr>
          <w:p>
            <w:pPr>
              <w:ind w:left="20"/>
              <w:spacing w:after="0"/>
              <w:rPr>
                <w:sz w:val="20"/>
                <w:szCs w:val="20"/>
                <w:color w:val="auto"/>
              </w:rPr>
            </w:pPr>
            <w:r>
              <w:rPr>
                <w:rFonts w:ascii="Arial" w:cs="Arial" w:eastAsia="Arial" w:hAnsi="Arial"/>
                <w:sz w:val="14"/>
                <w:szCs w:val="14"/>
                <w:color w:val="auto"/>
              </w:rPr>
              <w:t>DISTRIBUTIONS PAID PER SHARE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-4718685</wp:posOffset>
            </wp:positionV>
            <wp:extent cx="7683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-4718685</wp:posOffset>
            </wp:positionV>
            <wp:extent cx="6858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-4718685</wp:posOffset>
            </wp:positionV>
            <wp:extent cx="6858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-4718685</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-4255770</wp:posOffset>
            </wp:positionV>
            <wp:extent cx="7683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-4255770</wp:posOffset>
            </wp:positionV>
            <wp:extent cx="685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-4255770</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-4255770</wp:posOffset>
            </wp:positionV>
            <wp:extent cx="685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-3792855</wp:posOffset>
            </wp:positionV>
            <wp:extent cx="7683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-3792855</wp:posOffset>
            </wp:positionV>
            <wp:extent cx="6858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-3792855</wp:posOffset>
            </wp:positionV>
            <wp:extent cx="6858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-3792855</wp:posOffset>
            </wp:positionV>
            <wp:extent cx="68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-3329940</wp:posOffset>
            </wp:positionV>
            <wp:extent cx="7683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-3329940</wp:posOffset>
            </wp:positionV>
            <wp:extent cx="68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-3329940</wp:posOffset>
            </wp:positionV>
            <wp:extent cx="68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-3329940</wp:posOffset>
            </wp:positionV>
            <wp:extent cx="6858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-3089910</wp:posOffset>
            </wp:positionV>
            <wp:extent cx="7683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-3089910</wp:posOffset>
            </wp:positionV>
            <wp:extent cx="68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-3089910</wp:posOffset>
            </wp:positionV>
            <wp:extent cx="6858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-3089910</wp:posOffset>
            </wp:positionV>
            <wp:extent cx="6858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-2412365</wp:posOffset>
            </wp:positionV>
            <wp:extent cx="7683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-2412365</wp:posOffset>
            </wp:positionV>
            <wp:extent cx="6858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-2412365</wp:posOffset>
            </wp:positionV>
            <wp:extent cx="6858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-2412365</wp:posOffset>
            </wp:positionV>
            <wp:extent cx="6858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-2172335</wp:posOffset>
            </wp:positionV>
            <wp:extent cx="7683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-2172335</wp:posOffset>
            </wp:positionV>
            <wp:extent cx="6858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-2172335</wp:posOffset>
            </wp:positionV>
            <wp:extent cx="6858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-2172335</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-1040765</wp:posOffset>
            </wp:positionV>
            <wp:extent cx="7683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-1040765</wp:posOffset>
            </wp:positionV>
            <wp:extent cx="6858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-1040765</wp:posOffset>
            </wp:positionV>
            <wp:extent cx="6858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-1040765</wp:posOffset>
            </wp:positionV>
            <wp:extent cx="6858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-800735</wp:posOffset>
            </wp:positionV>
            <wp:extent cx="7683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-800735</wp:posOffset>
            </wp:positionV>
            <wp:extent cx="6858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-805180</wp:posOffset>
            </wp:positionV>
            <wp:extent cx="79692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96925" cy="15430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-552450</wp:posOffset>
            </wp:positionV>
            <wp:extent cx="2160270"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0270" cy="23177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1"/>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08"/>
              <w:spacing w:after="0" w:line="141" w:lineRule="exact"/>
              <w:rPr>
                <w:sz w:val="20"/>
                <w:szCs w:val="20"/>
                <w:color w:val="auto"/>
              </w:rPr>
            </w:pPr>
            <w:r>
              <w:rPr>
                <w:rFonts w:ascii="Arial" w:cs="Arial" w:eastAsia="Arial" w:hAnsi="Arial"/>
                <w:sz w:val="14"/>
                <w:szCs w:val="14"/>
                <w:b w:val="1"/>
                <w:bCs w:val="1"/>
                <w:color w:val="auto"/>
                <w:w w:val="95"/>
              </w:rPr>
              <w:t>Paid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8"/>
              <w:spacing w:after="0" w:line="141" w:lineRule="exact"/>
              <w:rPr>
                <w:sz w:val="20"/>
                <w:szCs w:val="20"/>
                <w:color w:val="auto"/>
              </w:rPr>
            </w:pPr>
            <w:r>
              <w:rPr>
                <w:rFonts w:ascii="Arial" w:cs="Arial" w:eastAsia="Arial" w:hAnsi="Arial"/>
                <w:sz w:val="14"/>
                <w:szCs w:val="14"/>
                <w:b w:val="1"/>
                <w:bCs w:val="1"/>
                <w:color w:val="auto"/>
                <w:w w:val="95"/>
              </w:rPr>
              <w:t>Distributable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7"/>
        </w:trPr>
        <w:tc>
          <w:tcPr>
            <w:tcW w:w="20" w:type="dxa"/>
            <w:vAlign w:val="bottom"/>
          </w:tcPr>
          <w:p>
            <w:pPr>
              <w:spacing w:after="0"/>
              <w:rPr>
                <w:sz w:val="17"/>
                <w:szCs w:val="17"/>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 September 30, 2022 and 2021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08"/>
              <w:spacing w:after="0" w:line="191" w:lineRule="exact"/>
              <w:rPr>
                <w:sz w:val="20"/>
                <w:szCs w:val="20"/>
                <w:color w:val="auto"/>
              </w:rPr>
            </w:pPr>
            <w:r>
              <w:rPr>
                <w:rFonts w:ascii="Arial" w:cs="Arial" w:eastAsia="Arial" w:hAnsi="Arial"/>
                <w:sz w:val="14"/>
                <w:szCs w:val="14"/>
                <w:b w:val="1"/>
                <w:bCs w:val="1"/>
                <w:color w:val="auto"/>
                <w:w w:val="90"/>
              </w:rPr>
              <w:t xml:space="preserve">Capital </w:t>
            </w:r>
            <w:r>
              <w:rPr>
                <w:rFonts w:ascii="Arial" w:cs="Arial" w:eastAsia="Arial" w:hAnsi="Arial"/>
                <w:sz w:val="19"/>
                <w:szCs w:val="19"/>
                <w:b w:val="1"/>
                <w:bCs w:val="1"/>
                <w:color w:val="auto"/>
                <w:w w:val="90"/>
                <w:vertAlign w:val="superscript"/>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7"/>
                <w:szCs w:val="17"/>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76"/>
        </w:trPr>
        <w:tc>
          <w:tcPr>
            <w:tcW w:w="20" w:type="dxa"/>
            <w:vAlign w:val="bottom"/>
            <w:shd w:val="clear" w:color="auto" w:fill="CFF0FC"/>
          </w:tcPr>
          <w:p>
            <w:pPr>
              <w:spacing w:after="0"/>
              <w:rPr>
                <w:sz w:val="15"/>
                <w:szCs w:val="15"/>
                <w:color w:val="auto"/>
              </w:rPr>
            </w:pPr>
          </w:p>
        </w:tc>
        <w:tc>
          <w:tcPr>
            <w:tcW w:w="36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4"/>
                <w:szCs w:val="14"/>
                <w:color w:val="auto"/>
              </w:rPr>
              <w:t>BALANCE, June 30, 2022</w:t>
            </w:r>
          </w:p>
        </w:tc>
        <w:tc>
          <w:tcPr>
            <w:tcW w:w="126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(87,736</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101,137</w:t>
            </w:r>
          </w:p>
        </w:tc>
        <w:tc>
          <w:tcPr>
            <w:tcW w:w="10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80" w:type="dxa"/>
            <w:vAlign w:val="bottom"/>
            <w:gridSpan w:val="3"/>
          </w:tcPr>
          <w:p>
            <w:pPr>
              <w:ind w:left="100"/>
              <w:spacing w:after="0"/>
              <w:rPr>
                <w:sz w:val="20"/>
                <w:szCs w:val="20"/>
                <w:color w:val="auto"/>
              </w:rPr>
            </w:pPr>
            <w:r>
              <w:rPr>
                <w:rFonts w:ascii="Arial" w:cs="Arial" w:eastAsia="Arial" w:hAnsi="Arial"/>
                <w:sz w:val="14"/>
                <w:szCs w:val="14"/>
                <w:color w:val="auto"/>
              </w:rPr>
              <w:t>Net investment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8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Net realized loss on 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(5,192 )</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(5,192 )</w:t>
            </w:r>
          </w:p>
        </w:tc>
      </w:tr>
      <w:tr>
        <w:trPr>
          <w:trHeight w:val="176"/>
        </w:trPr>
        <w:tc>
          <w:tcPr>
            <w:tcW w:w="20" w:type="dxa"/>
            <w:vAlign w:val="bottom"/>
            <w:tcBorders>
              <w:bottom w:val="single" w:sz="8" w:color="CFF0FC"/>
            </w:tcBorders>
          </w:tcPr>
          <w:p>
            <w:pPr>
              <w:spacing w:after="0"/>
              <w:rPr>
                <w:sz w:val="15"/>
                <w:szCs w:val="15"/>
                <w:color w:val="auto"/>
              </w:rPr>
            </w:pPr>
          </w:p>
        </w:tc>
        <w:tc>
          <w:tcPr>
            <w:tcW w:w="4880" w:type="dxa"/>
            <w:vAlign w:val="bottom"/>
            <w:tcBorders>
              <w:bottom w:val="single" w:sz="8" w:color="CFF0FC"/>
            </w:tcBorders>
            <w:gridSpan w:val="3"/>
          </w:tcPr>
          <w:p>
            <w:pPr>
              <w:ind w:left="100"/>
              <w:spacing w:after="0"/>
              <w:rPr>
                <w:sz w:val="20"/>
                <w:szCs w:val="20"/>
                <w:color w:val="auto"/>
              </w:rPr>
            </w:pPr>
            <w:r>
              <w:rPr>
                <w:rFonts w:ascii="Arial" w:cs="Arial" w:eastAsia="Arial" w:hAnsi="Arial"/>
                <w:sz w:val="14"/>
                <w:szCs w:val="14"/>
                <w:color w:val="auto"/>
              </w:rPr>
              <w:t>Net change in unrealized appreciation on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Borders>
              <w:bottom w:val="single" w:sz="8" w:color="CFF0FC"/>
            </w:tcBorders>
          </w:tcPr>
          <w:p>
            <w:pPr>
              <w:spacing w:after="0"/>
              <w:rPr>
                <w:sz w:val="15"/>
                <w:szCs w:val="15"/>
                <w:color w:val="auto"/>
              </w:rPr>
            </w:pPr>
          </w:p>
        </w:tc>
      </w:tr>
      <w:tr>
        <w:trPr>
          <w:trHeight w:val="209"/>
        </w:trPr>
        <w:tc>
          <w:tcPr>
            <w:tcW w:w="490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4"/>
                <w:szCs w:val="14"/>
                <w:color w:val="auto"/>
              </w:rPr>
              <w:t>BALANCE, September 30, 2022</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(90,697</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331"/>
        </w:trPr>
        <w:tc>
          <w:tcPr>
            <w:tcW w:w="4900" w:type="dxa"/>
            <w:vAlign w:val="bottom"/>
            <w:gridSpan w:val="4"/>
          </w:tcPr>
          <w:p>
            <w:pPr>
              <w:ind w:left="20"/>
              <w:spacing w:after="0"/>
              <w:rPr>
                <w:sz w:val="20"/>
                <w:szCs w:val="20"/>
                <w:color w:val="auto"/>
              </w:rPr>
            </w:pPr>
            <w:r>
              <w:rPr>
                <w:rFonts w:ascii="Arial" w:cs="Arial" w:eastAsia="Arial" w:hAnsi="Arial"/>
                <w:sz w:val="14"/>
                <w:szCs w:val="14"/>
                <w:color w:val="auto"/>
              </w:rPr>
              <w:t>BALANCE, June 30, 2021</w:t>
            </w:r>
          </w:p>
        </w:tc>
        <w:tc>
          <w:tcPr>
            <w:tcW w:w="1040" w:type="dxa"/>
            <w:vAlign w:val="bottom"/>
          </w:tcPr>
          <w:p>
            <w:pPr>
              <w:jc w:val="right"/>
              <w:spacing w:after="0"/>
              <w:rPr>
                <w:sz w:val="20"/>
                <w:szCs w:val="20"/>
                <w:color w:val="auto"/>
              </w:rPr>
            </w:pPr>
            <w:r>
              <w:rPr>
                <w:rFonts w:ascii="Arial" w:cs="Arial" w:eastAsia="Arial" w:hAnsi="Arial"/>
                <w:sz w:val="14"/>
                <w:szCs w:val="14"/>
                <w:color w:val="auto"/>
              </w:rPr>
              <w:t>2,711,068</w:t>
            </w:r>
          </w:p>
        </w:tc>
        <w:tc>
          <w:tcPr>
            <w:tcW w:w="108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27</w:t>
            </w:r>
          </w:p>
        </w:tc>
        <w:tc>
          <w:tcPr>
            <w:tcW w:w="3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229,481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(115,761 )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113,747</w:t>
            </w:r>
          </w:p>
        </w:tc>
        <w:tc>
          <w:tcPr>
            <w:tcW w:w="100" w:type="dxa"/>
            <w:vAlign w:val="bottom"/>
          </w:tcPr>
          <w:p>
            <w:pPr>
              <w:spacing w:after="0"/>
              <w:rPr>
                <w:sz w:val="24"/>
                <w:szCs w:val="24"/>
                <w:color w:val="auto"/>
              </w:rPr>
            </w:pPr>
          </w:p>
        </w:tc>
      </w:tr>
      <w:tr>
        <w:trPr>
          <w:trHeight w:val="176"/>
        </w:trPr>
        <w:tc>
          <w:tcPr>
            <w:tcW w:w="20" w:type="dxa"/>
            <w:vAlign w:val="bottom"/>
            <w:shd w:val="clear" w:color="auto" w:fill="CFF0FC"/>
          </w:tcPr>
          <w:p>
            <w:pPr>
              <w:spacing w:after="0"/>
              <w:rPr>
                <w:sz w:val="15"/>
                <w:szCs w:val="15"/>
                <w:color w:val="auto"/>
              </w:rPr>
            </w:pPr>
          </w:p>
        </w:tc>
        <w:tc>
          <w:tcPr>
            <w:tcW w:w="48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Net investment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(1,510 )</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(1,510 )</w:t>
            </w:r>
          </w:p>
        </w:tc>
      </w:tr>
      <w:tr>
        <w:trPr>
          <w:trHeight w:val="176"/>
        </w:trPr>
        <w:tc>
          <w:tcPr>
            <w:tcW w:w="20" w:type="dxa"/>
            <w:vAlign w:val="bottom"/>
          </w:tcPr>
          <w:p>
            <w:pPr>
              <w:spacing w:after="0"/>
              <w:rPr>
                <w:sz w:val="15"/>
                <w:szCs w:val="15"/>
                <w:color w:val="auto"/>
              </w:rPr>
            </w:pPr>
          </w:p>
        </w:tc>
        <w:tc>
          <w:tcPr>
            <w:tcW w:w="4880" w:type="dxa"/>
            <w:vAlign w:val="bottom"/>
            <w:gridSpan w:val="3"/>
          </w:tcPr>
          <w:p>
            <w:pPr>
              <w:ind w:left="100"/>
              <w:spacing w:after="0"/>
              <w:rPr>
                <w:sz w:val="20"/>
                <w:szCs w:val="20"/>
                <w:color w:val="auto"/>
              </w:rPr>
            </w:pPr>
            <w:r>
              <w:rPr>
                <w:rFonts w:ascii="Arial" w:cs="Arial" w:eastAsia="Arial" w:hAnsi="Arial"/>
                <w:sz w:val="14"/>
                <w:szCs w:val="14"/>
                <w:color w:val="auto"/>
              </w:rPr>
              <w:t>Net realized gain on investments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7,425</w:t>
            </w:r>
          </w:p>
        </w:tc>
        <w:tc>
          <w:tcPr>
            <w:tcW w:w="100" w:type="dxa"/>
            <w:vAlign w:val="bottom"/>
          </w:tcPr>
          <w:p>
            <w:pPr>
              <w:spacing w:after="0"/>
              <w:rPr>
                <w:sz w:val="15"/>
                <w:szCs w:val="15"/>
                <w:color w:val="auto"/>
              </w:rPr>
            </w:pPr>
          </w:p>
        </w:tc>
      </w:tr>
      <w:tr>
        <w:trPr>
          <w:trHeight w:val="175"/>
        </w:trPr>
        <w:tc>
          <w:tcPr>
            <w:tcW w:w="20" w:type="dxa"/>
            <w:vAlign w:val="bottom"/>
            <w:shd w:val="clear" w:color="auto" w:fill="CFF0FC"/>
          </w:tcPr>
          <w:p>
            <w:pPr>
              <w:spacing w:after="0"/>
              <w:rPr>
                <w:sz w:val="15"/>
                <w:szCs w:val="15"/>
                <w:color w:val="auto"/>
              </w:rPr>
            </w:pPr>
          </w:p>
        </w:tc>
        <w:tc>
          <w:tcPr>
            <w:tcW w:w="48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Net change in unrealized depreciation on 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(9,401 )</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(9,401 )</w:t>
            </w:r>
          </w:p>
        </w:tc>
      </w:tr>
      <w:tr>
        <w:trPr>
          <w:trHeight w:val="169"/>
        </w:trPr>
        <w:tc>
          <w:tcPr>
            <w:tcW w:w="4900" w:type="dxa"/>
            <w:vAlign w:val="bottom"/>
            <w:gridSpan w:val="4"/>
          </w:tcPr>
          <w:p>
            <w:pPr>
              <w:ind w:left="20"/>
              <w:spacing w:after="0"/>
              <w:rPr>
                <w:sz w:val="20"/>
                <w:szCs w:val="20"/>
                <w:color w:val="auto"/>
              </w:rPr>
            </w:pPr>
            <w:r>
              <w:rPr>
                <w:rFonts w:ascii="Arial" w:cs="Arial" w:eastAsia="Arial" w:hAnsi="Arial"/>
                <w:sz w:val="14"/>
                <w:szCs w:val="14"/>
                <w:color w:val="auto"/>
              </w:rPr>
              <w:t>BALANCE, 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229,481</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(119,247</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110,261</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2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1"/>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08"/>
              <w:spacing w:after="0" w:line="141" w:lineRule="exact"/>
              <w:rPr>
                <w:sz w:val="20"/>
                <w:szCs w:val="20"/>
                <w:color w:val="auto"/>
              </w:rPr>
            </w:pPr>
            <w:r>
              <w:rPr>
                <w:rFonts w:ascii="Arial" w:cs="Arial" w:eastAsia="Arial" w:hAnsi="Arial"/>
                <w:sz w:val="14"/>
                <w:szCs w:val="14"/>
                <w:b w:val="1"/>
                <w:bCs w:val="1"/>
                <w:color w:val="auto"/>
                <w:w w:val="95"/>
              </w:rPr>
              <w:t>Paid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8"/>
              <w:spacing w:after="0" w:line="141" w:lineRule="exact"/>
              <w:rPr>
                <w:sz w:val="20"/>
                <w:szCs w:val="20"/>
                <w:color w:val="auto"/>
              </w:rPr>
            </w:pPr>
            <w:r>
              <w:rPr>
                <w:rFonts w:ascii="Arial" w:cs="Arial" w:eastAsia="Arial" w:hAnsi="Arial"/>
                <w:sz w:val="14"/>
                <w:szCs w:val="14"/>
                <w:b w:val="1"/>
                <w:bCs w:val="1"/>
                <w:color w:val="auto"/>
                <w:w w:val="95"/>
              </w:rPr>
              <w:t>Distributable</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7"/>
        </w:trPr>
        <w:tc>
          <w:tcPr>
            <w:tcW w:w="20" w:type="dxa"/>
            <w:vAlign w:val="bottom"/>
          </w:tcPr>
          <w:p>
            <w:pPr>
              <w:spacing w:after="0"/>
              <w:rPr>
                <w:sz w:val="17"/>
                <w:szCs w:val="17"/>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For the Nine Months Ended September 30, 2022 and 2021</w:t>
            </w:r>
          </w:p>
        </w:tc>
        <w:tc>
          <w:tcPr>
            <w:tcW w:w="1320" w:type="dxa"/>
            <w:vAlign w:val="bottom"/>
            <w:gridSpan w:val="2"/>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8"/>
              <w:spacing w:after="0" w:line="191" w:lineRule="exact"/>
              <w:rPr>
                <w:sz w:val="20"/>
                <w:szCs w:val="20"/>
                <w:color w:val="auto"/>
              </w:rPr>
            </w:pPr>
            <w:r>
              <w:rPr>
                <w:rFonts w:ascii="Arial" w:cs="Arial" w:eastAsia="Arial" w:hAnsi="Arial"/>
                <w:sz w:val="14"/>
                <w:szCs w:val="14"/>
                <w:b w:val="1"/>
                <w:bCs w:val="1"/>
                <w:color w:val="auto"/>
                <w:w w:val="90"/>
              </w:rPr>
              <w:t xml:space="preserve">Capital </w:t>
            </w:r>
            <w:r>
              <w:rPr>
                <w:rFonts w:ascii="Arial" w:cs="Arial" w:eastAsia="Arial" w:hAnsi="Arial"/>
                <w:sz w:val="19"/>
                <w:szCs w:val="19"/>
                <w:b w:val="1"/>
                <w:bCs w:val="1"/>
                <w:color w:val="auto"/>
                <w:w w:val="90"/>
                <w:vertAlign w:val="superscript"/>
              </w:rPr>
              <w:t>(1)</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175"/>
        </w:trPr>
        <w:tc>
          <w:tcPr>
            <w:tcW w:w="49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BALANCE, December 31, 2021</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(81,844</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107,029</w:t>
            </w:r>
          </w:p>
        </w:tc>
        <w:tc>
          <w:tcPr>
            <w:tcW w:w="10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80" w:type="dxa"/>
            <w:vAlign w:val="bottom"/>
            <w:gridSpan w:val="3"/>
          </w:tcPr>
          <w:p>
            <w:pPr>
              <w:ind w:left="100"/>
              <w:spacing w:after="0"/>
              <w:rPr>
                <w:sz w:val="20"/>
                <w:szCs w:val="20"/>
                <w:color w:val="auto"/>
              </w:rPr>
            </w:pPr>
            <w:r>
              <w:rPr>
                <w:rFonts w:ascii="Arial" w:cs="Arial" w:eastAsia="Arial" w:hAnsi="Arial"/>
                <w:sz w:val="14"/>
                <w:szCs w:val="14"/>
                <w:color w:val="auto"/>
              </w:rPr>
              <w:t>Net investment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(1,797 )</w:t>
            </w: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(1,797 )</w:t>
            </w:r>
          </w:p>
        </w:tc>
      </w:tr>
      <w:tr>
        <w:trPr>
          <w:trHeight w:val="175"/>
        </w:trPr>
        <w:tc>
          <w:tcPr>
            <w:tcW w:w="20" w:type="dxa"/>
            <w:vAlign w:val="bottom"/>
            <w:shd w:val="clear" w:color="auto" w:fill="CFF0FC"/>
          </w:tcPr>
          <w:p>
            <w:pPr>
              <w:spacing w:after="0"/>
              <w:rPr>
                <w:sz w:val="15"/>
                <w:szCs w:val="15"/>
                <w:color w:val="auto"/>
              </w:rPr>
            </w:pPr>
          </w:p>
        </w:tc>
        <w:tc>
          <w:tcPr>
            <w:tcW w:w="48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Net realized gain on 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10,274</w:t>
            </w:r>
          </w:p>
        </w:tc>
        <w:tc>
          <w:tcPr>
            <w:tcW w:w="10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80" w:type="dxa"/>
            <w:vAlign w:val="bottom"/>
            <w:gridSpan w:val="3"/>
          </w:tcPr>
          <w:p>
            <w:pPr>
              <w:ind w:left="100"/>
              <w:spacing w:after="0"/>
              <w:rPr>
                <w:sz w:val="20"/>
                <w:szCs w:val="20"/>
                <w:color w:val="auto"/>
              </w:rPr>
            </w:pPr>
            <w:r>
              <w:rPr>
                <w:rFonts w:ascii="Arial" w:cs="Arial" w:eastAsia="Arial" w:hAnsi="Arial"/>
                <w:sz w:val="14"/>
                <w:szCs w:val="14"/>
                <w:color w:val="auto"/>
              </w:rPr>
              <w:t>Net change in unrealized depreciation on investments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(17,330 )</w:t>
            </w: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(17,330 )</w:t>
            </w:r>
          </w:p>
        </w:tc>
      </w:tr>
      <w:tr>
        <w:trPr>
          <w:trHeight w:val="209"/>
        </w:trPr>
        <w:tc>
          <w:tcPr>
            <w:tcW w:w="4900" w:type="dxa"/>
            <w:vAlign w:val="bottom"/>
            <w:tcBorders>
              <w:top w:val="single" w:sz="8" w:color="CFF0FC"/>
              <w:bottom w:val="single" w:sz="8" w:color="CFF0FC"/>
            </w:tcBorders>
            <w:gridSpan w:val="4"/>
            <w:shd w:val="clear" w:color="auto" w:fill="CFF0FC"/>
          </w:tcPr>
          <w:p>
            <w:pPr>
              <w:ind w:left="20"/>
              <w:spacing w:after="0"/>
              <w:rPr>
                <w:sz w:val="20"/>
                <w:szCs w:val="20"/>
                <w:color w:val="auto"/>
              </w:rPr>
            </w:pPr>
            <w:r>
              <w:rPr>
                <w:rFonts w:ascii="Arial" w:cs="Arial" w:eastAsia="Arial" w:hAnsi="Arial"/>
                <w:sz w:val="14"/>
                <w:szCs w:val="14"/>
                <w:color w:val="auto"/>
              </w:rPr>
              <w:t>BALANCE, September 30,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188,846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(90,697</w:t>
            </w:r>
          </w:p>
        </w:tc>
        <w:tc>
          <w:tcPr>
            <w:tcW w:w="220" w:type="dxa"/>
            <w:vAlign w:val="bottom"/>
            <w:tcBorders>
              <w:top w:val="single" w:sz="8" w:color="CFF0FC"/>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98,176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2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90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BALANCE, December 31,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108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229,481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(120,561 )</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108,947</w:t>
            </w:r>
          </w:p>
        </w:tc>
        <w:tc>
          <w:tcPr>
            <w:tcW w:w="10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4880" w:type="dxa"/>
            <w:vAlign w:val="bottom"/>
            <w:gridSpan w:val="3"/>
          </w:tcPr>
          <w:p>
            <w:pPr>
              <w:ind w:left="100"/>
              <w:spacing w:after="0"/>
              <w:rPr>
                <w:sz w:val="20"/>
                <w:szCs w:val="20"/>
                <w:color w:val="auto"/>
              </w:rPr>
            </w:pPr>
            <w:r>
              <w:rPr>
                <w:rFonts w:ascii="Arial" w:cs="Arial" w:eastAsia="Arial" w:hAnsi="Arial"/>
                <w:sz w:val="14"/>
                <w:szCs w:val="14"/>
                <w:color w:val="auto"/>
              </w:rPr>
              <w:t>Net investment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4"/>
                <w:szCs w:val="14"/>
                <w:color w:val="auto"/>
              </w:rPr>
              <w:t>(2,259 )</w:t>
            </w: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(2,259 )</w:t>
            </w:r>
          </w:p>
        </w:tc>
      </w:tr>
      <w:tr>
        <w:trPr>
          <w:trHeight w:val="176"/>
        </w:trPr>
        <w:tc>
          <w:tcPr>
            <w:tcW w:w="20" w:type="dxa"/>
            <w:vAlign w:val="bottom"/>
            <w:shd w:val="clear" w:color="auto" w:fill="CFF0FC"/>
          </w:tcPr>
          <w:p>
            <w:pPr>
              <w:spacing w:after="0"/>
              <w:rPr>
                <w:sz w:val="15"/>
                <w:szCs w:val="15"/>
                <w:color w:val="auto"/>
              </w:rPr>
            </w:pPr>
          </w:p>
        </w:tc>
        <w:tc>
          <w:tcPr>
            <w:tcW w:w="48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Net realized gain on investments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4880" w:type="dxa"/>
            <w:vAlign w:val="bottom"/>
            <w:gridSpan w:val="3"/>
          </w:tcPr>
          <w:p>
            <w:pPr>
              <w:ind w:left="100"/>
              <w:spacing w:after="0"/>
              <w:rPr>
                <w:sz w:val="20"/>
                <w:szCs w:val="20"/>
                <w:color w:val="auto"/>
              </w:rPr>
            </w:pPr>
            <w:r>
              <w:rPr>
                <w:rFonts w:ascii="Arial" w:cs="Arial" w:eastAsia="Arial" w:hAnsi="Arial"/>
                <w:sz w:val="14"/>
                <w:szCs w:val="14"/>
                <w:color w:val="auto"/>
              </w:rPr>
              <w:t>Net change in unrealized appreciation on investments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4,039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4,039</w:t>
            </w:r>
          </w:p>
        </w:tc>
        <w:tc>
          <w:tcPr>
            <w:tcW w:w="100" w:type="dxa"/>
            <w:vAlign w:val="bottom"/>
          </w:tcPr>
          <w:p>
            <w:pPr>
              <w:spacing w:after="0"/>
              <w:rPr>
                <w:sz w:val="15"/>
                <w:szCs w:val="15"/>
                <w:color w:val="auto"/>
              </w:rPr>
            </w:pPr>
          </w:p>
        </w:tc>
      </w:tr>
      <w:tr>
        <w:trPr>
          <w:trHeight w:val="176"/>
        </w:trPr>
        <w:tc>
          <w:tcPr>
            <w:tcW w:w="20" w:type="dxa"/>
            <w:vAlign w:val="bottom"/>
            <w:shd w:val="clear" w:color="auto" w:fill="CFF0FC"/>
          </w:tcPr>
          <w:p>
            <w:pPr>
              <w:spacing w:after="0"/>
              <w:rPr>
                <w:sz w:val="15"/>
                <w:szCs w:val="15"/>
                <w:color w:val="auto"/>
              </w:rPr>
            </w:pPr>
          </w:p>
        </w:tc>
        <w:tc>
          <w:tcPr>
            <w:tcW w:w="4880" w:type="dxa"/>
            <w:vAlign w:val="bottom"/>
            <w:gridSpan w:val="3"/>
            <w:shd w:val="clear" w:color="auto" w:fill="CFF0FC"/>
          </w:tcPr>
          <w:p>
            <w:pPr>
              <w:ind w:left="100"/>
              <w:spacing w:after="0"/>
              <w:rPr>
                <w:sz w:val="20"/>
                <w:szCs w:val="20"/>
                <w:color w:val="auto"/>
              </w:rPr>
            </w:pPr>
            <w:r>
              <w:rPr>
                <w:rFonts w:ascii="Arial" w:cs="Arial" w:eastAsia="Arial" w:hAnsi="Arial"/>
                <w:sz w:val="14"/>
                <w:szCs w:val="14"/>
                <w:color w:val="auto"/>
              </w:rPr>
              <w:t>Net realized loss on extinguishment of debt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(815 )</w:t>
            </w:r>
          </w:p>
        </w:tc>
        <w:tc>
          <w:tcPr>
            <w:tcW w:w="2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(815 )</w:t>
            </w:r>
          </w:p>
        </w:tc>
      </w:tr>
      <w:tr>
        <w:trPr>
          <w:trHeight w:val="169"/>
        </w:trPr>
        <w:tc>
          <w:tcPr>
            <w:tcW w:w="4900" w:type="dxa"/>
            <w:vAlign w:val="bottom"/>
            <w:gridSpan w:val="4"/>
          </w:tcPr>
          <w:p>
            <w:pPr>
              <w:ind w:left="20"/>
              <w:spacing w:after="0"/>
              <w:rPr>
                <w:sz w:val="20"/>
                <w:szCs w:val="20"/>
                <w:color w:val="auto"/>
              </w:rPr>
            </w:pPr>
            <w:r>
              <w:rPr>
                <w:rFonts w:ascii="Arial" w:cs="Arial" w:eastAsia="Arial" w:hAnsi="Arial"/>
                <w:sz w:val="14"/>
                <w:szCs w:val="14"/>
                <w:color w:val="auto"/>
              </w:rPr>
              <w:t>BALANCE, 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229,481</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(119,247</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110,261</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-2733675</wp:posOffset>
            </wp:positionV>
            <wp:extent cx="3360420" cy="368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0420" cy="36830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-959485</wp:posOffset>
            </wp:positionV>
            <wp:extent cx="336042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0420" cy="25717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7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For the Nine Months Ended 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700" w:type="dxa"/>
            <w:vAlign w:val="bottom"/>
          </w:tcPr>
          <w:p>
            <w:pPr>
              <w:spacing w:after="0"/>
              <w:rPr>
                <w:sz w:val="14"/>
                <w:szCs w:val="14"/>
                <w:color w:val="auto"/>
              </w:rPr>
            </w:pP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700" w:type="dxa"/>
            <w:vAlign w:val="bottom"/>
          </w:tcPr>
          <w:p>
            <w:pPr>
              <w:ind w:left="120"/>
              <w:spacing w:after="0"/>
              <w:rPr>
                <w:sz w:val="20"/>
                <w:szCs w:val="20"/>
                <w:color w:val="auto"/>
              </w:rPr>
            </w:pPr>
            <w:r>
              <w:rPr>
                <w:rFonts w:ascii="Arial" w:cs="Arial" w:eastAsia="Arial" w:hAnsi="Arial"/>
                <w:sz w:val="14"/>
                <w:szCs w:val="14"/>
                <w:color w:val="auto"/>
              </w:rPr>
              <w:t>Net (decrease) increase in net assets resulting from operations</w:t>
            </w: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(8,853 )</w:t>
            </w: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5"/>
                <w:szCs w:val="15"/>
                <w:color w:val="auto"/>
              </w:rPr>
            </w:pPr>
          </w:p>
        </w:tc>
      </w:tr>
      <w:tr>
        <w:trPr>
          <w:trHeight w:val="143"/>
        </w:trPr>
        <w:tc>
          <w:tcPr>
            <w:tcW w:w="670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w w:val="97"/>
              </w:rPr>
              <w:t>Adjustments to reconcile net (decrease) increase in net assets resulting from operations to net cash (used in)</w:t>
            </w:r>
          </w:p>
        </w:tc>
        <w:tc>
          <w:tcPr>
            <w:tcW w:w="14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6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provided by operating activities:</w:t>
            </w:r>
          </w:p>
        </w:tc>
        <w:tc>
          <w:tcPr>
            <w:tcW w:w="1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700" w:type="dxa"/>
            <w:vAlign w:val="bottom"/>
          </w:tcPr>
          <w:p>
            <w:pPr>
              <w:ind w:left="200"/>
              <w:spacing w:after="0"/>
              <w:rPr>
                <w:sz w:val="20"/>
                <w:szCs w:val="20"/>
                <w:color w:val="auto"/>
              </w:rPr>
            </w:pPr>
            <w:r>
              <w:rPr>
                <w:rFonts w:ascii="Arial" w:cs="Arial" w:eastAsia="Arial" w:hAnsi="Arial"/>
                <w:sz w:val="14"/>
                <w:szCs w:val="14"/>
                <w:color w:val="auto"/>
              </w:rPr>
              <w:t>Purchase of investments</w:t>
            </w:r>
          </w:p>
        </w:tc>
        <w:tc>
          <w:tcPr>
            <w:tcW w:w="1400" w:type="dxa"/>
            <w:vAlign w:val="bottom"/>
          </w:tcPr>
          <w:p>
            <w:pPr>
              <w:spacing w:after="0"/>
              <w:rPr>
                <w:sz w:val="15"/>
                <w:szCs w:val="15"/>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(83,795 )</w:t>
            </w:r>
          </w:p>
        </w:tc>
        <w:tc>
          <w:tcPr>
            <w:tcW w:w="14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(43,275 )</w:t>
            </w:r>
          </w:p>
        </w:tc>
      </w:tr>
      <w:tr>
        <w:trPr>
          <w:trHeight w:val="176"/>
        </w:trPr>
        <w:tc>
          <w:tcPr>
            <w:tcW w:w="6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Repayments and sales of investments</w:t>
            </w:r>
          </w:p>
        </w:tc>
        <w:tc>
          <w:tcPr>
            <w:tcW w:w="14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83,800</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127,519</w:t>
            </w:r>
          </w:p>
        </w:tc>
        <w:tc>
          <w:tcPr>
            <w:tcW w:w="100" w:type="dxa"/>
            <w:vAlign w:val="bottom"/>
            <w:shd w:val="clear" w:color="auto" w:fill="CFF0FC"/>
          </w:tcPr>
          <w:p>
            <w:pPr>
              <w:spacing w:after="0"/>
              <w:rPr>
                <w:sz w:val="15"/>
                <w:szCs w:val="15"/>
                <w:color w:val="auto"/>
              </w:rPr>
            </w:pPr>
          </w:p>
        </w:tc>
      </w:tr>
      <w:tr>
        <w:trPr>
          <w:trHeight w:val="176"/>
        </w:trPr>
        <w:tc>
          <w:tcPr>
            <w:tcW w:w="6700" w:type="dxa"/>
            <w:vAlign w:val="bottom"/>
          </w:tcPr>
          <w:p>
            <w:pPr>
              <w:ind w:left="200"/>
              <w:spacing w:after="0"/>
              <w:rPr>
                <w:sz w:val="20"/>
                <w:szCs w:val="20"/>
                <w:color w:val="auto"/>
              </w:rPr>
            </w:pPr>
            <w:r>
              <w:rPr>
                <w:rFonts w:ascii="Arial" w:cs="Arial" w:eastAsia="Arial" w:hAnsi="Arial"/>
                <w:sz w:val="14"/>
                <w:szCs w:val="14"/>
                <w:color w:val="auto"/>
              </w:rPr>
              <w:t>Net realized gain on investments</w:t>
            </w:r>
          </w:p>
        </w:tc>
        <w:tc>
          <w:tcPr>
            <w:tcW w:w="1400" w:type="dxa"/>
            <w:vAlign w:val="bottom"/>
          </w:tcPr>
          <w:p>
            <w:pPr>
              <w:spacing w:after="0"/>
              <w:rPr>
                <w:sz w:val="15"/>
                <w:szCs w:val="15"/>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(10,274 )</w:t>
            </w:r>
          </w:p>
        </w:tc>
        <w:tc>
          <w:tcPr>
            <w:tcW w:w="14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(349 )</w:t>
            </w:r>
          </w:p>
        </w:tc>
      </w:tr>
      <w:tr>
        <w:trPr>
          <w:trHeight w:val="175"/>
        </w:trPr>
        <w:tc>
          <w:tcPr>
            <w:tcW w:w="6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14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17,330</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(4,039 )</w:t>
            </w:r>
          </w:p>
        </w:tc>
      </w:tr>
      <w:tr>
        <w:trPr>
          <w:trHeight w:val="176"/>
        </w:trPr>
        <w:tc>
          <w:tcPr>
            <w:tcW w:w="6700" w:type="dxa"/>
            <w:vAlign w:val="bottom"/>
          </w:tcPr>
          <w:p>
            <w:pPr>
              <w:ind w:left="200"/>
              <w:spacing w:after="0"/>
              <w:rPr>
                <w:sz w:val="20"/>
                <w:szCs w:val="20"/>
                <w:color w:val="auto"/>
              </w:rPr>
            </w:pPr>
            <w:r>
              <w:rPr>
                <w:rFonts w:ascii="Arial" w:cs="Arial" w:eastAsia="Arial" w:hAnsi="Arial"/>
                <w:sz w:val="14"/>
                <w:szCs w:val="14"/>
                <w:color w:val="auto"/>
              </w:rPr>
              <w:t>Net realized loss on extinguishment of debt</w:t>
            </w:r>
          </w:p>
        </w:tc>
        <w:tc>
          <w:tcPr>
            <w:tcW w:w="140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5"/>
                <w:szCs w:val="15"/>
                <w:color w:val="auto"/>
              </w:rPr>
            </w:pPr>
          </w:p>
        </w:tc>
      </w:tr>
      <w:tr>
        <w:trPr>
          <w:trHeight w:val="175"/>
        </w:trPr>
        <w:tc>
          <w:tcPr>
            <w:tcW w:w="6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Payment-in-kind interest and dividends</w:t>
            </w:r>
          </w:p>
        </w:tc>
        <w:tc>
          <w:tcPr>
            <w:tcW w:w="1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(737 )</w:t>
            </w: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(393 )</w:t>
            </w:r>
          </w:p>
        </w:tc>
      </w:tr>
      <w:tr>
        <w:trPr>
          <w:trHeight w:val="176"/>
        </w:trPr>
        <w:tc>
          <w:tcPr>
            <w:tcW w:w="6700" w:type="dxa"/>
            <w:vAlign w:val="bottom"/>
          </w:tcPr>
          <w:p>
            <w:pPr>
              <w:ind w:left="200"/>
              <w:spacing w:after="0"/>
              <w:rPr>
                <w:sz w:val="20"/>
                <w:szCs w:val="20"/>
                <w:color w:val="auto"/>
              </w:rPr>
            </w:pPr>
            <w:r>
              <w:rPr>
                <w:rFonts w:ascii="Arial" w:cs="Arial" w:eastAsia="Arial" w:hAnsi="Arial"/>
                <w:sz w:val="14"/>
                <w:szCs w:val="14"/>
                <w:color w:val="auto"/>
              </w:rPr>
              <w:t>Accretion of original issue discount on investments</w:t>
            </w:r>
          </w:p>
        </w:tc>
        <w:tc>
          <w:tcPr>
            <w:tcW w:w="1400" w:type="dxa"/>
            <w:vAlign w:val="bottom"/>
          </w:tcPr>
          <w:p>
            <w:pPr>
              <w:spacing w:after="0"/>
              <w:rPr>
                <w:sz w:val="15"/>
                <w:szCs w:val="15"/>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(1,255 )</w:t>
            </w:r>
          </w:p>
        </w:tc>
        <w:tc>
          <w:tcPr>
            <w:tcW w:w="14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(156 )</w:t>
            </w:r>
          </w:p>
        </w:tc>
      </w:tr>
      <w:tr>
        <w:trPr>
          <w:trHeight w:val="176"/>
        </w:trPr>
        <w:tc>
          <w:tcPr>
            <w:tcW w:w="6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deferred financing fees and original issue discount</w:t>
            </w:r>
          </w:p>
        </w:tc>
        <w:tc>
          <w:tcPr>
            <w:tcW w:w="14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729</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1,059</w:t>
            </w:r>
          </w:p>
        </w:tc>
        <w:tc>
          <w:tcPr>
            <w:tcW w:w="100" w:type="dxa"/>
            <w:vAlign w:val="bottom"/>
            <w:shd w:val="clear" w:color="auto" w:fill="CFF0FC"/>
          </w:tcPr>
          <w:p>
            <w:pPr>
              <w:spacing w:after="0"/>
              <w:rPr>
                <w:sz w:val="15"/>
                <w:szCs w:val="15"/>
                <w:color w:val="auto"/>
              </w:rPr>
            </w:pPr>
          </w:p>
        </w:tc>
      </w:tr>
      <w:tr>
        <w:trPr>
          <w:trHeight w:val="175"/>
        </w:trPr>
        <w:tc>
          <w:tcPr>
            <w:tcW w:w="6700" w:type="dxa"/>
            <w:vAlign w:val="bottom"/>
          </w:tcPr>
          <w:p>
            <w:pPr>
              <w:ind w:left="200"/>
              <w:spacing w:after="0"/>
              <w:rPr>
                <w:sz w:val="20"/>
                <w:szCs w:val="20"/>
                <w:color w:val="auto"/>
              </w:rPr>
            </w:pPr>
            <w:r>
              <w:rPr>
                <w:rFonts w:ascii="Arial" w:cs="Arial" w:eastAsia="Arial" w:hAnsi="Arial"/>
                <w:sz w:val="14"/>
                <w:szCs w:val="14"/>
                <w:color w:val="auto"/>
              </w:rPr>
              <w:t>Changes in assets and liabilities:</w:t>
            </w: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and dividend receivable</w:t>
            </w:r>
          </w:p>
        </w:tc>
        <w:tc>
          <w:tcPr>
            <w:tcW w:w="1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(233 )</w:t>
            </w:r>
          </w:p>
        </w:tc>
        <w:tc>
          <w:tcPr>
            <w:tcW w:w="14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FF0FC"/>
          </w:tcPr>
          <w:p>
            <w:pPr>
              <w:spacing w:after="0"/>
              <w:rPr>
                <w:sz w:val="15"/>
                <w:szCs w:val="15"/>
                <w:color w:val="auto"/>
              </w:rPr>
            </w:pPr>
          </w:p>
        </w:tc>
      </w:tr>
      <w:tr>
        <w:trPr>
          <w:trHeight w:val="175"/>
        </w:trPr>
        <w:tc>
          <w:tcPr>
            <w:tcW w:w="6700" w:type="dxa"/>
            <w:vAlign w:val="bottom"/>
          </w:tcPr>
          <w:p>
            <w:pPr>
              <w:ind w:left="300"/>
              <w:spacing w:after="0"/>
              <w:rPr>
                <w:sz w:val="20"/>
                <w:szCs w:val="20"/>
                <w:color w:val="auto"/>
              </w:rPr>
            </w:pPr>
            <w:r>
              <w:rPr>
                <w:rFonts w:ascii="Arial" w:cs="Arial" w:eastAsia="Arial" w:hAnsi="Arial"/>
                <w:sz w:val="14"/>
                <w:szCs w:val="14"/>
                <w:color w:val="auto"/>
              </w:rPr>
              <w:t>Prepaid expenses</w:t>
            </w: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450</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(2,511 )</w:t>
            </w:r>
          </w:p>
        </w:tc>
      </w:tr>
      <w:tr>
        <w:trPr>
          <w:trHeight w:val="176"/>
        </w:trPr>
        <w:tc>
          <w:tcPr>
            <w:tcW w:w="6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Receivable for unsettled trades</w:t>
            </w:r>
          </w:p>
        </w:tc>
        <w:tc>
          <w:tcPr>
            <w:tcW w:w="14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(3,101 )</w:t>
            </w:r>
          </w:p>
        </w:tc>
      </w:tr>
      <w:tr>
        <w:trPr>
          <w:trHeight w:val="175"/>
        </w:trPr>
        <w:tc>
          <w:tcPr>
            <w:tcW w:w="6700" w:type="dxa"/>
            <w:vAlign w:val="bottom"/>
          </w:tcPr>
          <w:p>
            <w:pPr>
              <w:ind w:left="300"/>
              <w:spacing w:after="0"/>
              <w:rPr>
                <w:sz w:val="20"/>
                <w:szCs w:val="20"/>
                <w:color w:val="auto"/>
              </w:rPr>
            </w:pPr>
            <w:r>
              <w:rPr>
                <w:rFonts w:ascii="Arial" w:cs="Arial" w:eastAsia="Arial" w:hAnsi="Arial"/>
                <w:sz w:val="14"/>
                <w:szCs w:val="14"/>
                <w:color w:val="auto"/>
              </w:rPr>
              <w:t>Other assets</w:t>
            </w:r>
          </w:p>
        </w:tc>
        <w:tc>
          <w:tcPr>
            <w:tcW w:w="1400" w:type="dxa"/>
            <w:vAlign w:val="bottom"/>
          </w:tcPr>
          <w:p>
            <w:pPr>
              <w:spacing w:after="0"/>
              <w:rPr>
                <w:sz w:val="15"/>
                <w:szCs w:val="15"/>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(30 )</w:t>
            </w:r>
          </w:p>
        </w:tc>
        <w:tc>
          <w:tcPr>
            <w:tcW w:w="14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(106 )</w:t>
            </w:r>
          </w:p>
        </w:tc>
      </w:tr>
      <w:tr>
        <w:trPr>
          <w:trHeight w:val="176"/>
        </w:trPr>
        <w:tc>
          <w:tcPr>
            <w:tcW w:w="6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Management and incentive fees payable</w:t>
            </w:r>
          </w:p>
        </w:tc>
        <w:tc>
          <w:tcPr>
            <w:tcW w:w="1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(138 )</w:t>
            </w: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(2,661 )</w:t>
            </w:r>
          </w:p>
        </w:tc>
      </w:tr>
      <w:tr>
        <w:trPr>
          <w:trHeight w:val="176"/>
        </w:trPr>
        <w:tc>
          <w:tcPr>
            <w:tcW w:w="6700" w:type="dxa"/>
            <w:vAlign w:val="bottom"/>
          </w:tcPr>
          <w:p>
            <w:pPr>
              <w:ind w:left="300"/>
              <w:spacing w:after="0"/>
              <w:rPr>
                <w:sz w:val="20"/>
                <w:szCs w:val="20"/>
                <w:color w:val="auto"/>
              </w:rPr>
            </w:pPr>
            <w:r>
              <w:rPr>
                <w:rFonts w:ascii="Arial" w:cs="Arial" w:eastAsia="Arial" w:hAnsi="Arial"/>
                <w:sz w:val="14"/>
                <w:szCs w:val="14"/>
                <w:color w:val="auto"/>
              </w:rPr>
              <w:t>Interest and financing fees payable</w:t>
            </w: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378</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(920 )</w:t>
            </w:r>
          </w:p>
        </w:tc>
      </w:tr>
      <w:tr>
        <w:trPr>
          <w:trHeight w:val="175"/>
        </w:trPr>
        <w:tc>
          <w:tcPr>
            <w:tcW w:w="6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Payable for unsettled trades</w:t>
            </w:r>
          </w:p>
        </w:tc>
        <w:tc>
          <w:tcPr>
            <w:tcW w:w="1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(8,884 )</w:t>
            </w: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00" w:type="dxa"/>
            <w:vAlign w:val="bottom"/>
          </w:tcPr>
          <w:p>
            <w:pPr>
              <w:ind w:left="300"/>
              <w:spacing w:after="0"/>
              <w:rPr>
                <w:sz w:val="20"/>
                <w:szCs w:val="20"/>
                <w:color w:val="auto"/>
              </w:rPr>
            </w:pPr>
            <w:r>
              <w:rPr>
                <w:rFonts w:ascii="Arial" w:cs="Arial" w:eastAsia="Arial" w:hAnsi="Arial"/>
                <w:sz w:val="14"/>
                <w:szCs w:val="14"/>
                <w:color w:val="auto"/>
              </w:rPr>
              <w:t>Accounts payable and accrued expenses</w:t>
            </w:r>
          </w:p>
        </w:tc>
        <w:tc>
          <w:tcPr>
            <w:tcW w:w="1400" w:type="dxa"/>
            <w:vAlign w:val="bottom"/>
          </w:tcPr>
          <w:p>
            <w:pPr>
              <w:spacing w:after="0"/>
              <w:rPr>
                <w:sz w:val="15"/>
                <w:szCs w:val="15"/>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(164 )</w:t>
            </w:r>
          </w:p>
        </w:tc>
        <w:tc>
          <w:tcPr>
            <w:tcW w:w="1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4,489</w:t>
            </w:r>
          </w:p>
        </w:tc>
        <w:tc>
          <w:tcPr>
            <w:tcW w:w="100" w:type="dxa"/>
            <w:vAlign w:val="bottom"/>
          </w:tcPr>
          <w:p>
            <w:pPr>
              <w:spacing w:after="0"/>
              <w:rPr>
                <w:sz w:val="15"/>
                <w:szCs w:val="15"/>
                <w:color w:val="auto"/>
              </w:rPr>
            </w:pPr>
          </w:p>
        </w:tc>
      </w:tr>
      <w:tr>
        <w:trPr>
          <w:trHeight w:val="16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14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(10,991</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40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78,963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Repayment of SBA-guaranteed debentures</w:t>
            </w:r>
          </w:p>
        </w:tc>
        <w:tc>
          <w:tcPr>
            <w:tcW w:w="1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(91,000 )</w:t>
            </w:r>
          </w:p>
        </w:tc>
      </w:tr>
      <w:tr>
        <w:trPr>
          <w:trHeight w:val="175"/>
        </w:trPr>
        <w:tc>
          <w:tcPr>
            <w:tcW w:w="6700" w:type="dxa"/>
            <w:vAlign w:val="bottom"/>
          </w:tcPr>
          <w:p>
            <w:pPr>
              <w:ind w:left="120"/>
              <w:spacing w:after="0"/>
              <w:rPr>
                <w:sz w:val="20"/>
                <w:szCs w:val="20"/>
                <w:color w:val="auto"/>
              </w:rPr>
            </w:pPr>
            <w:r>
              <w:rPr>
                <w:rFonts w:ascii="Arial" w:cs="Arial" w:eastAsia="Arial" w:hAnsi="Arial"/>
                <w:sz w:val="14"/>
                <w:szCs w:val="14"/>
                <w:color w:val="auto"/>
              </w:rPr>
              <w:t>Prepayment penalty on SBA-guaranteed debentures</w:t>
            </w:r>
          </w:p>
        </w:tc>
        <w:tc>
          <w:tcPr>
            <w:tcW w:w="140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(519 )</w:t>
            </w:r>
          </w:p>
        </w:tc>
      </w:tr>
      <w:tr>
        <w:trPr>
          <w:trHeight w:val="176"/>
        </w:trPr>
        <w:tc>
          <w:tcPr>
            <w:tcW w:w="6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Proceeds from issuance of 2032 Convertible Notes</w:t>
            </w:r>
          </w:p>
        </w:tc>
        <w:tc>
          <w:tcPr>
            <w:tcW w:w="14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13,950</w:t>
            </w: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00" w:type="dxa"/>
            <w:vAlign w:val="bottom"/>
          </w:tcPr>
          <w:p>
            <w:pPr>
              <w:ind w:left="120"/>
              <w:spacing w:after="0"/>
              <w:rPr>
                <w:sz w:val="20"/>
                <w:szCs w:val="20"/>
                <w:color w:val="auto"/>
              </w:rPr>
            </w:pPr>
            <w:r>
              <w:rPr>
                <w:rFonts w:ascii="Arial" w:cs="Arial" w:eastAsia="Arial" w:hAnsi="Arial"/>
                <w:sz w:val="14"/>
                <w:szCs w:val="14"/>
                <w:color w:val="auto"/>
              </w:rPr>
              <w:t>Repayment of 2022 Notes</w:t>
            </w:r>
          </w:p>
        </w:tc>
        <w:tc>
          <w:tcPr>
            <w:tcW w:w="1400" w:type="dxa"/>
            <w:vAlign w:val="bottom"/>
          </w:tcPr>
          <w:p>
            <w:pPr>
              <w:spacing w:after="0"/>
              <w:rPr>
                <w:sz w:val="15"/>
                <w:szCs w:val="15"/>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(22,833 )</w:t>
            </w:r>
          </w:p>
        </w:tc>
        <w:tc>
          <w:tcPr>
            <w:tcW w:w="140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Repayment of 2022 Convertible Notes</w:t>
            </w:r>
          </w:p>
        </w:tc>
        <w:tc>
          <w:tcPr>
            <w:tcW w:w="1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(52,088 )</w:t>
            </w: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700" w:type="dxa"/>
            <w:vAlign w:val="bottom"/>
          </w:tcPr>
          <w:p>
            <w:pPr>
              <w:ind w:left="120"/>
              <w:spacing w:after="0"/>
              <w:rPr>
                <w:sz w:val="20"/>
                <w:szCs w:val="20"/>
                <w:color w:val="auto"/>
              </w:rPr>
            </w:pPr>
            <w:r>
              <w:rPr>
                <w:rFonts w:ascii="Arial" w:cs="Arial" w:eastAsia="Arial" w:hAnsi="Arial"/>
                <w:sz w:val="14"/>
                <w:szCs w:val="14"/>
                <w:color w:val="auto"/>
              </w:rPr>
              <w:t>Borrowings under KeyBank Credit Facility</w:t>
            </w:r>
          </w:p>
        </w:tc>
        <w:tc>
          <w:tcPr>
            <w:tcW w:w="1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71,776</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Pr>
          <w:p>
            <w:pPr>
              <w:spacing w:after="0"/>
              <w:rPr>
                <w:sz w:val="15"/>
                <w:szCs w:val="15"/>
                <w:color w:val="auto"/>
              </w:rPr>
            </w:pPr>
          </w:p>
        </w:tc>
      </w:tr>
      <w:tr>
        <w:trPr>
          <w:trHeight w:val="175"/>
        </w:trPr>
        <w:tc>
          <w:tcPr>
            <w:tcW w:w="67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Repayments under KeyBank Credit Facility</w:t>
            </w:r>
          </w:p>
        </w:tc>
        <w:tc>
          <w:tcPr>
            <w:tcW w:w="14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(26,000 )</w:t>
            </w:r>
          </w:p>
        </w:tc>
        <w:tc>
          <w:tcPr>
            <w:tcW w:w="140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(25,000 )</w:t>
            </w:r>
          </w:p>
        </w:tc>
      </w:tr>
      <w:tr>
        <w:trPr>
          <w:trHeight w:val="175"/>
        </w:trPr>
        <w:tc>
          <w:tcPr>
            <w:tcW w:w="6700" w:type="dxa"/>
            <w:vAlign w:val="bottom"/>
          </w:tcPr>
          <w:p>
            <w:pPr>
              <w:ind w:left="120"/>
              <w:spacing w:after="0"/>
              <w:rPr>
                <w:sz w:val="20"/>
                <w:szCs w:val="20"/>
                <w:color w:val="auto"/>
              </w:rPr>
            </w:pPr>
            <w:r>
              <w:rPr>
                <w:rFonts w:ascii="Arial" w:cs="Arial" w:eastAsia="Arial" w:hAnsi="Arial"/>
                <w:sz w:val="14"/>
                <w:szCs w:val="14"/>
                <w:color w:val="auto"/>
              </w:rPr>
              <w:t>Deferred financing fees paid</w:t>
            </w:r>
          </w:p>
        </w:tc>
        <w:tc>
          <w:tcPr>
            <w:tcW w:w="1400" w:type="dxa"/>
            <w:vAlign w:val="bottom"/>
          </w:tcPr>
          <w:p>
            <w:pPr>
              <w:spacing w:after="0"/>
              <w:rPr>
                <w:sz w:val="15"/>
                <w:szCs w:val="15"/>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(1,607 )</w:t>
            </w:r>
          </w:p>
        </w:tc>
        <w:tc>
          <w:tcPr>
            <w:tcW w:w="140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FINANCING ACTIVITIES</w:t>
            </w:r>
          </w:p>
        </w:tc>
        <w:tc>
          <w:tcPr>
            <w:tcW w:w="14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(16,802</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40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(91,519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670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400" w:type="dxa"/>
            <w:vAlign w:val="bottom"/>
          </w:tcPr>
          <w:p>
            <w:pPr>
              <w:spacing w:after="0"/>
              <w:rPr>
                <w:sz w:val="14"/>
                <w:szCs w:val="14"/>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(27,793 )</w:t>
            </w:r>
          </w:p>
        </w:tc>
        <w:tc>
          <w:tcPr>
            <w:tcW w:w="14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(12,556 )</w:t>
            </w:r>
          </w:p>
        </w:tc>
      </w:tr>
      <w:tr>
        <w:trPr>
          <w:trHeight w:val="175"/>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4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39,056</w:t>
            </w:r>
          </w:p>
        </w:tc>
        <w:tc>
          <w:tcPr>
            <w:tcW w:w="26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49,942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70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400" w:type="dxa"/>
            <w:vAlign w:val="bottom"/>
            <w:tcBorders>
              <w:bottom w:val="single" w:sz="8" w:color="auto"/>
            </w:tcBorders>
          </w:tcPr>
          <w:p>
            <w:pPr>
              <w:jc w:val="right"/>
              <w:ind w:right="124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11,263</w:t>
            </w:r>
          </w:p>
        </w:tc>
        <w:tc>
          <w:tcPr>
            <w:tcW w:w="260" w:type="dxa"/>
            <w:vAlign w:val="bottom"/>
          </w:tcPr>
          <w:p>
            <w:pPr>
              <w:spacing w:after="0"/>
              <w:rPr>
                <w:sz w:val="14"/>
                <w:szCs w:val="14"/>
                <w:color w:val="auto"/>
              </w:rPr>
            </w:pPr>
          </w:p>
        </w:tc>
        <w:tc>
          <w:tcPr>
            <w:tcW w:w="1400" w:type="dxa"/>
            <w:vAlign w:val="bottom"/>
            <w:tcBorders>
              <w:bottom w:val="single" w:sz="8" w:color="auto"/>
            </w:tcBorders>
          </w:tcPr>
          <w:p>
            <w:pPr>
              <w:jc w:val="right"/>
              <w:ind w:right="12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37,386</w:t>
            </w:r>
          </w:p>
        </w:tc>
        <w:tc>
          <w:tcPr>
            <w:tcW w:w="100" w:type="dxa"/>
            <w:vAlign w:val="bottom"/>
          </w:tcPr>
          <w:p>
            <w:pPr>
              <w:spacing w:after="0"/>
              <w:rPr>
                <w:sz w:val="14"/>
                <w:szCs w:val="14"/>
                <w:color w:val="auto"/>
              </w:rPr>
            </w:pPr>
          </w:p>
        </w:tc>
      </w:tr>
      <w:tr>
        <w:trPr>
          <w:trHeight w:val="20"/>
        </w:trPr>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7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SUPPLEMENTAL DISCLOSURE OF CASH FLOW INFORMATION</w:t>
            </w:r>
          </w:p>
        </w:tc>
        <w:tc>
          <w:tcPr>
            <w:tcW w:w="14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2"/>
        </w:trPr>
        <w:tc>
          <w:tcPr>
            <w:tcW w:w="6700" w:type="dxa"/>
            <w:vAlign w:val="bottom"/>
          </w:tcPr>
          <w:p>
            <w:pPr>
              <w:ind w:left="120"/>
              <w:spacing w:after="0"/>
              <w:rPr>
                <w:sz w:val="20"/>
                <w:szCs w:val="20"/>
                <w:color w:val="auto"/>
              </w:rPr>
            </w:pPr>
            <w:r>
              <w:rPr>
                <w:rFonts w:ascii="Arial" w:cs="Arial" w:eastAsia="Arial" w:hAnsi="Arial"/>
                <w:sz w:val="14"/>
                <w:szCs w:val="14"/>
                <w:color w:val="auto"/>
              </w:rPr>
              <w:t>Cash paid for interest</w:t>
            </w: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4,401</w:t>
            </w:r>
          </w:p>
        </w:tc>
        <w:tc>
          <w:tcPr>
            <w:tcW w:w="260" w:type="dxa"/>
            <w:vAlign w:val="bottom"/>
          </w:tcPr>
          <w:p>
            <w:pPr>
              <w:spacing w:after="0"/>
              <w:rPr>
                <w:sz w:val="15"/>
                <w:szCs w:val="15"/>
                <w:color w:val="auto"/>
              </w:rPr>
            </w:pP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7,621</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-1735455</wp:posOffset>
            </wp:positionV>
            <wp:extent cx="6858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-1735455</wp:posOffset>
            </wp:positionV>
            <wp:extent cx="6858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-603885</wp:posOffset>
            </wp:positionV>
            <wp:extent cx="68580"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-603885</wp:posOffset>
            </wp:positionV>
            <wp:extent cx="6858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-372110</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-372110</wp:posOffset>
            </wp:positionV>
            <wp:extent cx="6858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 w:name="page7"/>
    <w:bookmarkEnd w:id="6"/>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Consolidated 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Rate</w:t>
            </w: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93"/>
              </w:rPr>
              <w:t>Par/Shares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20" w:type="dxa"/>
            <w:vAlign w:val="bottom"/>
          </w:tcPr>
          <w:p>
            <w:pPr>
              <w:spacing w:after="0"/>
              <w:rPr>
                <w:sz w:val="13"/>
                <w:szCs w:val="13"/>
                <w:color w:val="auto"/>
              </w:rPr>
            </w:pPr>
          </w:p>
        </w:tc>
        <w:tc>
          <w:tcPr>
            <w:tcW w:w="168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Industry</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Floor (+)</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Cost</w:t>
            </w:r>
          </w:p>
        </w:tc>
        <w:tc>
          <w:tcPr>
            <w:tcW w:w="34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4"/>
              </w:rPr>
              <w:t>Fair Value</w:t>
            </w:r>
          </w:p>
        </w:tc>
        <w:tc>
          <w:tcPr>
            <w:tcW w:w="200" w:type="dxa"/>
            <w:vAlign w:val="bottom"/>
          </w:tcPr>
          <w:p>
            <w:pPr>
              <w:spacing w:after="0"/>
              <w:rPr>
                <w:sz w:val="13"/>
                <w:szCs w:val="13"/>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Footnotes</w:t>
            </w:r>
          </w:p>
        </w:tc>
        <w:tc>
          <w:tcPr>
            <w:tcW w:w="0" w:type="dxa"/>
            <w:vAlign w:val="bottom"/>
          </w:tcPr>
          <w:p>
            <w:pPr>
              <w:spacing w:after="0"/>
              <w:rPr>
                <w:sz w:val="1"/>
                <w:szCs w:val="1"/>
                <w:color w:val="auto"/>
              </w:rPr>
            </w:pPr>
          </w:p>
        </w:tc>
      </w:tr>
      <w:tr>
        <w:trPr>
          <w:trHeight w:val="133"/>
        </w:trPr>
        <w:tc>
          <w:tcPr>
            <w:tcW w:w="4380" w:type="dxa"/>
            <w:vAlign w:val="bottom"/>
            <w:gridSpan w:val="3"/>
          </w:tcPr>
          <w:p>
            <w:pPr>
              <w:ind w:left="20"/>
              <w:spacing w:after="0"/>
              <w:rPr>
                <w:sz w:val="20"/>
                <w:szCs w:val="20"/>
                <w:color w:val="auto"/>
              </w:rPr>
            </w:pPr>
            <w:r>
              <w:rPr>
                <w:rFonts w:ascii="Arial" w:cs="Arial" w:eastAsia="Arial" w:hAnsi="Arial"/>
                <w:sz w:val="11"/>
                <w:szCs w:val="11"/>
                <w:b w:val="1"/>
                <w:bCs w:val="1"/>
                <w:color w:val="auto"/>
              </w:rPr>
              <w:t>Investments in Non-Control, Non-Affiliate Portfolio Companies - 169.5%</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- 115.4%</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Accordion Partners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Industrials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9.80%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8"/>
              </w:rPr>
              <w:t>SOFR + 6.25%</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08/29/2029</w:t>
            </w:r>
          </w:p>
        </w:tc>
        <w:tc>
          <w:tcPr>
            <w:tcW w:w="22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4,565</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4,453</w:t>
            </w:r>
          </w:p>
        </w:tc>
        <w:tc>
          <w:tcPr>
            <w:tcW w:w="3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4,452</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(12)(26)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Accordion Partners LLC (Revolver)</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+ 6.25%</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08/31/2028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(34 )</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(34 )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Accurate Background,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9.67%</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03/26/2027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4,470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4,122</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4,257</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AIDC Intermediateco 2, LLC (Peak Technologies)</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8.91%</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+ 6.25%</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07/22/2027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5,000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4,914</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4,913</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12/18/2022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6,941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6,941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6,245</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8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American Academy Holdings, LLC</w:t>
            </w:r>
          </w:p>
        </w:tc>
        <w:tc>
          <w:tcPr>
            <w:tcW w:w="120" w:type="dxa"/>
            <w:vAlign w:val="bottom"/>
            <w:shd w:val="clear" w:color="auto" w:fill="CFF0FC"/>
          </w:tcPr>
          <w:p>
            <w:pPr>
              <w:spacing w:after="0"/>
              <w:rPr>
                <w:sz w:val="8"/>
                <w:szCs w:val="8"/>
                <w:color w:val="auto"/>
              </w:rPr>
            </w:pPr>
          </w:p>
        </w:tc>
        <w:tc>
          <w:tcPr>
            <w:tcW w:w="1680" w:type="dxa"/>
            <w:vAlign w:val="bottom"/>
            <w:shd w:val="clear" w:color="auto" w:fill="CFF0FC"/>
          </w:tcPr>
          <w:p>
            <w:pPr>
              <w:spacing w:after="0" w:line="99" w:lineRule="exact"/>
              <w:rPr>
                <w:sz w:val="20"/>
                <w:szCs w:val="20"/>
                <w:color w:val="auto"/>
              </w:rPr>
            </w:pPr>
            <w:r>
              <w:rPr>
                <w:rFonts w:ascii="Arial" w:cs="Arial" w:eastAsia="Arial" w:hAnsi="Arial"/>
                <w:sz w:val="11"/>
                <w:szCs w:val="11"/>
                <w:color w:val="auto"/>
              </w:rPr>
              <w:t>Healthcare</w:t>
            </w:r>
          </w:p>
        </w:tc>
        <w:tc>
          <w:tcPr>
            <w:tcW w:w="780" w:type="dxa"/>
            <w:vAlign w:val="bottom"/>
            <w:gridSpan w:val="2"/>
            <w:shd w:val="clear" w:color="auto" w:fill="CFF0FC"/>
          </w:tcPr>
          <w:p>
            <w:pPr>
              <w:jc w:val="center"/>
              <w:ind w:left="46"/>
              <w:spacing w:after="0" w:line="99" w:lineRule="exact"/>
              <w:rPr>
                <w:sz w:val="20"/>
                <w:szCs w:val="20"/>
                <w:color w:val="auto"/>
              </w:rPr>
            </w:pPr>
            <w:r>
              <w:rPr>
                <w:rFonts w:ascii="Arial" w:cs="Arial" w:eastAsia="Arial" w:hAnsi="Arial"/>
                <w:sz w:val="11"/>
                <w:szCs w:val="11"/>
                <w:color w:val="auto"/>
                <w:w w:val="85"/>
              </w:rPr>
              <w:t>14.11%</w:t>
            </w:r>
          </w:p>
        </w:tc>
        <w:tc>
          <w:tcPr>
            <w:tcW w:w="100" w:type="dxa"/>
            <w:vAlign w:val="bottom"/>
            <w:shd w:val="clear" w:color="auto" w:fill="CFF0FC"/>
          </w:tcPr>
          <w:p>
            <w:pPr>
              <w:spacing w:after="0"/>
              <w:rPr>
                <w:sz w:val="8"/>
                <w:szCs w:val="8"/>
                <w:color w:val="auto"/>
              </w:rPr>
            </w:pPr>
          </w:p>
        </w:tc>
        <w:tc>
          <w:tcPr>
            <w:tcW w:w="980" w:type="dxa"/>
            <w:vAlign w:val="bottom"/>
            <w:shd w:val="clear" w:color="auto" w:fill="CFF0FC"/>
          </w:tcPr>
          <w:p>
            <w:pPr>
              <w:jc w:val="center"/>
              <w:spacing w:after="0" w:line="99" w:lineRule="exact"/>
              <w:rPr>
                <w:sz w:val="20"/>
                <w:szCs w:val="20"/>
                <w:color w:val="auto"/>
              </w:rPr>
            </w:pPr>
            <w:r>
              <w:rPr>
                <w:rFonts w:ascii="Arial" w:cs="Arial" w:eastAsia="Arial" w:hAnsi="Arial"/>
                <w:sz w:val="11"/>
                <w:szCs w:val="11"/>
                <w:color w:val="auto"/>
                <w:w w:val="89"/>
              </w:rPr>
              <w:t>L + 4.75%, 6.25%</w:t>
            </w:r>
          </w:p>
        </w:tc>
        <w:tc>
          <w:tcPr>
            <w:tcW w:w="620" w:type="dxa"/>
            <w:vAlign w:val="bottom"/>
            <w:gridSpan w:val="2"/>
            <w:vMerge w:val="restart"/>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line="99" w:lineRule="exact"/>
              <w:rPr>
                <w:sz w:val="20"/>
                <w:szCs w:val="20"/>
                <w:color w:val="auto"/>
              </w:rPr>
            </w:pPr>
            <w:r>
              <w:rPr>
                <w:rFonts w:ascii="Arial" w:cs="Arial" w:eastAsia="Arial" w:hAnsi="Arial"/>
                <w:sz w:val="11"/>
                <w:szCs w:val="11"/>
                <w:color w:val="auto"/>
                <w:w w:val="90"/>
              </w:rPr>
              <w:t>03/26/2027</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5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6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4"/>
              </w:rPr>
              <w:t>PIK%</w:t>
            </w:r>
          </w:p>
        </w:tc>
        <w:tc>
          <w:tcPr>
            <w:tcW w:w="620" w:type="dxa"/>
            <w:vAlign w:val="bottom"/>
            <w:gridSpan w:val="2"/>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2,483</w:t>
            </w:r>
          </w:p>
        </w:tc>
        <w:tc>
          <w:tcPr>
            <w:tcW w:w="3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2,462</w:t>
            </w:r>
          </w:p>
        </w:tc>
        <w:tc>
          <w:tcPr>
            <w:tcW w:w="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2,434</w:t>
            </w:r>
          </w:p>
        </w:tc>
        <w:tc>
          <w:tcPr>
            <w:tcW w:w="200" w:type="dxa"/>
            <w:vAlign w:val="bottom"/>
            <w:shd w:val="clear" w:color="auto" w:fill="CFF0FC"/>
          </w:tcPr>
          <w:p>
            <w:pPr>
              <w:spacing w:after="0"/>
              <w:rPr>
                <w:sz w:val="7"/>
                <w:szCs w:val="7"/>
                <w:color w:val="auto"/>
              </w:rPr>
            </w:pPr>
          </w:p>
        </w:tc>
        <w:tc>
          <w:tcPr>
            <w:tcW w:w="66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76"/>
        </w:trPr>
        <w:tc>
          <w:tcPr>
            <w:tcW w:w="25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vMerge w:val="continue"/>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480" w:type="dxa"/>
            <w:vAlign w:val="bottom"/>
            <w:vMerge w:val="continue"/>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42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American Clinical Solutions,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12/31/2022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3,500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3,500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3,387</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AP Core Holdings II,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8.62%</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07/21/2027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1,188</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1,173</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1,172</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AP Core Holdings II,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8.62%</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07/21/2027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1,250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1,235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1,237</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Beta Plus Technologies</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7.76%</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+ 5.25%</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06/29/2029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2,942</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2,940</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Beta Plus Technologies (Revolver)</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8"/>
              </w:rPr>
              <w:t>SOFR + 5.25%</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06/29/2029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ind w:left="2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BigMouth, Inc.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Consumer Products</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11/14/2021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998</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174</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Bradshaw International, Inc.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8.88%</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10/21/2027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502</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466</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Bradshaw International, Inc. (Revolver)</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8.69%</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10/21/2026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384</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365</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CIMSense</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8.30%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8"/>
              </w:rPr>
              <w:t>SOFR + 5.50%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12/17/2026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2,927</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2,907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2,906</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Critical Nurse Staffing,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8.81%</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10/30/2026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5,457</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5,779</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5,766</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(15)(26)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Critical Nurse Staffing, LLC (Revolver)</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10/30/2026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(14 )</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(14 )</w:t>
            </w:r>
          </w:p>
        </w:tc>
        <w:tc>
          <w:tcPr>
            <w:tcW w:w="660" w:type="dxa"/>
            <w:vAlign w:val="bottom"/>
          </w:tcPr>
          <w:p>
            <w:pPr>
              <w:ind w:left="2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Dodge Data &amp; Analytics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7.58%</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+ 4.75%</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02/12/2029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1,496</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1,475</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1,440</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Epic Staffing Group</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Industrials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9.03%</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8"/>
              </w:rPr>
              <w:t>SOFR + 6.00%</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07/27/2028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4,118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3,829</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3,875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(17)(26)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Florida Food Products,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Consumer Staples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8.03%</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+ 5.00%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10/18/2028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1,883</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1,932</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Fortis Payment Solutions</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8.92%</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+ 5.25%</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02/13/2026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2,926</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2,909</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2,909</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Heads Up Technologies</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8.34%</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+ 5.50%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08/10/2029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2,933</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2,905</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2,904</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HUMC Opco,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12/31/2022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4,411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4,411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4,411</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98"/>
        </w:trPr>
        <w:tc>
          <w:tcPr>
            <w:tcW w:w="258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JO ET Holdings Limited</w:t>
            </w:r>
          </w:p>
        </w:tc>
        <w:tc>
          <w:tcPr>
            <w:tcW w:w="120" w:type="dxa"/>
            <w:vAlign w:val="bottom"/>
            <w:shd w:val="clear" w:color="auto" w:fill="CFF0FC"/>
          </w:tcPr>
          <w:p>
            <w:pPr>
              <w:spacing w:after="0"/>
              <w:rPr>
                <w:sz w:val="8"/>
                <w:szCs w:val="8"/>
                <w:color w:val="auto"/>
              </w:rPr>
            </w:pPr>
          </w:p>
        </w:tc>
        <w:tc>
          <w:tcPr>
            <w:tcW w:w="1680" w:type="dxa"/>
            <w:vAlign w:val="bottom"/>
            <w:shd w:val="clear" w:color="auto" w:fill="CFF0FC"/>
          </w:tcPr>
          <w:p>
            <w:pPr>
              <w:spacing w:after="0" w:line="99" w:lineRule="exact"/>
              <w:rPr>
                <w:sz w:val="20"/>
                <w:szCs w:val="20"/>
                <w:color w:val="auto"/>
              </w:rPr>
            </w:pPr>
            <w:r>
              <w:rPr>
                <w:rFonts w:ascii="Arial" w:cs="Arial" w:eastAsia="Arial" w:hAnsi="Arial"/>
                <w:sz w:val="11"/>
                <w:szCs w:val="11"/>
                <w:color w:val="auto"/>
              </w:rPr>
              <w:t>Information Technology</w:t>
            </w:r>
          </w:p>
        </w:tc>
        <w:tc>
          <w:tcPr>
            <w:tcW w:w="780" w:type="dxa"/>
            <w:vAlign w:val="bottom"/>
            <w:gridSpan w:val="2"/>
            <w:shd w:val="clear" w:color="auto" w:fill="CFF0FC"/>
          </w:tcPr>
          <w:p>
            <w:pPr>
              <w:jc w:val="center"/>
              <w:ind w:left="46"/>
              <w:spacing w:after="0" w:line="99" w:lineRule="exact"/>
              <w:rPr>
                <w:sz w:val="20"/>
                <w:szCs w:val="20"/>
                <w:color w:val="auto"/>
              </w:rPr>
            </w:pPr>
            <w:r>
              <w:rPr>
                <w:rFonts w:ascii="Arial" w:cs="Arial" w:eastAsia="Arial" w:hAnsi="Arial"/>
                <w:sz w:val="11"/>
                <w:szCs w:val="11"/>
                <w:color w:val="auto"/>
                <w:w w:val="85"/>
              </w:rPr>
              <w:t>16.21%</w:t>
            </w:r>
          </w:p>
        </w:tc>
        <w:tc>
          <w:tcPr>
            <w:tcW w:w="100" w:type="dxa"/>
            <w:vAlign w:val="bottom"/>
            <w:shd w:val="clear" w:color="auto" w:fill="CFF0FC"/>
          </w:tcPr>
          <w:p>
            <w:pPr>
              <w:spacing w:after="0"/>
              <w:rPr>
                <w:sz w:val="8"/>
                <w:szCs w:val="8"/>
                <w:color w:val="auto"/>
              </w:rPr>
            </w:pPr>
          </w:p>
        </w:tc>
        <w:tc>
          <w:tcPr>
            <w:tcW w:w="980" w:type="dxa"/>
            <w:vAlign w:val="bottom"/>
            <w:shd w:val="clear" w:color="auto" w:fill="CFF0FC"/>
          </w:tcPr>
          <w:p>
            <w:pPr>
              <w:jc w:val="center"/>
              <w:spacing w:after="0" w:line="99" w:lineRule="exact"/>
              <w:rPr>
                <w:sz w:val="20"/>
                <w:szCs w:val="20"/>
                <w:color w:val="auto"/>
              </w:rPr>
            </w:pPr>
            <w:r>
              <w:rPr>
                <w:rFonts w:ascii="Arial" w:cs="Arial" w:eastAsia="Arial" w:hAnsi="Arial"/>
                <w:sz w:val="11"/>
                <w:szCs w:val="11"/>
                <w:color w:val="auto"/>
                <w:w w:val="89"/>
              </w:rPr>
              <w:t>SOFR+6.00%, 7.00%</w:t>
            </w:r>
          </w:p>
        </w:tc>
        <w:tc>
          <w:tcPr>
            <w:tcW w:w="620" w:type="dxa"/>
            <w:vAlign w:val="bottom"/>
            <w:gridSpan w:val="2"/>
            <w:shd w:val="clear" w:color="auto" w:fill="CFF0FC"/>
          </w:tcPr>
          <w:p>
            <w:pPr>
              <w:jc w:val="center"/>
              <w:ind w:left="46"/>
              <w:spacing w:after="0" w:line="99" w:lineRule="exact"/>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line="99" w:lineRule="exact"/>
              <w:rPr>
                <w:sz w:val="20"/>
                <w:szCs w:val="20"/>
                <w:color w:val="auto"/>
              </w:rPr>
            </w:pPr>
            <w:r>
              <w:rPr>
                <w:rFonts w:ascii="Arial" w:cs="Arial" w:eastAsia="Arial" w:hAnsi="Arial"/>
                <w:sz w:val="11"/>
                <w:szCs w:val="11"/>
                <w:color w:val="auto"/>
                <w:w w:val="90"/>
              </w:rPr>
              <w:t>12/15/2026</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PIK</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1,047</w:t>
            </w: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1,030</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w:t>
            </w:r>
          </w:p>
        </w:tc>
        <w:tc>
          <w:tcPr>
            <w:tcW w:w="200" w:type="dxa"/>
            <w:vAlign w:val="bottom"/>
            <w:shd w:val="clear" w:color="auto" w:fill="CFF0FC"/>
          </w:tcPr>
          <w:p>
            <w:pPr>
              <w:spacing w:after="0"/>
              <w:rPr>
                <w:sz w:val="13"/>
                <w:szCs w:val="13"/>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Entertainment</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5"/>
              </w:rPr>
              <w:t>10.06%</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+ 7.50%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2.00%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05/01/2026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7,980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7,980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7,724</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Keg Logistics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8.96%</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11/23/2027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7,478</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7,382</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7,264</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Keg Logistics LLC (Revolver)</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8.86%</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11/23/2027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872</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861</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847</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Lucky Bucks,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8.31%</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+ 5.50%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07/21/2027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2,887</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2,841</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2,555</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Marble Point Credit Management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9.53%</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08/11/2028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5,578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5,450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5,578</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Marble Point Credit Management LLC (Revolver)</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08/11/2028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(21 )</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Material Handling Systems, Inc.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Industrials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9.05%</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8"/>
              </w:rPr>
              <w:t>SOFR + 5.50%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06/08/2029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1,797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1,795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Patriot Pickle, Inc.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Consumer Staples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9.38%</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+ 5.68%</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04/13/2027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2,926</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2,904</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2,904</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Premier Imaging,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8.87%</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12/29/2028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2,603</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2,570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2,533</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(20)(26)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Sequoia Healthcare Management,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Healthcare Management</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08/21/2023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8,713</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Shock Doctor, Inc.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Consumer Discretionary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7.80%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8"/>
              </w:rPr>
              <w:t>SOFR + 5.00%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05/14/2024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2,926</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2,915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2,915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STG Logistics</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Industrials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9.13%</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+ 6.00%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05/31/2028</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2,494</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2,415</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2,394</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South Street Securities Holdings, Inc.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9.00%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09/20/2027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376</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375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Symplr Software, Inc.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7.63%</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+ 4.50%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0.75%</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12/22/2027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1,692</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1,688</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1,597</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Wealth Enhancement Group,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8.54%</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8"/>
              </w:rPr>
              <w:t>SOFR + 6.00%</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10/02/2027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6,973</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6,946</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6,955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Wealth Enhancement Group, LLC (Revolver)</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Financials</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+ 6.00%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10/02/2027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(2 )</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8"/>
        </w:trPr>
        <w:tc>
          <w:tcPr>
            <w:tcW w:w="258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tcBorders>
              <w:top w:val="single" w:sz="8" w:color="CFF0FC"/>
            </w:tcBorders>
          </w:tcPr>
          <w:p>
            <w:pPr>
              <w:spacing w:after="0"/>
              <w:rPr>
                <w:sz w:val="11"/>
                <w:szCs w:val="11"/>
                <w:color w:val="auto"/>
              </w:rPr>
            </w:pPr>
          </w:p>
        </w:tc>
        <w:tc>
          <w:tcPr>
            <w:tcW w:w="16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6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98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5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20" w:type="dxa"/>
            <w:vAlign w:val="bottom"/>
            <w:tcBorders>
              <w:top w:val="single" w:sz="8" w:color="CFF0FC"/>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117,889</w:t>
            </w:r>
          </w:p>
        </w:tc>
        <w:tc>
          <w:tcPr>
            <w:tcW w:w="34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5"/>
              </w:rPr>
              <w:t>113,287</w:t>
            </w:r>
          </w:p>
        </w:tc>
        <w:tc>
          <w:tcPr>
            <w:tcW w:w="20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- 7.0%</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American Academy Holdings,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14.50% PIK</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03/01/2028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3,458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3,372</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2,857</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BLST Operating Company,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Online Merchandise Retailer</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5"/>
              </w:rPr>
              <w:t>11.29%</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+ 8.50%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0.50%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08/28/2025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1,780</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1,749</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(8)(26)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Ivanti Software, Inc.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5"/>
              </w:rPr>
              <w:t>10.33%</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+ 7.25%</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0.50%</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12/01/2028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3,000</w:t>
            </w: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2,986</w:t>
            </w: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2,255</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2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8,138</w:t>
            </w:r>
          </w:p>
        </w:tc>
        <w:tc>
          <w:tcPr>
            <w:tcW w:w="3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6,861</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Subordinated Debt - 26.6%</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Eastport Holdings,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Business Services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5"/>
              </w:rPr>
              <w:t>11.97%</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8"/>
              </w:rPr>
              <w:t>SOFR + 8.50%</w:t>
            </w:r>
          </w:p>
        </w:tc>
        <w:tc>
          <w:tcPr>
            <w:tcW w:w="6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1.00%</w:t>
            </w:r>
          </w:p>
        </w:tc>
        <w:tc>
          <w:tcPr>
            <w:tcW w:w="92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09/29/2027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19,250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19,250</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19,250</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Consumer Discretionary</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12.50% PIK</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05/29/2028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2,193</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2,157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1,826</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Tubular Textile Machinery, Inc.</w:t>
            </w:r>
          </w:p>
        </w:tc>
        <w:tc>
          <w:tcPr>
            <w:tcW w:w="12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Textile Equipment Manufacturer</w:t>
            </w:r>
          </w:p>
        </w:tc>
        <w:tc>
          <w:tcPr>
            <w:tcW w:w="7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5.00%</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10/29/2027</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5,094</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5,094</w:t>
            </w:r>
          </w:p>
        </w:tc>
        <w:tc>
          <w:tcPr>
            <w:tcW w:w="3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5,020</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Subordinated Debt</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26,501</w:t>
            </w: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26,096</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Collateralized Loan Obligations - 6.8%</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JMP Credit Advisors CLO IV Ltd.</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6.30%</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gridSpan w:val="2"/>
          </w:tcPr>
          <w:p>
            <w:pPr>
              <w:jc w:val="center"/>
              <w:ind w:left="46"/>
              <w:spacing w:after="0"/>
              <w:rPr>
                <w:sz w:val="20"/>
                <w:szCs w:val="20"/>
                <w:color w:val="auto"/>
              </w:rPr>
            </w:pPr>
            <w:r>
              <w:rPr>
                <w:rFonts w:ascii="Arial" w:cs="Arial" w:eastAsia="Arial" w:hAnsi="Arial"/>
                <w:sz w:val="11"/>
                <w:szCs w:val="11"/>
                <w:color w:val="auto"/>
                <w:w w:val="90"/>
              </w:rPr>
              <w:t>07/17/2029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7,891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2,747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2,742</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(19)(28)</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JMP Credit Advisors CLO V Ltd.</w:t>
            </w:r>
          </w:p>
        </w:tc>
        <w:tc>
          <w:tcPr>
            <w:tcW w:w="12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Financials</w:t>
            </w:r>
          </w:p>
        </w:tc>
        <w:tc>
          <w:tcPr>
            <w:tcW w:w="7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7.06%</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92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0"/>
              </w:rPr>
              <w:t>07/17/2030</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7,320</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4,520</w:t>
            </w:r>
          </w:p>
        </w:tc>
        <w:tc>
          <w:tcPr>
            <w:tcW w:w="3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3,922</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(19)(28)</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Collateralized Loan Obligations</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7,267</w:t>
            </w: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6,664</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- 2.8%</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A</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15,248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1,276</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371</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 - Series B</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53,023</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3,947</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78,900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American Academy Holdings,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102,261</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109</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Jurassic Quest Holdings,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Entertainment</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467,784</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260</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MicroHoldco,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General Industrial</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740,237</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749</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641</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Taylor Precision Products, Inc. - Series 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Household Product Manufacturer</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379</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758</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758</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U.S. BioTek Laboratories, LLC - Class A</w:t>
            </w:r>
          </w:p>
        </w:tc>
        <w:tc>
          <w:tcPr>
            <w:tcW w:w="12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Testing Laboratories</w:t>
            </w: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500</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540</w:t>
            </w:r>
          </w:p>
        </w:tc>
        <w:tc>
          <w:tcPr>
            <w:tcW w:w="3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652</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7,750</w:t>
            </w: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2,791</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- 10.9%</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20,092</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800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58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Alternative Biomedical Solutions, LLC - Membership</w:t>
            </w:r>
          </w:p>
        </w:tc>
        <w:tc>
          <w:tcPr>
            <w:tcW w:w="120" w:type="dxa"/>
            <w:vAlign w:val="bottom"/>
            <w:shd w:val="clear" w:color="auto" w:fill="CFF0FC"/>
          </w:tcPr>
          <w:p>
            <w:pPr>
              <w:spacing w:after="0"/>
              <w:rPr>
                <w:sz w:val="8"/>
                <w:szCs w:val="8"/>
                <w:color w:val="auto"/>
              </w:rPr>
            </w:pPr>
          </w:p>
        </w:tc>
        <w:tc>
          <w:tcPr>
            <w:tcW w:w="1680" w:type="dxa"/>
            <w:vAlign w:val="bottom"/>
            <w:shd w:val="clear" w:color="auto" w:fill="CFF0FC"/>
          </w:tcPr>
          <w:p>
            <w:pPr>
              <w:spacing w:after="0" w:line="99" w:lineRule="exact"/>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8"/>
                <w:szCs w:val="8"/>
                <w:color w:val="auto"/>
              </w:rPr>
            </w:pPr>
          </w:p>
        </w:tc>
        <w:tc>
          <w:tcPr>
            <w:tcW w:w="6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58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Unit Warrants</w:t>
            </w:r>
          </w:p>
        </w:tc>
        <w:tc>
          <w:tcPr>
            <w:tcW w:w="120" w:type="dxa"/>
            <w:vAlign w:val="bottom"/>
            <w:shd w:val="clear" w:color="auto" w:fill="CFF0FC"/>
          </w:tcPr>
          <w:p>
            <w:pPr>
              <w:spacing w:after="0"/>
              <w:rPr>
                <w:sz w:val="7"/>
                <w:szCs w:val="7"/>
                <w:color w:val="auto"/>
              </w:rPr>
            </w:pPr>
          </w:p>
        </w:tc>
        <w:tc>
          <w:tcPr>
            <w:tcW w:w="16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8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49,295</w:t>
            </w:r>
          </w:p>
        </w:tc>
        <w:tc>
          <w:tcPr>
            <w:tcW w:w="3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7"/>
                <w:szCs w:val="7"/>
                <w:color w:val="auto"/>
              </w:rPr>
            </w:pPr>
          </w:p>
        </w:tc>
        <w:tc>
          <w:tcPr>
            <w:tcW w:w="6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vMerge w:val="continue"/>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American Academy Holdings,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0.05</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181</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American Clinical Solutions, LLC - Class A</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6,030,384</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3,198</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3,461</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Aperture Dodge 18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48,632</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49</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(21)(26)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BLST Operating Company, LLC - Class A</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Online Merchandise Retailer</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217,013</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286</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Burke America Parts Group, LLC</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Home Repair Parts Manufacturer</w:t>
            </w:r>
          </w:p>
        </w:tc>
        <w:tc>
          <w:tcPr>
            <w:tcW w:w="10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2,741</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Freedom Electronics, LLC</w:t>
            </w:r>
          </w:p>
        </w:tc>
        <w:tc>
          <w:tcPr>
            <w:tcW w:w="1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1"/>
                <w:szCs w:val="11"/>
                <w:color w:val="auto"/>
              </w:rPr>
              <w:t>Electronic Machine Repair</w:t>
            </w: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181,818</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w:t>
            </w: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Arial" w:cs="Arial" w:eastAsia="Arial" w:hAnsi="Arial"/>
                <w:sz w:val="11"/>
                <w:szCs w:val="11"/>
                <w:color w:val="auto"/>
              </w:rPr>
              <w:t>South Street Securities Holdings, Inc. - Warrants</w:t>
            </w:r>
          </w:p>
        </w:tc>
        <w:tc>
          <w:tcPr>
            <w:tcW w:w="120" w:type="dxa"/>
            <w:vAlign w:val="bottom"/>
          </w:tcPr>
          <w:p>
            <w:pPr>
              <w:spacing w:after="0"/>
              <w:rPr>
                <w:sz w:val="11"/>
                <w:szCs w:val="11"/>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Financials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567</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U.S. BioTek Laboratories, LLC - Class C</w:t>
            </w:r>
          </w:p>
        </w:tc>
        <w:tc>
          <w:tcPr>
            <w:tcW w:w="120" w:type="dxa"/>
            <w:vAlign w:val="bottom"/>
            <w:tcBorders>
              <w:bottom w:val="single" w:sz="8" w:color="CFF0FC"/>
            </w:tcBorders>
            <w:shd w:val="clear" w:color="auto" w:fill="CFF0FC"/>
          </w:tcPr>
          <w:p>
            <w:pPr>
              <w:spacing w:after="0"/>
              <w:rPr>
                <w:sz w:val="11"/>
                <w:szCs w:val="11"/>
                <w:color w:val="auto"/>
              </w:rPr>
            </w:pPr>
          </w:p>
        </w:tc>
        <w:tc>
          <w:tcPr>
            <w:tcW w:w="1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Testing Laboratories</w:t>
            </w: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578</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3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165</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4,586</w:t>
            </w: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10,705</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1"/>
                <w:szCs w:val="11"/>
                <w:b w:val="1"/>
                <w:bCs w:val="1"/>
                <w:color w:val="auto"/>
              </w:rPr>
              <w:t>Total Investments in Non-Control, Non-Affiliate Portfolio Companies</w:t>
            </w: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172,131</w:t>
            </w:r>
          </w:p>
        </w:tc>
        <w:tc>
          <w:tcPr>
            <w:tcW w:w="3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166,404</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-3445510</wp:posOffset>
            </wp:positionV>
            <wp:extent cx="6858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-3445510</wp:posOffset>
            </wp:positionV>
            <wp:extent cx="6858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-2905125</wp:posOffset>
            </wp:positionV>
            <wp:extent cx="6858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-2905125</wp:posOffset>
            </wp:positionV>
            <wp:extent cx="6858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-2553970</wp:posOffset>
            </wp:positionV>
            <wp:extent cx="6858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-2553970</wp:posOffset>
            </wp:positionV>
            <wp:extent cx="6858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-2193925</wp:posOffset>
            </wp:positionV>
            <wp:extent cx="6858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-2193925</wp:posOffset>
            </wp:positionV>
            <wp:extent cx="6858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-1319530</wp:posOffset>
            </wp:positionV>
            <wp:extent cx="6858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-1319530</wp:posOffset>
            </wp:positionV>
            <wp:extent cx="68580"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-196215</wp:posOffset>
            </wp:positionV>
            <wp:extent cx="6858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-196215</wp:posOffset>
            </wp:positionV>
            <wp:extent cx="6858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excepts for units/shares)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Rate</w:t>
            </w:r>
          </w:p>
        </w:tc>
        <w:tc>
          <w:tcPr>
            <w:tcW w:w="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right"/>
              <w:ind w:right="391"/>
              <w:spacing w:after="0"/>
              <w:rPr>
                <w:sz w:val="20"/>
                <w:szCs w:val="20"/>
                <w:color w:val="auto"/>
              </w:rPr>
            </w:pPr>
            <w:r>
              <w:rPr>
                <w:rFonts w:ascii="Arial" w:cs="Arial" w:eastAsia="Arial" w:hAnsi="Arial"/>
                <w:sz w:val="11"/>
                <w:szCs w:val="11"/>
                <w:b w:val="1"/>
                <w:bCs w:val="1"/>
                <w:color w:val="auto"/>
                <w:w w:val="93"/>
              </w:rPr>
              <w:t>Par/Shares</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20" w:type="dxa"/>
            <w:vAlign w:val="bottom"/>
          </w:tcPr>
          <w:p>
            <w:pPr>
              <w:spacing w:after="0"/>
              <w:rPr>
                <w:sz w:val="13"/>
                <w:szCs w:val="13"/>
                <w:color w:val="auto"/>
              </w:rPr>
            </w:pPr>
          </w:p>
        </w:tc>
        <w:tc>
          <w:tcPr>
            <w:tcW w:w="1720" w:type="dxa"/>
            <w:vAlign w:val="bottom"/>
          </w:tcPr>
          <w:p>
            <w:pPr>
              <w:ind w:left="660"/>
              <w:spacing w:after="0"/>
              <w:rPr>
                <w:sz w:val="20"/>
                <w:szCs w:val="20"/>
                <w:color w:val="auto"/>
              </w:rPr>
            </w:pPr>
            <w:r>
              <w:rPr>
                <w:rFonts w:ascii="Arial" w:cs="Arial" w:eastAsia="Arial" w:hAnsi="Arial"/>
                <w:sz w:val="11"/>
                <w:szCs w:val="11"/>
                <w:b w:val="1"/>
                <w:bCs w:val="1"/>
                <w:color w:val="auto"/>
              </w:rPr>
              <w:t>Industry</w:t>
            </w:r>
          </w:p>
        </w:tc>
        <w:tc>
          <w:tcPr>
            <w:tcW w:w="780" w:type="dxa"/>
            <w:vAlign w:val="bottom"/>
            <w:gridSpan w:val="2"/>
          </w:tcPr>
          <w:p>
            <w:pPr>
              <w:ind w:left="38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0"/>
              </w:rPr>
              <w:t>Floor (+)</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Cost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w w:val="94"/>
              </w:rPr>
              <w:t>Fair Value</w:t>
            </w:r>
          </w:p>
        </w:tc>
        <w:tc>
          <w:tcPr>
            <w:tcW w:w="220" w:type="dxa"/>
            <w:vAlign w:val="bottom"/>
          </w:tcPr>
          <w:p>
            <w:pPr>
              <w:spacing w:after="0"/>
              <w:rPr>
                <w:sz w:val="13"/>
                <w:szCs w:val="13"/>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Footnotes</w:t>
            </w:r>
          </w:p>
        </w:tc>
        <w:tc>
          <w:tcPr>
            <w:tcW w:w="0" w:type="dxa"/>
            <w:vAlign w:val="bottom"/>
          </w:tcPr>
          <w:p>
            <w:pPr>
              <w:spacing w:after="0"/>
              <w:rPr>
                <w:sz w:val="1"/>
                <w:szCs w:val="1"/>
                <w:color w:val="auto"/>
              </w:rPr>
            </w:pPr>
          </w:p>
        </w:tc>
      </w:tr>
      <w:tr>
        <w:trPr>
          <w:trHeight w:val="133"/>
        </w:trPr>
        <w:tc>
          <w:tcPr>
            <w:tcW w:w="264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w w:val="91"/>
              </w:rPr>
              <w:t>Investments in Affiliated Portfolio Companies - 27.2%^</w:t>
            </w:r>
          </w:p>
        </w:tc>
        <w:tc>
          <w:tcPr>
            <w:tcW w:w="120" w:type="dxa"/>
            <w:vAlign w:val="bottom"/>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- 6.3%</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Medical Device Distributor</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1"/>
              </w:rPr>
              <w:t>12.00%</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10/01/2022</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2,600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2,600</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color w:val="auto"/>
              </w:rPr>
              <w:t>RAM Payment, LLC (First Out)</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Financial Services</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7.56%</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+ 5.00%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1.50%</w:t>
            </w:r>
          </w:p>
        </w:tc>
        <w:tc>
          <w:tcPr>
            <w:tcW w:w="8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01/04/2024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954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952</w:t>
            </w:r>
          </w:p>
        </w:tc>
        <w:tc>
          <w:tcPr>
            <w:tcW w:w="88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RAM Payment, LLC (Last Out)</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Financial Services</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1"/>
              </w:rPr>
              <w:t>10.90%</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01/04/2024</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2,587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2,587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2,587</w:t>
            </w:r>
          </w:p>
        </w:tc>
        <w:tc>
          <w:tcPr>
            <w:tcW w:w="880" w:type="dxa"/>
            <w:vAlign w:val="bottom"/>
            <w:gridSpan w:val="2"/>
          </w:tcPr>
          <w:p>
            <w:pPr>
              <w:ind w:left="240"/>
              <w:spacing w:after="0"/>
              <w:rPr>
                <w:sz w:val="20"/>
                <w:szCs w:val="20"/>
                <w:color w:val="auto"/>
              </w:rPr>
            </w:pPr>
            <w:r>
              <w:rPr>
                <w:rFonts w:ascii="Arial" w:cs="Arial" w:eastAsia="Arial" w:hAnsi="Arial"/>
                <w:sz w:val="11"/>
                <w:szCs w:val="11"/>
                <w:color w:val="auto"/>
              </w:rPr>
              <w:t>(10)(26)</w:t>
            </w:r>
          </w:p>
        </w:tc>
        <w:tc>
          <w:tcPr>
            <w:tcW w:w="0" w:type="dxa"/>
            <w:vAlign w:val="bottom"/>
          </w:tcPr>
          <w:p>
            <w:pPr>
              <w:spacing w:after="0"/>
              <w:rPr>
                <w:sz w:val="1"/>
                <w:szCs w:val="1"/>
                <w:color w:val="auto"/>
              </w:rPr>
            </w:pPr>
          </w:p>
        </w:tc>
      </w:tr>
      <w:tr>
        <w:trPr>
          <w:trHeight w:val="128"/>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20" w:type="dxa"/>
            <w:vAlign w:val="bottom"/>
            <w:tcBorders>
              <w:bottom w:val="single" w:sz="8" w:color="CFF0FC"/>
            </w:tcBorders>
            <w:shd w:val="clear" w:color="auto" w:fill="CFF0FC"/>
          </w:tcPr>
          <w:p>
            <w:pPr>
              <w:spacing w:after="0"/>
              <w:rPr>
                <w:sz w:val="11"/>
                <w:szCs w:val="11"/>
                <w:color w:val="auto"/>
              </w:rPr>
            </w:pPr>
          </w:p>
        </w:tc>
        <w:tc>
          <w:tcPr>
            <w:tcW w:w="1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6,141</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6,139</w:t>
            </w: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Second Lien/Senior Secured Debt - 0.9%</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Medical Device Distributor</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6.00%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10/01/2022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640" w:type="dxa"/>
            <w:vAlign w:val="bottom"/>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20" w:type="dxa"/>
            <w:vAlign w:val="bottom"/>
          </w:tcPr>
          <w:p>
            <w:pPr>
              <w:spacing w:after="0"/>
              <w:rPr>
                <w:sz w:val="8"/>
                <w:szCs w:val="8"/>
                <w:color w:val="auto"/>
              </w:rPr>
            </w:pPr>
          </w:p>
        </w:tc>
        <w:tc>
          <w:tcPr>
            <w:tcW w:w="1720" w:type="dxa"/>
            <w:vAlign w:val="bottom"/>
          </w:tcPr>
          <w:p>
            <w:pPr>
              <w:ind w:left="20"/>
              <w:spacing w:after="0" w:line="99" w:lineRule="exact"/>
              <w:rPr>
                <w:sz w:val="20"/>
                <w:szCs w:val="20"/>
                <w:color w:val="auto"/>
              </w:rPr>
            </w:pPr>
            <w:r>
              <w:rPr>
                <w:rFonts w:ascii="Arial" w:cs="Arial" w:eastAsia="Arial" w:hAnsi="Arial"/>
                <w:sz w:val="11"/>
                <w:szCs w:val="11"/>
                <w:color w:val="auto"/>
                <w:w w:val="90"/>
              </w:rPr>
              <w:t>Oil &amp; Gas Engineering and Consulting</w:t>
            </w:r>
          </w:p>
        </w:tc>
        <w:tc>
          <w:tcPr>
            <w:tcW w:w="120" w:type="dxa"/>
            <w:vAlign w:val="bottom"/>
          </w:tcPr>
          <w:p>
            <w:pPr>
              <w:spacing w:after="0"/>
              <w:rPr>
                <w:sz w:val="8"/>
                <w:szCs w:val="8"/>
                <w:color w:val="auto"/>
              </w:rPr>
            </w:pPr>
          </w:p>
        </w:tc>
        <w:tc>
          <w:tcPr>
            <w:tcW w:w="660" w:type="dxa"/>
            <w:vAlign w:val="bottom"/>
          </w:tcPr>
          <w:p>
            <w:pPr>
              <w:jc w:val="center"/>
              <w:spacing w:after="0" w:line="99" w:lineRule="exact"/>
              <w:rPr>
                <w:sz w:val="20"/>
                <w:szCs w:val="20"/>
                <w:color w:val="auto"/>
              </w:rPr>
            </w:pPr>
            <w:r>
              <w:rPr>
                <w:rFonts w:ascii="Arial" w:cs="Arial" w:eastAsia="Arial" w:hAnsi="Arial"/>
                <w:sz w:val="11"/>
                <w:szCs w:val="11"/>
                <w:color w:val="auto"/>
                <w:w w:val="93"/>
              </w:rPr>
              <w:t>15% PIK</w:t>
            </w:r>
          </w:p>
        </w:tc>
        <w:tc>
          <w:tcPr>
            <w:tcW w:w="12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90"/>
              </w:rPr>
              <w:t>09/11/2023</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vMerge w:val="restart"/>
          </w:tcPr>
          <w:p>
            <w:pPr>
              <w:ind w:left="20"/>
              <w:spacing w:after="0"/>
              <w:rPr>
                <w:sz w:val="20"/>
                <w:szCs w:val="20"/>
                <w:color w:val="auto"/>
              </w:rPr>
            </w:pPr>
            <w:r>
              <w:rPr>
                <w:rFonts w:ascii="Arial" w:cs="Arial" w:eastAsia="Arial" w:hAnsi="Arial"/>
                <w:sz w:val="11"/>
                <w:szCs w:val="11"/>
                <w:color w:val="auto"/>
              </w:rPr>
              <w:t>Services</w:t>
            </w: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3</w:t>
            </w:r>
          </w:p>
        </w:tc>
        <w:tc>
          <w:tcPr>
            <w:tcW w:w="880" w:type="dxa"/>
            <w:vAlign w:val="bottom"/>
            <w:gridSpan w:val="2"/>
            <w:vMerge w:val="restart"/>
          </w:tcPr>
          <w:p>
            <w:pPr>
              <w:ind w:left="24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72"/>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20" w:type="dxa"/>
            <w:vAlign w:val="bottom"/>
            <w:tcBorders>
              <w:bottom w:val="single" w:sz="8" w:color="CFF0FC"/>
            </w:tcBorders>
            <w:shd w:val="clear" w:color="auto" w:fill="CFF0FC"/>
          </w:tcPr>
          <w:p>
            <w:pPr>
              <w:spacing w:after="0"/>
              <w:rPr>
                <w:sz w:val="12"/>
                <w:szCs w:val="12"/>
                <w:color w:val="auto"/>
              </w:rPr>
            </w:pP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5"/>
              </w:rPr>
              <w:t>Data Processing &amp; Digital Marketing</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3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8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912</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Joint Ventures - 0.3%</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Great Lakes II Funding LLC - Series A</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Financials</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277,244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270</w:t>
            </w:r>
          </w:p>
        </w:tc>
        <w:tc>
          <w:tcPr>
            <w:tcW w:w="880" w:type="dxa"/>
            <w:vAlign w:val="bottom"/>
            <w:gridSpan w:val="2"/>
          </w:tcPr>
          <w:p>
            <w:pPr>
              <w:ind w:left="240"/>
              <w:spacing w:after="0"/>
              <w:rPr>
                <w:sz w:val="20"/>
                <w:szCs w:val="20"/>
                <w:color w:val="auto"/>
              </w:rPr>
            </w:pPr>
            <w:r>
              <w:rPr>
                <w:rFonts w:ascii="Arial" w:cs="Arial" w:eastAsia="Arial" w:hAnsi="Arial"/>
                <w:sz w:val="11"/>
                <w:szCs w:val="11"/>
                <w:color w:val="auto"/>
              </w:rPr>
              <w:t>(28)(29)</w:t>
            </w:r>
          </w:p>
        </w:tc>
        <w:tc>
          <w:tcPr>
            <w:tcW w:w="0" w:type="dxa"/>
            <w:vAlign w:val="bottom"/>
          </w:tcPr>
          <w:p>
            <w:pPr>
              <w:spacing w:after="0"/>
              <w:rPr>
                <w:sz w:val="1"/>
                <w:szCs w:val="1"/>
                <w:color w:val="auto"/>
              </w:rPr>
            </w:pPr>
          </w:p>
        </w:tc>
      </w:tr>
      <w:tr>
        <w:trPr>
          <w:trHeight w:val="128"/>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Joint Ventures</w:t>
            </w:r>
          </w:p>
        </w:tc>
        <w:tc>
          <w:tcPr>
            <w:tcW w:w="120" w:type="dxa"/>
            <w:vAlign w:val="bottom"/>
            <w:tcBorders>
              <w:bottom w:val="single" w:sz="8" w:color="CFF0FC"/>
            </w:tcBorders>
            <w:shd w:val="clear" w:color="auto" w:fill="CFF0FC"/>
          </w:tcPr>
          <w:p>
            <w:pPr>
              <w:spacing w:after="0"/>
              <w:rPr>
                <w:sz w:val="11"/>
                <w:szCs w:val="11"/>
                <w:color w:val="auto"/>
              </w:rPr>
            </w:pPr>
          </w:p>
        </w:tc>
        <w:tc>
          <w:tcPr>
            <w:tcW w:w="1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277</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w:t>
            </w: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Preferred Stock and Units - 0.3%</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color w:val="auto"/>
              </w:rPr>
              <w:t>GA Communications, Inc. - Series A-1</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Advertising &amp; Marketing Services</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1,998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3,477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3,823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GreenPark Infrastructure, LLC - Series A</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Industrials</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200</w:t>
            </w:r>
          </w:p>
        </w:tc>
        <w:tc>
          <w:tcPr>
            <w:tcW w:w="880" w:type="dxa"/>
            <w:vAlign w:val="bottom"/>
            <w:gridSpan w:val="2"/>
          </w:tcPr>
          <w:p>
            <w:pPr>
              <w:ind w:left="2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QSR Franchisor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202,336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934</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Medical Device Distributor</w:t>
            </w: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2"/>
              </w:rPr>
              <w:t>8.00% PIK</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1,875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1,851</w:t>
            </w:r>
          </w:p>
        </w:tc>
        <w:tc>
          <w:tcPr>
            <w:tcW w:w="880" w:type="dxa"/>
            <w:vAlign w:val="bottom"/>
            <w:gridSpan w:val="2"/>
          </w:tcPr>
          <w:p>
            <w:pPr>
              <w:ind w:left="24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35"/>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120" w:type="dxa"/>
            <w:vAlign w:val="bottom"/>
            <w:tcBorders>
              <w:bottom w:val="single" w:sz="8" w:color="CFF0FC"/>
            </w:tcBorders>
            <w:shd w:val="clear" w:color="auto" w:fill="CFF0FC"/>
          </w:tcPr>
          <w:p>
            <w:pPr>
              <w:spacing w:after="0"/>
              <w:rPr>
                <w:sz w:val="11"/>
                <w:szCs w:val="11"/>
                <w:color w:val="auto"/>
              </w:rPr>
            </w:pP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Financial Services</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2"/>
              </w:rPr>
              <w:t>6.00% PIK</w:t>
            </w: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86,000</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1,116</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2,869</w:t>
            </w:r>
          </w:p>
        </w:tc>
        <w:tc>
          <w:tcPr>
            <w:tcW w:w="8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28"/>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7,105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9,677</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- 9.9%</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Burgaflex Holdings, LLC - Class A</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Automobile Part Manufacturer</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1,253,198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1,914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color w:val="auto"/>
              </w:rPr>
              <w:t>Burgaflex Holdings, LLC - Class B</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Automobile Part Manufacturer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1,085,073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2,905</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GA Communications, Inc. - Series B-1</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Advertising &amp; Marketing Services</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color w:val="auto"/>
              </w:rPr>
              <w:t>GreenPark Infrastructure, LLC - Series M-1</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Industrials</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880" w:type="dxa"/>
            <w:vAlign w:val="bottom"/>
            <w:gridSpan w:val="2"/>
            <w:shd w:val="clear" w:color="auto" w:fill="CFF0FC"/>
          </w:tcPr>
          <w:p>
            <w:pPr>
              <w:ind w:left="240"/>
              <w:spacing w:after="0"/>
              <w:rPr>
                <w:sz w:val="20"/>
                <w:szCs w:val="20"/>
                <w:color w:val="auto"/>
              </w:rPr>
            </w:pPr>
            <w:r>
              <w:rPr>
                <w:rFonts w:ascii="Arial" w:cs="Arial" w:eastAsia="Arial" w:hAnsi="Arial"/>
                <w:sz w:val="11"/>
                <w:szCs w:val="11"/>
                <w:color w:val="auto"/>
              </w:rPr>
              <w:t>(6)(23)</w:t>
            </w: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QSR Franchisor</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2,593,234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2,692</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1"/>
                <w:szCs w:val="11"/>
                <w:color w:val="auto"/>
              </w:rPr>
            </w:pP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Medical Device Distributor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20"/>
              <w:spacing w:after="0"/>
              <w:rPr>
                <w:sz w:val="20"/>
                <w:szCs w:val="20"/>
                <w:color w:val="auto"/>
              </w:rPr>
            </w:pPr>
            <w:r>
              <w:rPr>
                <w:rFonts w:ascii="Arial" w:cs="Arial" w:eastAsia="Arial" w:hAnsi="Arial"/>
                <w:sz w:val="11"/>
                <w:szCs w:val="11"/>
                <w:color w:val="auto"/>
              </w:rPr>
              <w:t>Nth Degree Investment Group, LLC</w:t>
            </w:r>
          </w:p>
        </w:tc>
        <w:tc>
          <w:tcPr>
            <w:tcW w:w="120" w:type="dxa"/>
            <w:vAlign w:val="bottom"/>
          </w:tcPr>
          <w:p>
            <w:pPr>
              <w:spacing w:after="0"/>
              <w:rPr>
                <w:sz w:val="11"/>
                <w:szCs w:val="11"/>
                <w:color w:val="auto"/>
              </w:rPr>
            </w:pPr>
          </w:p>
        </w:tc>
        <w:tc>
          <w:tcPr>
            <w:tcW w:w="1720" w:type="dxa"/>
            <w:vAlign w:val="bottom"/>
          </w:tcPr>
          <w:p>
            <w:pPr>
              <w:ind w:left="20"/>
              <w:spacing w:after="0"/>
              <w:rPr>
                <w:sz w:val="20"/>
                <w:szCs w:val="20"/>
                <w:color w:val="auto"/>
              </w:rPr>
            </w:pPr>
            <w:r>
              <w:rPr>
                <w:rFonts w:ascii="Arial" w:cs="Arial" w:eastAsia="Arial" w:hAnsi="Arial"/>
                <w:sz w:val="11"/>
                <w:szCs w:val="11"/>
                <w:color w:val="auto"/>
              </w:rPr>
              <w:t>Business Services</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6,088,000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6,088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1,937</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64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20" w:type="dxa"/>
            <w:vAlign w:val="bottom"/>
            <w:shd w:val="clear" w:color="auto" w:fill="CFF0FC"/>
          </w:tcPr>
          <w:p>
            <w:pPr>
              <w:spacing w:after="0"/>
              <w:rPr>
                <w:sz w:val="8"/>
                <w:szCs w:val="8"/>
                <w:color w:val="auto"/>
              </w:rPr>
            </w:pPr>
          </w:p>
        </w:tc>
        <w:tc>
          <w:tcPr>
            <w:tcW w:w="172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w w:val="90"/>
              </w:rPr>
              <w:t>Oil &amp; Gas Engineering and Consulting</w:t>
            </w:r>
          </w:p>
        </w:tc>
        <w:tc>
          <w:tcPr>
            <w:tcW w:w="12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72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Services</w:t>
            </w:r>
          </w:p>
        </w:tc>
        <w:tc>
          <w:tcPr>
            <w:tcW w:w="12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8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15,068,000</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6,958</w:t>
            </w:r>
          </w:p>
        </w:tc>
        <w:tc>
          <w:tcPr>
            <w:tcW w:w="360" w:type="dxa"/>
            <w:vAlign w:val="bottom"/>
            <w:vMerge w:val="restart"/>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201</w:t>
            </w:r>
          </w:p>
        </w:tc>
        <w:tc>
          <w:tcPr>
            <w:tcW w:w="2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64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1720" w:type="dxa"/>
            <w:vAlign w:val="bottom"/>
            <w:tcBorders>
              <w:bottom w:val="single" w:sz="8" w:color="CFF0FC"/>
            </w:tcBorders>
            <w:vMerge w:val="continue"/>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66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98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52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760" w:type="dxa"/>
            <w:vAlign w:val="bottom"/>
            <w:tcBorders>
              <w:bottom w:val="single" w:sz="8" w:color="CFF0FC"/>
            </w:tcBorders>
            <w:shd w:val="clear" w:color="auto" w:fill="CFF0FC"/>
          </w:tcPr>
          <w:p>
            <w:pPr>
              <w:spacing w:after="0"/>
              <w:rPr>
                <w:sz w:val="5"/>
                <w:szCs w:val="5"/>
                <w:color w:val="auto"/>
              </w:rPr>
            </w:pPr>
          </w:p>
        </w:tc>
        <w:tc>
          <w:tcPr>
            <w:tcW w:w="780" w:type="dxa"/>
            <w:vAlign w:val="bottom"/>
            <w:tcBorders>
              <w:bottom w:val="single" w:sz="8" w:color="CFF0FC"/>
            </w:tcBorders>
            <w:gridSpan w:val="2"/>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460" w:type="dxa"/>
            <w:vAlign w:val="bottom"/>
            <w:tcBorders>
              <w:bottom w:val="single" w:sz="8" w:color="auto"/>
            </w:tcBorders>
            <w:vMerge w:val="continue"/>
            <w:shd w:val="clear" w:color="auto" w:fill="CFF0FC"/>
          </w:tcPr>
          <w:p>
            <w:pPr>
              <w:spacing w:after="0"/>
              <w:rPr>
                <w:sz w:val="5"/>
                <w:szCs w:val="5"/>
                <w:color w:val="auto"/>
              </w:rPr>
            </w:pPr>
          </w:p>
        </w:tc>
        <w:tc>
          <w:tcPr>
            <w:tcW w:w="360" w:type="dxa"/>
            <w:vAlign w:val="bottom"/>
            <w:tcBorders>
              <w:bottom w:val="single" w:sz="8" w:color="CFF0FC"/>
            </w:tcBorders>
            <w:vMerge w:val="continue"/>
            <w:shd w:val="clear" w:color="auto" w:fill="CFF0FC"/>
          </w:tcPr>
          <w:p>
            <w:pPr>
              <w:spacing w:after="0"/>
              <w:rPr>
                <w:sz w:val="5"/>
                <w:szCs w:val="5"/>
                <w:color w:val="auto"/>
              </w:rPr>
            </w:pPr>
          </w:p>
        </w:tc>
        <w:tc>
          <w:tcPr>
            <w:tcW w:w="560" w:type="dxa"/>
            <w:vAlign w:val="bottom"/>
            <w:tcBorders>
              <w:bottom w:val="single" w:sz="8" w:color="auto"/>
            </w:tcBorders>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66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16,207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9,718</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w w:val="95"/>
              </w:rPr>
              <w:t>Total Investments in Affiliated Portfolio Companies^</w:t>
            </w:r>
          </w:p>
        </w:tc>
        <w:tc>
          <w:tcPr>
            <w:tcW w:w="120" w:type="dxa"/>
            <w:vAlign w:val="bottom"/>
            <w:tcBorders>
              <w:bottom w:val="single" w:sz="8" w:color="CFF0FC"/>
            </w:tcBorders>
            <w:shd w:val="clear" w:color="auto" w:fill="CFF0FC"/>
          </w:tcPr>
          <w:p>
            <w:pPr>
              <w:spacing w:after="0"/>
              <w:rPr>
                <w:sz w:val="11"/>
                <w:szCs w:val="11"/>
                <w:color w:val="auto"/>
              </w:rPr>
            </w:pPr>
          </w:p>
        </w:tc>
        <w:tc>
          <w:tcPr>
            <w:tcW w:w="1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30,612</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26,716</w:t>
            </w: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Total Investments - 196.7%</w:t>
            </w: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3"/>
          </w:tcPr>
          <w:p>
            <w:pPr>
              <w:spacing w:after="0"/>
              <w:rPr>
                <w:sz w:val="12"/>
                <w:szCs w:val="12"/>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202,743</w:t>
            </w:r>
          </w:p>
        </w:tc>
        <w:tc>
          <w:tcPr>
            <w:tcW w:w="36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   193,120</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-2553970</wp:posOffset>
            </wp:positionV>
            <wp:extent cx="6858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-2553970</wp:posOffset>
            </wp:positionV>
            <wp:extent cx="68580" cy="939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-2125345</wp:posOffset>
            </wp:positionV>
            <wp:extent cx="6858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-2125345</wp:posOffset>
            </wp:positionV>
            <wp:extent cx="6858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-1757045</wp:posOffset>
            </wp:positionV>
            <wp:extent cx="6858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-1757045</wp:posOffset>
            </wp:positionV>
            <wp:extent cx="6858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-1233805</wp:posOffset>
            </wp:positionV>
            <wp:extent cx="6858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-1233805</wp:posOffset>
            </wp:positionV>
            <wp:extent cx="6858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-290830</wp:posOffset>
            </wp:positionV>
            <wp:extent cx="6858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-290830</wp:posOffset>
            </wp:positionV>
            <wp:extent cx="6858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-102235</wp:posOffset>
            </wp:positionV>
            <wp:extent cx="6858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-102235</wp:posOffset>
            </wp:positionV>
            <wp:extent cx="685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ind w:firstLine="8"/>
        <w:spacing w:after="0" w:line="250" w:lineRule="auto"/>
        <w:tabs>
          <w:tab w:leader="none" w:pos="269"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defined in the Investment Company Act of 1940, as amended (the "1940 Act"), the investment is deemed to be an "affiliated person" of the Company because the Company owns, either directly or indirectly, 5% or more of the portfolio company's outstanding voting securities.</w:t>
      </w:r>
    </w:p>
    <w:p>
      <w:pPr>
        <w:spacing w:after="0" w:line="251" w:lineRule="auto"/>
        <w:rPr>
          <w:rFonts w:ascii="Arial" w:cs="Arial" w:eastAsia="Arial" w:hAnsi="Arial"/>
          <w:sz w:val="14"/>
          <w:szCs w:val="14"/>
          <w:color w:val="auto"/>
        </w:rPr>
      </w:pPr>
      <w:r>
        <w:rPr>
          <w:rFonts w:ascii="Arial" w:cs="Arial" w:eastAsia="Arial" w:hAnsi="Arial"/>
          <w:sz w:val="14"/>
          <w:szCs w:val="14"/>
          <w:color w:val="auto"/>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-423545</wp:posOffset>
            </wp:positionV>
            <wp:extent cx="9601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jc w:val="both"/>
        <w:ind w:firstLine="8"/>
        <w:spacing w:after="0" w:line="244" w:lineRule="auto"/>
        <w:tabs>
          <w:tab w:leader="none" w:pos="353"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actual interest rate for partially or fully funded debt in effect as of the reporting date. Variable rate loans bear interest at a rate that may be determined by the larger of the floor of the reference to either LIBOR ("L"), SOFR or alternate base rate (commonly known as the U.S. Prime Rate ("P"), unless otherwise noted) at the borrower's option, which reset periodically based on the terms of the credit agreement. L loans are typically indexed to 6 month, 3 month, or 1 month L rates. SOFR loans are typically indexed to 6 month, 3 month, or 1 month SOFR rates. As of September 30, 2022, rates for the 6 month, 3 month, and 1 month L are 4.23%, 3.75%, and 3.14%, respectively. As of September 30, 2022, rates for the 6 month, 3 month and 1 month SOFR are 3.99%, 3.59%, and 3.04%, respectively. As of September 30, 2022, P was 6.25%. For investments with multiple reference rates or alternate base rates, the interest rate shown is the weighted average interest rate in effect at September 30, 2022.</w:t>
      </w:r>
    </w:p>
    <w:p>
      <w:pPr>
        <w:spacing w:after="0" w:line="3"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Par amount is presented for debt investments, while the number of shares or units owned is presented for equity investments.</w:t>
      </w:r>
    </w:p>
    <w:p>
      <w:pPr>
        <w:ind w:left="520" w:hanging="512"/>
        <w:spacing w:after="0" w:line="193"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All investments valued using unobservable inputs (Level 3), unless otherwise noted.</w:t>
      </w:r>
    </w:p>
    <w:p>
      <w:pPr>
        <w:ind w:left="520" w:hanging="512"/>
        <w:spacing w:after="0" w:line="204"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spacing w:after="0" w:line="1" w:lineRule="exact"/>
        <w:rPr>
          <w:rFonts w:ascii="Arial" w:cs="Arial" w:eastAsia="Arial" w:hAnsi="Arial"/>
          <w:sz w:val="19"/>
          <w:szCs w:val="19"/>
          <w:color w:val="auto"/>
          <w:vertAlign w:val="superscript"/>
        </w:rPr>
      </w:pPr>
    </w:p>
    <w:p>
      <w:pPr>
        <w:ind w:left="520" w:hanging="512"/>
        <w:spacing w:after="0" w:line="186"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Percentages are based on net assets as of September 30, 2022.</w:t>
      </w:r>
    </w:p>
    <w:p>
      <w:pPr>
        <w:ind w:left="520" w:hanging="512"/>
        <w:spacing w:after="0" w:line="204"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 w:lineRule="exact"/>
        <w:rPr>
          <w:rFonts w:ascii="Arial" w:cs="Arial" w:eastAsia="Arial" w:hAnsi="Arial"/>
          <w:sz w:val="19"/>
          <w:szCs w:val="19"/>
          <w:color w:val="auto"/>
          <w:vertAlign w:val="superscript"/>
        </w:rPr>
      </w:pPr>
    </w:p>
    <w:p>
      <w:pPr>
        <w:ind w:left="520" w:hanging="512"/>
        <w:spacing w:after="0" w:line="186"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Investment is held through our Taxable Subsidiary (See Note 1).</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Non-accrual investment.</w:t>
      </w: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1.0% of interest rate payable in cash. 9.0% of interest rate payable in cash or paid-in-kind at borrower's election. The borrower is currently paying all interest in cash.</w:t>
      </w: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15.0% of interest rate payable in cash or paid-in-kind at borrower's election.</w:t>
      </w:r>
    </w:p>
    <w:p>
      <w:pPr>
        <w:ind w:left="520" w:hanging="512"/>
        <w:spacing w:after="0" w:line="186"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cash rate equals the approximate current yield on our last-out portion of the unitranche facility.</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investment has been exited or sold. The residual value reflects estimated earnout, escrow, or other proceeds expected post-closing.</w:t>
      </w: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investment has a $0.9 million unfunded commitment.</w:t>
      </w: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investment has a $1.5 million unfunded commitment.</w:t>
      </w:r>
    </w:p>
    <w:p>
      <w:pPr>
        <w:ind w:left="520" w:hanging="512"/>
        <w:spacing w:after="0" w:line="186"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investment has a $0.5 million unfunded commitment.</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investment has a $2.1 million unfunded commitment.</w:t>
      </w: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investment has a $1.0 million unfunded commitment.</w:t>
      </w:r>
    </w:p>
    <w:p>
      <w:pPr>
        <w:ind w:left="520" w:hanging="512"/>
        <w:spacing w:after="0" w:line="187" w:lineRule="auto"/>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investment has a $0.9 million unfunded commitment.</w:t>
      </w:r>
    </w:p>
    <w:p>
      <w:pPr>
        <w:ind w:left="520" w:hanging="512"/>
        <w:spacing w:after="0" w:line="186"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investment has a $0.5 million unfunded commitment.</w:t>
      </w:r>
    </w:p>
    <w:p>
      <w:pPr>
        <w:spacing w:after="0" w:line="6" w:lineRule="exact"/>
        <w:rPr>
          <w:rFonts w:ascii="Arial" w:cs="Arial" w:eastAsia="Arial" w:hAnsi="Arial"/>
          <w:sz w:val="19"/>
          <w:szCs w:val="19"/>
          <w:color w:val="auto"/>
          <w:vertAlign w:val="superscript"/>
        </w:rPr>
      </w:pPr>
    </w:p>
    <w:p>
      <w:pPr>
        <w:ind w:left="520" w:hanging="512"/>
        <w:spacing w:after="0" w:line="186" w:lineRule="auto"/>
        <w:tabs>
          <w:tab w:leader="none" w:pos="5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Collateralized loan obligations ("CLO" or "CLO's") are entitled to periodic distributions which are generally equal to the remaining cash flow of the payments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excepts for units/shares)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p>
      <w:pPr>
        <w:ind w:left="520"/>
        <w:spacing w:after="0" w:line="269" w:lineRule="auto"/>
        <w:rPr>
          <w:sz w:val="20"/>
          <w:szCs w:val="20"/>
          <w:color w:val="auto"/>
        </w:rPr>
      </w:pPr>
      <w:r>
        <w:rPr>
          <w:rFonts w:ascii="Arial" w:cs="Arial" w:eastAsia="Arial" w:hAnsi="Arial"/>
          <w:sz w:val="13"/>
          <w:szCs w:val="13"/>
          <w:color w:val="auto"/>
        </w:rPr>
        <w:t>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520" w:hanging="512"/>
        <w:spacing w:after="0" w:line="187" w:lineRule="auto"/>
        <w:tabs>
          <w:tab w:leader="none" w:pos="5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 investment has a $1.4 million unfunded commitment.</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investment has a $2.0 million unfunded commitment.</w:t>
      </w:r>
    </w:p>
    <w:p>
      <w:pPr>
        <w:ind w:left="520" w:hanging="512"/>
        <w:spacing w:after="0" w:line="187" w:lineRule="auto"/>
        <w:tabs>
          <w:tab w:leader="none" w:pos="5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investment has a $0.4 million unfunded commitment.</w:t>
      </w:r>
    </w:p>
    <w:p>
      <w:pPr>
        <w:ind w:left="520" w:hanging="512"/>
        <w:spacing w:after="0" w:line="187" w:lineRule="auto"/>
        <w:tabs>
          <w:tab w:leader="none" w:pos="5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investment has a $0.7 million unfunded commitment.</w:t>
      </w:r>
    </w:p>
    <w:p>
      <w:pPr>
        <w:ind w:left="520" w:hanging="512"/>
        <w:spacing w:after="0" w:line="186" w:lineRule="auto"/>
        <w:tabs>
          <w:tab w:leader="none" w:pos="5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 investment has a $2.5 million unfunded commitment.</w:t>
      </w:r>
    </w:p>
    <w:p>
      <w:pPr>
        <w:spacing w:after="0" w:line="6" w:lineRule="exact"/>
        <w:rPr>
          <w:rFonts w:ascii="Arial" w:cs="Arial" w:eastAsia="Arial" w:hAnsi="Arial"/>
          <w:sz w:val="19"/>
          <w:szCs w:val="19"/>
          <w:color w:val="auto"/>
          <w:vertAlign w:val="superscript"/>
        </w:rPr>
      </w:pPr>
    </w:p>
    <w:p>
      <w:pPr>
        <w:jc w:val="both"/>
        <w:ind w:left="520" w:hanging="512"/>
        <w:spacing w:after="0" w:line="215" w:lineRule="auto"/>
        <w:tabs>
          <w:tab w:leader="none" w:pos="5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 Additionally, during the second quarter of 2022, the Company received a cash payment of $0.6 million, which further reduced the cost basis of the term loan.</w:t>
      </w:r>
    </w:p>
    <w:p>
      <w:pPr>
        <w:spacing w:after="0" w:line="1" w:lineRule="exact"/>
        <w:rPr>
          <w:rFonts w:ascii="Arial" w:cs="Arial" w:eastAsia="Arial" w:hAnsi="Arial"/>
          <w:sz w:val="19"/>
          <w:szCs w:val="19"/>
          <w:color w:val="auto"/>
          <w:vertAlign w:val="superscript"/>
        </w:rPr>
      </w:pPr>
    </w:p>
    <w:p>
      <w:pPr>
        <w:ind w:left="520" w:hanging="512"/>
        <w:spacing w:after="0" w:line="208" w:lineRule="auto"/>
        <w:tabs>
          <w:tab w:leader="none" w:pos="52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All or a portion of this security is pledged as collateral under the KeyBank Credit Facility and held through the Company's wholly-owned subsidiary Capitala Business Lending, LLC.</w:t>
      </w:r>
    </w:p>
    <w:p>
      <w:pPr>
        <w:spacing w:after="0" w:line="6" w:lineRule="exact"/>
        <w:rPr>
          <w:rFonts w:ascii="Arial" w:cs="Arial" w:eastAsia="Arial" w:hAnsi="Arial"/>
          <w:sz w:val="17"/>
          <w:szCs w:val="17"/>
          <w:color w:val="auto"/>
          <w:vertAlign w:val="superscript"/>
        </w:rPr>
      </w:pPr>
    </w:p>
    <w:p>
      <w:pPr>
        <w:ind w:left="520" w:hanging="512"/>
        <w:spacing w:after="0" w:line="187" w:lineRule="auto"/>
        <w:tabs>
          <w:tab w:leader="none" w:pos="52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equity investment is income producing, based on rate disclosed.</w:t>
      </w:r>
    </w:p>
    <w:p>
      <w:pPr>
        <w:jc w:val="both"/>
        <w:ind w:left="520" w:hanging="512"/>
        <w:spacing w:after="0" w:line="219" w:lineRule="auto"/>
        <w:tabs>
          <w:tab w:leader="none" w:pos="57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96.7% of the Company’s total assets and non-qualifying assets represent 3.3% of the Company’s total assets.</w:t>
      </w:r>
    </w:p>
    <w:p>
      <w:pPr>
        <w:spacing w:after="0" w:line="1" w:lineRule="exact"/>
        <w:rPr>
          <w:rFonts w:ascii="Arial" w:cs="Arial" w:eastAsia="Arial" w:hAnsi="Arial"/>
          <w:sz w:val="19"/>
          <w:szCs w:val="19"/>
          <w:color w:val="auto"/>
          <w:vertAlign w:val="superscript"/>
        </w:rPr>
      </w:pPr>
    </w:p>
    <w:p>
      <w:pPr>
        <w:ind w:left="520" w:hanging="512"/>
        <w:spacing w:after="0" w:line="192" w:lineRule="auto"/>
        <w:tabs>
          <w:tab w:leader="none" w:pos="5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The investment has a $0.2 million unfunded commitment.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Consolidated 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for units/shares)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9"/>
              </w:rPr>
              <w:t>Interest Rate</w:t>
            </w:r>
          </w:p>
        </w:tc>
        <w:tc>
          <w:tcPr>
            <w:tcW w:w="1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w w:val="90"/>
              </w:rPr>
              <w:t>Par/Shares</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00" w:type="dxa"/>
            <w:vAlign w:val="bottom"/>
          </w:tcPr>
          <w:p>
            <w:pPr>
              <w:spacing w:after="0"/>
              <w:rPr>
                <w:sz w:val="13"/>
                <w:szCs w:val="13"/>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Industry</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and Spread (+)</w:t>
            </w:r>
          </w:p>
        </w:tc>
        <w:tc>
          <w:tcPr>
            <w:tcW w:w="12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Floor (+)</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Cost</w:t>
            </w:r>
          </w:p>
        </w:tc>
        <w:tc>
          <w:tcPr>
            <w:tcW w:w="3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Fair Value</w:t>
            </w:r>
          </w:p>
        </w:tc>
        <w:tc>
          <w:tcPr>
            <w:tcW w:w="200" w:type="dxa"/>
            <w:vAlign w:val="bottom"/>
          </w:tcPr>
          <w:p>
            <w:pPr>
              <w:spacing w:after="0"/>
              <w:rPr>
                <w:sz w:val="13"/>
                <w:szCs w:val="13"/>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Footnotes</w:t>
            </w:r>
          </w:p>
        </w:tc>
        <w:tc>
          <w:tcPr>
            <w:tcW w:w="0" w:type="dxa"/>
            <w:vAlign w:val="bottom"/>
          </w:tcPr>
          <w:p>
            <w:pPr>
              <w:spacing w:after="0"/>
              <w:rPr>
                <w:sz w:val="1"/>
                <w:szCs w:val="1"/>
                <w:color w:val="auto"/>
              </w:rPr>
            </w:pPr>
          </w:p>
        </w:tc>
      </w:tr>
      <w:tr>
        <w:trPr>
          <w:trHeight w:val="133"/>
        </w:trPr>
        <w:tc>
          <w:tcPr>
            <w:tcW w:w="4400" w:type="dxa"/>
            <w:vAlign w:val="bottom"/>
            <w:gridSpan w:val="3"/>
          </w:tcPr>
          <w:p>
            <w:pPr>
              <w:ind w:left="20"/>
              <w:spacing w:after="0"/>
              <w:rPr>
                <w:sz w:val="20"/>
                <w:szCs w:val="20"/>
                <w:color w:val="auto"/>
              </w:rPr>
            </w:pPr>
            <w:r>
              <w:rPr>
                <w:rFonts w:ascii="Arial" w:cs="Arial" w:eastAsia="Arial" w:hAnsi="Arial"/>
                <w:sz w:val="11"/>
                <w:szCs w:val="11"/>
                <w:b w:val="1"/>
                <w:bCs w:val="1"/>
                <w:color w:val="auto"/>
              </w:rPr>
              <w:t>Investments in Non-Control, Non-Affiliate Portfolio Companies - 121.5%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- 82.5%</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Accordion Partners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Industrials</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09/24/2027</w:t>
            </w:r>
          </w:p>
        </w:tc>
        <w:tc>
          <w:tcPr>
            <w:tcW w:w="24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13,965</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13,736</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   13,719</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Accordion Partners LLC (Revolver)</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Industrials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09/30/2026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(71 )</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(68 )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Accurate Background,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03/26/2027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2,999</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2,740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2,760</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8.00%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12/18/2022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7,119</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7,119</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6,824</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American Clinical Solutions,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12/31/2022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3,500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3,500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3,468</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AP Core Holdings II,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Information Technology</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6.25%</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0.75%</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07/21/2027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1,234</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1,217</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1,236</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AP Core Holdings II,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6.25%</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0.75%</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1,250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1,232</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1,254</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BigMouth, Inc.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Consumer Products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11/14/2021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1,513</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758</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Bradshaw International, Inc.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Consumer Discretionary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6.75%</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10/21/2027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506</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493</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493</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Bradshaw International, Inc. (Revolver)</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Consumer Discretionary</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6.75%</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10/21/2026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177</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Critical Nurse Staffing,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10/30/2026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5,923</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5,806</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5,805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Critical Nurse Staffing, LLC (Revolver)</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10/30/2026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(17 )</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(17 )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Freedom Electronics, LLC (First Out)</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Electronic Machine Repair</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+ 5.00%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2.00%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2,588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2,588</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2,588</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Freedom Electronics, LLC (Last Out)</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Electronic Machine Repair</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8.67%</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12/20/2023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5,647</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(10)(26)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HUMC Opco,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01/14/2022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4,673</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4,673</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4,619</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J5 Infrastructure Partners, LLC (Revolver)</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Wireless Deployment Services</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+ 6.50%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1.80%</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JO ET Holdings Limited</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14.00%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3"/>
              </w:rPr>
              <w:t>L + 6.00%, 7.00 PIK</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12/15/2026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980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980</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Jurassic Quest Holdings,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Entertainment</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9.50%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+ 7.50%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2.00%</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05/01/2024</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8,355</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8,355</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8,397</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Keg Logistics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Consumer Discretionary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11/23/2027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7,535</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7,424</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7,422</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Keg Logistics LLC (Revolver)</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Consumer Discretionary</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11/23/2027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(13 )</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(13 )</w:t>
            </w: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Lucky Bucks,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Consumer Discretionary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6.25%</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+ 5.50%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0.75%</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07/21/2027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2,944</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2,939</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Marble Point Credit Management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Financials</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7"/>
              </w:rPr>
              <w:t>08/11/2028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5,801</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5,651</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5,656</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Marble Point Credit Management LLC (Revolver)</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Financials</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08/11/2028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(24 )</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(62 )</w:t>
            </w:r>
          </w:p>
        </w:tc>
        <w:tc>
          <w:tcPr>
            <w:tcW w:w="660" w:type="dxa"/>
            <w:vAlign w:val="bottom"/>
          </w:tcPr>
          <w:p>
            <w:pPr>
              <w:ind w:left="20"/>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Premier Imaging,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+ 6.00%</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12/29/2028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2,063</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2,023</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2,023</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Rotolo Consultants, Inc.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Industrials</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9.00%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+ 8.00%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12/21/2026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990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990</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Sequoia Healthcare Management,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 Management</w:t>
            </w:r>
          </w:p>
        </w:tc>
        <w:tc>
          <w:tcPr>
            <w:tcW w:w="76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12.80%</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01/14/2022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11,935</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7,002</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Wealth Enhancement Group,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Financials</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6.75%</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10/02/2027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3,725</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3,699</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3,686</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35"/>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Wealth Enhancement Group, LLC (Revolver)</w:t>
            </w:r>
          </w:p>
        </w:tc>
        <w:tc>
          <w:tcPr>
            <w:tcW w:w="100" w:type="dxa"/>
            <w:vAlign w:val="bottom"/>
            <w:tcBorders>
              <w:bottom w:val="single" w:sz="8" w:color="CFF0FC"/>
            </w:tcBorders>
            <w:shd w:val="clear" w:color="auto" w:fill="CFF0FC"/>
          </w:tcPr>
          <w:p>
            <w:pPr>
              <w:spacing w:after="0"/>
              <w:rPr>
                <w:sz w:val="11"/>
                <w:szCs w:val="11"/>
                <w:color w:val="auto"/>
              </w:rPr>
            </w:pPr>
          </w:p>
        </w:tc>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Financials</w:t>
            </w:r>
          </w:p>
        </w:tc>
        <w:tc>
          <w:tcPr>
            <w:tcW w:w="76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6.75%</w:t>
            </w: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2"/>
              </w:rPr>
              <w:t>L + 5.75%</w:t>
            </w:r>
          </w:p>
        </w:tc>
        <w:tc>
          <w:tcPr>
            <w:tcW w:w="64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1.00%</w:t>
            </w:r>
          </w:p>
        </w:tc>
        <w:tc>
          <w:tcPr>
            <w:tcW w:w="9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10/02/2027</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166</w:t>
            </w:r>
          </w:p>
        </w:tc>
        <w:tc>
          <w:tcPr>
            <w:tcW w:w="3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164</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93,728</w:t>
            </w:r>
          </w:p>
        </w:tc>
        <w:tc>
          <w:tcPr>
            <w:tcW w:w="34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88,312</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- 11.9%</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BLST Operating Company,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Online Merchandise Retailer</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10.00%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+ 8.50%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1.50%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08/28/2025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1,780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1,780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1,780</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(8)(26)</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Ivanti Software, Inc.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Information Technology</w:t>
            </w:r>
          </w:p>
        </w:tc>
        <w:tc>
          <w:tcPr>
            <w:tcW w:w="7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7.75%</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2"/>
              </w:rPr>
              <w:t>L + 7.25%</w:t>
            </w:r>
          </w:p>
        </w:tc>
        <w:tc>
          <w:tcPr>
            <w:tcW w:w="64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0.50%</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12/01/2028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6,965</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7,018</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Mandolin Technology Intermediate Holdings, Inc.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6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7.00%</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2"/>
              </w:rPr>
              <w:t>L + 6.50%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0.50%</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07/23/2029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4,000</w:t>
            </w: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3,971</w:t>
            </w:r>
          </w:p>
        </w:tc>
        <w:tc>
          <w:tcPr>
            <w:tcW w:w="34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3,980</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00" w:type="dxa"/>
            <w:vAlign w:val="bottom"/>
            <w:tcBorders>
              <w:bottom w:val="single" w:sz="8" w:color="CFF0FC"/>
            </w:tcBorders>
            <w:shd w:val="clear" w:color="auto" w:fill="CFF0FC"/>
          </w:tcPr>
          <w:p>
            <w:pPr>
              <w:spacing w:after="0"/>
              <w:rPr>
                <w:sz w:val="11"/>
                <w:szCs w:val="11"/>
                <w:color w:val="auto"/>
              </w:rPr>
            </w:pP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12,716</w:t>
            </w:r>
          </w:p>
        </w:tc>
        <w:tc>
          <w:tcPr>
            <w:tcW w:w="3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12,778</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Subordinated Debt - 4.7%</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Tubular Textile Machinery, Inc.</w:t>
            </w:r>
          </w:p>
        </w:tc>
        <w:tc>
          <w:tcPr>
            <w:tcW w:w="100" w:type="dxa"/>
            <w:vAlign w:val="bottom"/>
            <w:tcBorders>
              <w:bottom w:val="single" w:sz="8" w:color="CFF0FC"/>
            </w:tcBorders>
            <w:shd w:val="clear" w:color="auto" w:fill="CFF0FC"/>
          </w:tcPr>
          <w:p>
            <w:pPr>
              <w:spacing w:after="0"/>
              <w:rPr>
                <w:sz w:val="11"/>
                <w:szCs w:val="11"/>
                <w:color w:val="auto"/>
              </w:rPr>
            </w:pPr>
          </w:p>
        </w:tc>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Textile Equipment Manufacturer</w:t>
            </w:r>
          </w:p>
        </w:tc>
        <w:tc>
          <w:tcPr>
            <w:tcW w:w="76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89"/>
              </w:rPr>
              <w:t>5.00%</w:t>
            </w: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10/29/2027</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3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5,050</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Total Subordinated Debt</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5,050</w:t>
            </w:r>
          </w:p>
        </w:tc>
        <w:tc>
          <w:tcPr>
            <w:tcW w:w="34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5,050</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- 2.5%</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A</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13,811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1,275</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542</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Alternative Biomedical Solutions, LLC - Series B</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48,025</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3,943</w:t>
            </w:r>
          </w:p>
        </w:tc>
        <w:tc>
          <w:tcPr>
            <w:tcW w:w="3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Alternative Biomedical Solutions, LLC - Series 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78,900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Jurassic Quest Holdings,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Entertainment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467,784</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480</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MicroHoldco,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General Industrial</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740,237</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749</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645</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Taylor Precision Products, Inc. - Series 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Household Product Manufacturer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379</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758</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U.S. BioTek Laboratories, LLC - Class A</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Testing Laboratories</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500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540</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609</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U.S. BioTek Laboratories, LLC - Class D</w:t>
            </w:r>
          </w:p>
        </w:tc>
        <w:tc>
          <w:tcPr>
            <w:tcW w:w="100" w:type="dxa"/>
            <w:vAlign w:val="bottom"/>
            <w:tcBorders>
              <w:bottom w:val="single" w:sz="8" w:color="CFF0FC"/>
            </w:tcBorders>
            <w:shd w:val="clear" w:color="auto" w:fill="CFF0FC"/>
          </w:tcPr>
          <w:p>
            <w:pPr>
              <w:spacing w:after="0"/>
              <w:rPr>
                <w:sz w:val="11"/>
                <w:szCs w:val="11"/>
                <w:color w:val="auto"/>
              </w:rPr>
            </w:pPr>
          </w:p>
        </w:tc>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Testing Laboratories</w:t>
            </w: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w:t>
            </w:r>
          </w:p>
        </w:tc>
        <w:tc>
          <w:tcPr>
            <w:tcW w:w="3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101</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7,823</w:t>
            </w:r>
          </w:p>
        </w:tc>
        <w:tc>
          <w:tcPr>
            <w:tcW w:w="34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2,681</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- 19.8%</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Alternative Biomedical Solutions,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20,092</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800</w:t>
            </w:r>
          </w:p>
        </w:tc>
        <w:tc>
          <w:tcPr>
            <w:tcW w:w="34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6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w w:val="92"/>
              </w:rPr>
              <w:t>Alternative Biomedical Solutions, LLC - Membership Unit</w:t>
            </w:r>
          </w:p>
        </w:tc>
        <w:tc>
          <w:tcPr>
            <w:tcW w:w="100" w:type="dxa"/>
            <w:vAlign w:val="bottom"/>
            <w:shd w:val="clear" w:color="auto" w:fill="CFF0FC"/>
          </w:tcPr>
          <w:p>
            <w:pPr>
              <w:spacing w:after="0"/>
              <w:rPr>
                <w:sz w:val="8"/>
                <w:szCs w:val="8"/>
                <w:color w:val="auto"/>
              </w:rPr>
            </w:pPr>
          </w:p>
        </w:tc>
        <w:tc>
          <w:tcPr>
            <w:tcW w:w="17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Healthcare</w:t>
            </w:r>
          </w:p>
        </w:tc>
        <w:tc>
          <w:tcPr>
            <w:tcW w:w="10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96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0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Warrants</w:t>
            </w:r>
          </w:p>
        </w:tc>
        <w:tc>
          <w:tcPr>
            <w:tcW w:w="100" w:type="dxa"/>
            <w:vAlign w:val="bottom"/>
            <w:shd w:val="clear" w:color="auto" w:fill="CFF0FC"/>
          </w:tcPr>
          <w:p>
            <w:pPr>
              <w:spacing w:after="0"/>
              <w:rPr>
                <w:sz w:val="7"/>
                <w:szCs w:val="7"/>
                <w:color w:val="auto"/>
              </w:rPr>
            </w:pPr>
          </w:p>
        </w:tc>
        <w:tc>
          <w:tcPr>
            <w:tcW w:w="17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49,295</w:t>
            </w:r>
          </w:p>
        </w:tc>
        <w:tc>
          <w:tcPr>
            <w:tcW w:w="3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20" w:type="dxa"/>
            <w:vAlign w:val="bottom"/>
            <w:gridSpan w:val="2"/>
            <w:vMerge w:val="restart"/>
            <w:shd w:val="clear" w:color="auto" w:fill="CFF0FC"/>
          </w:tcPr>
          <w:p>
            <w:pPr>
              <w:jc w:val="right"/>
              <w:ind w:right="3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6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7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American Clinical Solutions, LLC - Class A</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Healthcare</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97"/>
              </w:rPr>
              <w:t>6,030,384</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3,198</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5,587</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BLST Operating Company, LLC - Class A</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Online Merchandise Retailer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217,013</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286</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4,171</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Burke America Parts Group, LLC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Home Repair Parts Manufacturer</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14</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3,062</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Freedom Electronics, LLC</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Electronic Machine Repair</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181,818</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230</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JMP CLO IV Ltd.</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Financials</w:t>
            </w:r>
          </w:p>
        </w:tc>
        <w:tc>
          <w:tcPr>
            <w:tcW w:w="760" w:type="dxa"/>
            <w:vAlign w:val="bottom"/>
            <w:gridSpan w:val="2"/>
          </w:tcPr>
          <w:p>
            <w:pPr>
              <w:jc w:val="center"/>
              <w:ind w:left="46"/>
              <w:spacing w:after="0"/>
              <w:rPr>
                <w:sz w:val="20"/>
                <w:szCs w:val="20"/>
                <w:color w:val="auto"/>
              </w:rPr>
            </w:pPr>
            <w:r>
              <w:rPr>
                <w:rFonts w:ascii="Arial" w:cs="Arial" w:eastAsia="Arial" w:hAnsi="Arial"/>
                <w:sz w:val="11"/>
                <w:szCs w:val="11"/>
                <w:color w:val="auto"/>
                <w:w w:val="91"/>
              </w:rPr>
              <w:t>17.72%</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07/17/2029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7,891</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3,592</w:t>
            </w:r>
          </w:p>
        </w:tc>
        <w:tc>
          <w:tcPr>
            <w:tcW w:w="3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3,474</w:t>
            </w:r>
          </w:p>
        </w:tc>
        <w:tc>
          <w:tcPr>
            <w:tcW w:w="20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2600" w:type="dxa"/>
            <w:vAlign w:val="bottom"/>
            <w:shd w:val="clear" w:color="auto" w:fill="CFF0FC"/>
          </w:tcPr>
          <w:p>
            <w:pPr>
              <w:ind w:left="20"/>
              <w:spacing w:after="0"/>
              <w:rPr>
                <w:sz w:val="20"/>
                <w:szCs w:val="20"/>
                <w:color w:val="auto"/>
              </w:rPr>
            </w:pPr>
            <w:r>
              <w:rPr>
                <w:rFonts w:ascii="Arial" w:cs="Arial" w:eastAsia="Arial" w:hAnsi="Arial"/>
                <w:sz w:val="11"/>
                <w:szCs w:val="11"/>
                <w:color w:val="auto"/>
              </w:rPr>
              <w:t>JMP CLO V Ltd.</w:t>
            </w:r>
          </w:p>
        </w:tc>
        <w:tc>
          <w:tcPr>
            <w:tcW w:w="100" w:type="dxa"/>
            <w:vAlign w:val="bottom"/>
            <w:shd w:val="clear" w:color="auto" w:fill="CFF0FC"/>
          </w:tcPr>
          <w:p>
            <w:pPr>
              <w:spacing w:after="0"/>
              <w:rPr>
                <w:sz w:val="11"/>
                <w:szCs w:val="11"/>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Financials</w:t>
            </w:r>
          </w:p>
        </w:tc>
        <w:tc>
          <w:tcPr>
            <w:tcW w:w="76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91"/>
              </w:rPr>
              <w:t>20.89%</w:t>
            </w:r>
          </w:p>
        </w:tc>
        <w:tc>
          <w:tcPr>
            <w:tcW w:w="120" w:type="dxa"/>
            <w:vAlign w:val="bottom"/>
            <w:shd w:val="clear" w:color="auto" w:fill="CFF0FC"/>
          </w:tcPr>
          <w:p>
            <w:pPr>
              <w:spacing w:after="0"/>
              <w:rPr>
                <w:sz w:val="11"/>
                <w:szCs w:val="1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07/17/2030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7,320</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4,448</w:t>
            </w:r>
          </w:p>
        </w:tc>
        <w:tc>
          <w:tcPr>
            <w:tcW w:w="3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4,243</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Arial" w:cs="Arial" w:eastAsia="Arial" w:hAnsi="Arial"/>
                <w:sz w:val="11"/>
                <w:szCs w:val="11"/>
                <w:color w:val="auto"/>
              </w:rPr>
              <w:t>U.S. BioTek Laboratories, LLC - Class C</w:t>
            </w:r>
          </w:p>
        </w:tc>
        <w:tc>
          <w:tcPr>
            <w:tcW w:w="100" w:type="dxa"/>
            <w:vAlign w:val="bottom"/>
          </w:tcPr>
          <w:p>
            <w:pPr>
              <w:spacing w:after="0"/>
              <w:rPr>
                <w:sz w:val="11"/>
                <w:szCs w:val="11"/>
                <w:color w:val="auto"/>
              </w:rPr>
            </w:pPr>
          </w:p>
        </w:tc>
        <w:tc>
          <w:tcPr>
            <w:tcW w:w="1700" w:type="dxa"/>
            <w:vAlign w:val="bottom"/>
          </w:tcPr>
          <w:p>
            <w:pPr>
              <w:ind w:left="20"/>
              <w:spacing w:after="0"/>
              <w:rPr>
                <w:sz w:val="20"/>
                <w:szCs w:val="20"/>
                <w:color w:val="auto"/>
              </w:rPr>
            </w:pPr>
            <w:r>
              <w:rPr>
                <w:rFonts w:ascii="Arial" w:cs="Arial" w:eastAsia="Arial" w:hAnsi="Arial"/>
                <w:sz w:val="11"/>
                <w:szCs w:val="11"/>
                <w:color w:val="auto"/>
              </w:rPr>
              <w:t>Testing Laboratories</w:t>
            </w:r>
          </w:p>
        </w:tc>
        <w:tc>
          <w:tcPr>
            <w:tcW w:w="1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578</w:t>
            </w: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34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00" w:type="dxa"/>
            <w:vAlign w:val="bottom"/>
            <w:tcBorders>
              <w:bottom w:val="single" w:sz="8" w:color="CFF0FC"/>
            </w:tcBorders>
            <w:shd w:val="clear" w:color="auto" w:fill="CFF0FC"/>
          </w:tcPr>
          <w:p>
            <w:pPr>
              <w:spacing w:after="0"/>
              <w:rPr>
                <w:sz w:val="11"/>
                <w:szCs w:val="11"/>
                <w:color w:val="auto"/>
              </w:rPr>
            </w:pPr>
          </w:p>
        </w:tc>
        <w:tc>
          <w:tcPr>
            <w:tcW w:w="17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12,512</w:t>
            </w:r>
          </w:p>
        </w:tc>
        <w:tc>
          <w:tcPr>
            <w:tcW w:w="34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21,170</w:t>
            </w:r>
          </w:p>
        </w:tc>
        <w:tc>
          <w:tcPr>
            <w:tcW w:w="20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 in Non-Control, Non-Affiliate Portfolio Companies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131,829</w:t>
            </w:r>
          </w:p>
        </w:tc>
        <w:tc>
          <w:tcPr>
            <w:tcW w:w="34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129,991</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-2828290</wp:posOffset>
            </wp:positionV>
            <wp:extent cx="68580" cy="10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-2828290</wp:posOffset>
            </wp:positionV>
            <wp:extent cx="6858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-2287905</wp:posOffset>
            </wp:positionV>
            <wp:extent cx="68580" cy="93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-2287905</wp:posOffset>
            </wp:positionV>
            <wp:extent cx="68580" cy="939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-2108200</wp:posOffset>
            </wp:positionV>
            <wp:extent cx="6858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-2108200</wp:posOffset>
            </wp:positionV>
            <wp:extent cx="6858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-1233805</wp:posOffset>
            </wp:positionV>
            <wp:extent cx="6858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-1233805</wp:posOffset>
            </wp:positionV>
            <wp:extent cx="6858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-102235</wp:posOffset>
            </wp:positionV>
            <wp:extent cx="6858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-102235</wp:posOffset>
            </wp:positionV>
            <wp:extent cx="6858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excepts for units/shares)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2"/>
              </w:rPr>
              <w:t>Interest Rate</w:t>
            </w:r>
          </w:p>
        </w:tc>
        <w:tc>
          <w:tcPr>
            <w:tcW w:w="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7"/>
              </w:rPr>
              <w:t>Reference Rate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tcPr>
          <w:p>
            <w:pPr>
              <w:jc w:val="right"/>
              <w:ind w:right="391"/>
              <w:spacing w:after="0"/>
              <w:rPr>
                <w:sz w:val="20"/>
                <w:szCs w:val="20"/>
                <w:color w:val="auto"/>
              </w:rPr>
            </w:pPr>
            <w:r>
              <w:rPr>
                <w:rFonts w:ascii="Arial" w:cs="Arial" w:eastAsia="Arial" w:hAnsi="Arial"/>
                <w:sz w:val="11"/>
                <w:szCs w:val="11"/>
                <w:b w:val="1"/>
                <w:bCs w:val="1"/>
                <w:color w:val="auto"/>
                <w:w w:val="93"/>
              </w:rPr>
              <w:t>Par/Shares</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Investment (1), (2), (3), (4), (5)</w:t>
            </w:r>
          </w:p>
        </w:tc>
        <w:tc>
          <w:tcPr>
            <w:tcW w:w="1720" w:type="dxa"/>
            <w:vAlign w:val="bottom"/>
          </w:tcPr>
          <w:p>
            <w:pPr>
              <w:ind w:left="660"/>
              <w:spacing w:after="0"/>
              <w:rPr>
                <w:sz w:val="20"/>
                <w:szCs w:val="20"/>
                <w:color w:val="auto"/>
              </w:rPr>
            </w:pPr>
            <w:r>
              <w:rPr>
                <w:rFonts w:ascii="Arial" w:cs="Arial" w:eastAsia="Arial" w:hAnsi="Arial"/>
                <w:sz w:val="11"/>
                <w:szCs w:val="11"/>
                <w:b w:val="1"/>
                <w:bCs w:val="1"/>
                <w:color w:val="auto"/>
              </w:rPr>
              <w:t>Industry</w:t>
            </w:r>
          </w:p>
        </w:tc>
        <w:tc>
          <w:tcPr>
            <w:tcW w:w="780" w:type="dxa"/>
            <w:vAlign w:val="bottom"/>
            <w:gridSpan w:val="2"/>
          </w:tcPr>
          <w:p>
            <w:pPr>
              <w:ind w:left="380"/>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1"/>
              </w:rPr>
              <w:t>and Spread (+)</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0"/>
              </w:rPr>
              <w:t>Floor (+)</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780" w:type="dxa"/>
            <w:vAlign w:val="bottom"/>
            <w:gridSpan w:val="2"/>
          </w:tcPr>
          <w:p>
            <w:pPr>
              <w:jc w:val="right"/>
              <w:ind w:right="186"/>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26"/>
              <w:spacing w:after="0"/>
              <w:rPr>
                <w:sz w:val="20"/>
                <w:szCs w:val="20"/>
                <w:color w:val="auto"/>
              </w:rPr>
            </w:pPr>
            <w:r>
              <w:rPr>
                <w:rFonts w:ascii="Arial" w:cs="Arial" w:eastAsia="Arial" w:hAnsi="Arial"/>
                <w:sz w:val="11"/>
                <w:szCs w:val="11"/>
                <w:b w:val="1"/>
                <w:bCs w:val="1"/>
                <w:color w:val="auto"/>
              </w:rPr>
              <w:t>Cost</w:t>
            </w:r>
          </w:p>
        </w:tc>
        <w:tc>
          <w:tcPr>
            <w:tcW w:w="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w w:val="94"/>
              </w:rPr>
              <w:t>Fair Value</w:t>
            </w:r>
          </w:p>
        </w:tc>
        <w:tc>
          <w:tcPr>
            <w:tcW w:w="220" w:type="dxa"/>
            <w:vAlign w:val="bottom"/>
          </w:tcPr>
          <w:p>
            <w:pPr>
              <w:spacing w:after="0"/>
              <w:rPr>
                <w:sz w:val="13"/>
                <w:szCs w:val="13"/>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Footnotes</w:t>
            </w:r>
          </w:p>
        </w:tc>
        <w:tc>
          <w:tcPr>
            <w:tcW w:w="0" w:type="dxa"/>
            <w:vAlign w:val="bottom"/>
          </w:tcPr>
          <w:p>
            <w:pPr>
              <w:spacing w:after="0"/>
              <w:rPr>
                <w:sz w:val="1"/>
                <w:szCs w:val="1"/>
                <w:color w:val="auto"/>
              </w:rPr>
            </w:pPr>
          </w:p>
        </w:tc>
      </w:tr>
      <w:tr>
        <w:trPr>
          <w:trHeight w:val="135"/>
        </w:trPr>
        <w:tc>
          <w:tcPr>
            <w:tcW w:w="2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w w:val="91"/>
              </w:rPr>
              <w:t>Investments in Affiliated Portfolio Companies - 57.3%^</w:t>
            </w:r>
          </w:p>
        </w:tc>
        <w:tc>
          <w:tcPr>
            <w:tcW w:w="120" w:type="dxa"/>
            <w:vAlign w:val="bottom"/>
            <w:shd w:val="clear" w:color="auto" w:fill="CFF0FC"/>
          </w:tcPr>
          <w:p>
            <w:pPr>
              <w:spacing w:after="0"/>
              <w:rPr>
                <w:sz w:val="11"/>
                <w:szCs w:val="11"/>
                <w:color w:val="auto"/>
              </w:rPr>
            </w:pPr>
          </w:p>
        </w:tc>
        <w:tc>
          <w:tcPr>
            <w:tcW w:w="1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First Lien/Senior Secured Debt - 5.9%</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Medical Device Distributor</w:t>
            </w:r>
          </w:p>
        </w:tc>
        <w:tc>
          <w:tcPr>
            <w:tcW w:w="78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1"/>
              </w:rPr>
              <w:t>12.00%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01/31/2022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RAM Payment, LLC (First Out)</w:t>
            </w:r>
          </w:p>
        </w:tc>
        <w:tc>
          <w:tcPr>
            <w:tcW w:w="1720" w:type="dxa"/>
            <w:vAlign w:val="bottom"/>
          </w:tcPr>
          <w:p>
            <w:pPr>
              <w:ind w:left="20"/>
              <w:spacing w:after="0"/>
              <w:rPr>
                <w:sz w:val="20"/>
                <w:szCs w:val="20"/>
                <w:color w:val="auto"/>
              </w:rPr>
            </w:pPr>
            <w:r>
              <w:rPr>
                <w:rFonts w:ascii="Arial" w:cs="Arial" w:eastAsia="Arial" w:hAnsi="Arial"/>
                <w:sz w:val="11"/>
                <w:szCs w:val="11"/>
                <w:color w:val="auto"/>
              </w:rPr>
              <w:t>Financial Services</w:t>
            </w:r>
          </w:p>
        </w:tc>
        <w:tc>
          <w:tcPr>
            <w:tcW w:w="78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6.50%</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+ 5.00%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1.50%</w:t>
            </w:r>
          </w:p>
        </w:tc>
        <w:tc>
          <w:tcPr>
            <w:tcW w:w="8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01/04/2024</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998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998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998</w:t>
            </w:r>
          </w:p>
        </w:tc>
        <w:tc>
          <w:tcPr>
            <w:tcW w:w="880" w:type="dxa"/>
            <w:vAlign w:val="bottom"/>
            <w:gridSpan w:val="2"/>
          </w:tcPr>
          <w:p>
            <w:pPr>
              <w:ind w:left="24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RAM Payment, LLC (Last Out)</w:t>
            </w: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Financial Services</w:t>
            </w:r>
          </w:p>
        </w:tc>
        <w:tc>
          <w:tcPr>
            <w:tcW w:w="780" w:type="dxa"/>
            <w:vAlign w:val="bottom"/>
            <w:tcBorders>
              <w:bottom w:val="single" w:sz="8" w:color="CFF0FC"/>
            </w:tcBorders>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9.86%</w:t>
            </w: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tcBorders>
              <w:bottom w:val="single" w:sz="8" w:color="CFF0FC"/>
            </w:tcBorders>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01/04/2024</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8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(10)(26)</w:t>
            </w:r>
          </w:p>
        </w:tc>
        <w:tc>
          <w:tcPr>
            <w:tcW w:w="0" w:type="dxa"/>
            <w:vAlign w:val="bottom"/>
          </w:tcPr>
          <w:p>
            <w:pPr>
              <w:spacing w:after="0"/>
              <w:rPr>
                <w:sz w:val="1"/>
                <w:szCs w:val="1"/>
                <w:color w:val="auto"/>
              </w:rPr>
            </w:pPr>
          </w:p>
        </w:tc>
      </w:tr>
      <w:tr>
        <w:trPr>
          <w:trHeight w:val="128"/>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6,304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6,304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Second Lien/Senior Secured Debt - 16.3%</w:t>
            </w:r>
          </w:p>
        </w:tc>
        <w:tc>
          <w:tcPr>
            <w:tcW w:w="1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Eastport Holdings, LLC</w:t>
            </w:r>
          </w:p>
        </w:tc>
        <w:tc>
          <w:tcPr>
            <w:tcW w:w="1720" w:type="dxa"/>
            <w:vAlign w:val="bottom"/>
          </w:tcPr>
          <w:p>
            <w:pPr>
              <w:ind w:left="20"/>
              <w:spacing w:after="0"/>
              <w:rPr>
                <w:sz w:val="20"/>
                <w:szCs w:val="20"/>
                <w:color w:val="auto"/>
              </w:rPr>
            </w:pPr>
            <w:r>
              <w:rPr>
                <w:rFonts w:ascii="Arial" w:cs="Arial" w:eastAsia="Arial" w:hAnsi="Arial"/>
                <w:sz w:val="11"/>
                <w:szCs w:val="11"/>
                <w:color w:val="auto"/>
              </w:rPr>
              <w:t>Business Services</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1"/>
              </w:rPr>
              <w:t>13.50%</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89"/>
              </w:rPr>
              <w:t>L + 13.00%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0.50%</w:t>
            </w:r>
          </w:p>
        </w:tc>
        <w:tc>
          <w:tcPr>
            <w:tcW w:w="8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04/30/2022</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16,451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16,500</w:t>
            </w:r>
          </w:p>
        </w:tc>
        <w:tc>
          <w:tcPr>
            <w:tcW w:w="880" w:type="dxa"/>
            <w:vAlign w:val="bottom"/>
            <w:gridSpan w:val="2"/>
          </w:tcPr>
          <w:p>
            <w:pPr>
              <w:ind w:left="24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Medical Device Distributor</w:t>
            </w:r>
          </w:p>
        </w:tc>
        <w:tc>
          <w:tcPr>
            <w:tcW w:w="780" w:type="dxa"/>
            <w:vAlign w:val="bottom"/>
            <w:gridSpan w:val="2"/>
            <w:shd w:val="clear" w:color="auto" w:fill="CFF0FC"/>
          </w:tcPr>
          <w:p>
            <w:pPr>
              <w:jc w:val="center"/>
              <w:ind w:left="46"/>
              <w:spacing w:after="0"/>
              <w:rPr>
                <w:sz w:val="20"/>
                <w:szCs w:val="20"/>
                <w:color w:val="auto"/>
              </w:rPr>
            </w:pPr>
            <w:r>
              <w:rPr>
                <w:rFonts w:ascii="Arial" w:cs="Arial" w:eastAsia="Arial" w:hAnsi="Arial"/>
                <w:sz w:val="11"/>
                <w:szCs w:val="11"/>
                <w:color w:val="auto"/>
                <w:w w:val="89"/>
              </w:rPr>
              <w:t>6.00%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gridSpan w:val="2"/>
            <w:shd w:val="clear" w:color="auto" w:fill="CFF0FC"/>
          </w:tcPr>
          <w:p>
            <w:pPr>
              <w:jc w:val="center"/>
              <w:ind w:left="66"/>
              <w:spacing w:after="0"/>
              <w:rPr>
                <w:sz w:val="20"/>
                <w:szCs w:val="20"/>
                <w:color w:val="auto"/>
              </w:rPr>
            </w:pPr>
            <w:r>
              <w:rPr>
                <w:rFonts w:ascii="Arial" w:cs="Arial" w:eastAsia="Arial" w:hAnsi="Arial"/>
                <w:sz w:val="11"/>
                <w:szCs w:val="11"/>
                <w:color w:val="auto"/>
                <w:w w:val="90"/>
              </w:rPr>
              <w:t>01/31/2022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760" w:type="dxa"/>
            <w:vAlign w:val="bottom"/>
            <w:gridSpan w:val="2"/>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720" w:type="dxa"/>
            <w:vAlign w:val="bottom"/>
          </w:tcPr>
          <w:p>
            <w:pPr>
              <w:ind w:left="20"/>
              <w:spacing w:after="0" w:line="99" w:lineRule="exact"/>
              <w:rPr>
                <w:sz w:val="20"/>
                <w:szCs w:val="20"/>
                <w:color w:val="auto"/>
              </w:rPr>
            </w:pPr>
            <w:r>
              <w:rPr>
                <w:rFonts w:ascii="Arial" w:cs="Arial" w:eastAsia="Arial" w:hAnsi="Arial"/>
                <w:sz w:val="11"/>
                <w:szCs w:val="11"/>
                <w:color w:val="auto"/>
                <w:w w:val="90"/>
              </w:rPr>
              <w:t>Oil &amp; Gas Engineering and Consulting</w:t>
            </w:r>
          </w:p>
        </w:tc>
        <w:tc>
          <w:tcPr>
            <w:tcW w:w="78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91"/>
              </w:rPr>
              <w:t>15.00%</w:t>
            </w:r>
          </w:p>
        </w:tc>
        <w:tc>
          <w:tcPr>
            <w:tcW w:w="12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auto"/>
                <w:w w:val="90"/>
              </w:rPr>
              <w:t>—</w:t>
            </w:r>
          </w:p>
        </w:tc>
        <w:tc>
          <w:tcPr>
            <w:tcW w:w="860" w:type="dxa"/>
            <w:vAlign w:val="bottom"/>
            <w:gridSpan w:val="2"/>
          </w:tcPr>
          <w:p>
            <w:pPr>
              <w:jc w:val="center"/>
              <w:ind w:left="66"/>
              <w:spacing w:after="0" w:line="99" w:lineRule="exact"/>
              <w:rPr>
                <w:sz w:val="20"/>
                <w:szCs w:val="20"/>
                <w:color w:val="auto"/>
              </w:rPr>
            </w:pPr>
            <w:r>
              <w:rPr>
                <w:rFonts w:ascii="Arial" w:cs="Arial" w:eastAsia="Arial" w:hAnsi="Arial"/>
                <w:sz w:val="11"/>
                <w:szCs w:val="11"/>
                <w:color w:val="auto"/>
                <w:w w:val="90"/>
              </w:rPr>
              <w:t>09/12/2023</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vMerge w:val="restart"/>
          </w:tcPr>
          <w:p>
            <w:pPr>
              <w:ind w:left="20"/>
              <w:spacing w:after="0"/>
              <w:rPr>
                <w:sz w:val="20"/>
                <w:szCs w:val="20"/>
                <w:color w:val="auto"/>
              </w:rPr>
            </w:pPr>
            <w:r>
              <w:rPr>
                <w:rFonts w:ascii="Arial" w:cs="Arial" w:eastAsia="Arial" w:hAnsi="Arial"/>
                <w:sz w:val="11"/>
                <w:szCs w:val="11"/>
                <w:color w:val="auto"/>
              </w:rPr>
              <w:t>Services</w:t>
            </w: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920" w:type="dxa"/>
            <w:vAlign w:val="bottom"/>
            <w:gridSpan w:val="2"/>
            <w:vMerge w:val="restart"/>
          </w:tcPr>
          <w:p>
            <w:pPr>
              <w:jc w:val="right"/>
              <w:spacing w:after="0"/>
              <w:rPr>
                <w:sz w:val="20"/>
                <w:szCs w:val="20"/>
                <w:color w:val="auto"/>
              </w:rPr>
            </w:pPr>
            <w:r>
              <w:rPr>
                <w:rFonts w:ascii="Arial" w:cs="Arial" w:eastAsia="Arial" w:hAnsi="Arial"/>
                <w:sz w:val="11"/>
                <w:szCs w:val="11"/>
                <w:color w:val="auto"/>
              </w:rPr>
              <w:t>3</w:t>
            </w:r>
          </w:p>
        </w:tc>
        <w:tc>
          <w:tcPr>
            <w:tcW w:w="880" w:type="dxa"/>
            <w:vAlign w:val="bottom"/>
            <w:gridSpan w:val="2"/>
            <w:vMerge w:val="restart"/>
          </w:tcPr>
          <w:p>
            <w:pPr>
              <w:ind w:left="24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72"/>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w w:val="95"/>
              </w:rPr>
              <w:t>Data Processing &amp; Digital Marketing</w:t>
            </w:r>
          </w:p>
        </w:tc>
        <w:tc>
          <w:tcPr>
            <w:tcW w:w="1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3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8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8"/>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Second Lien/Senior Secured Debt</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17,332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17,412</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Preferred Stock and Units - 10.1%</w:t>
            </w:r>
          </w:p>
        </w:tc>
        <w:tc>
          <w:tcPr>
            <w:tcW w:w="1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GA Communications, Inc. - Series A-1</w:t>
            </w:r>
          </w:p>
        </w:tc>
        <w:tc>
          <w:tcPr>
            <w:tcW w:w="1720" w:type="dxa"/>
            <w:vAlign w:val="bottom"/>
          </w:tcPr>
          <w:p>
            <w:pPr>
              <w:ind w:left="20"/>
              <w:spacing w:after="0"/>
              <w:rPr>
                <w:sz w:val="20"/>
                <w:szCs w:val="20"/>
                <w:color w:val="auto"/>
              </w:rPr>
            </w:pPr>
            <w:r>
              <w:rPr>
                <w:rFonts w:ascii="Arial" w:cs="Arial" w:eastAsia="Arial" w:hAnsi="Arial"/>
                <w:sz w:val="11"/>
                <w:szCs w:val="11"/>
                <w:color w:val="auto"/>
              </w:rPr>
              <w:t>Advertising &amp; Marketing Services</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1,998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3,477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4,394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QSR Franchisor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202,336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843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MMI Holdings, LLC</w:t>
            </w:r>
          </w:p>
        </w:tc>
        <w:tc>
          <w:tcPr>
            <w:tcW w:w="1720" w:type="dxa"/>
            <w:vAlign w:val="bottom"/>
          </w:tcPr>
          <w:p>
            <w:pPr>
              <w:ind w:left="20"/>
              <w:spacing w:after="0"/>
              <w:rPr>
                <w:sz w:val="20"/>
                <w:szCs w:val="20"/>
                <w:color w:val="auto"/>
              </w:rPr>
            </w:pPr>
            <w:r>
              <w:rPr>
                <w:rFonts w:ascii="Arial" w:cs="Arial" w:eastAsia="Arial" w:hAnsi="Arial"/>
                <w:sz w:val="11"/>
                <w:szCs w:val="11"/>
                <w:color w:val="auto"/>
              </w:rPr>
              <w:t>Medical Device Distributor</w:t>
            </w:r>
          </w:p>
        </w:tc>
        <w:tc>
          <w:tcPr>
            <w:tcW w:w="1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color w:val="auto"/>
              </w:rPr>
              <w:t>6.00% PIK</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1,786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1,898</w:t>
            </w:r>
          </w:p>
        </w:tc>
        <w:tc>
          <w:tcPr>
            <w:tcW w:w="880" w:type="dxa"/>
            <w:vAlign w:val="bottom"/>
            <w:gridSpan w:val="2"/>
          </w:tcPr>
          <w:p>
            <w:pPr>
              <w:ind w:left="240"/>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35"/>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Financial Services</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1"/>
                <w:szCs w:val="11"/>
                <w:color w:val="auto"/>
              </w:rPr>
              <w:t>8.00% PIK</w:t>
            </w: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86,000</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1,066</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3,726</w:t>
            </w:r>
          </w:p>
        </w:tc>
        <w:tc>
          <w:tcPr>
            <w:tcW w:w="8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8"/>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6,766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10,861</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Common Stock and Membership Units - 25.0%</w:t>
            </w:r>
          </w:p>
        </w:tc>
        <w:tc>
          <w:tcPr>
            <w:tcW w:w="1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Burgaflex Holdings, LLC - Class A</w:t>
            </w:r>
          </w:p>
        </w:tc>
        <w:tc>
          <w:tcPr>
            <w:tcW w:w="1720" w:type="dxa"/>
            <w:vAlign w:val="bottom"/>
          </w:tcPr>
          <w:p>
            <w:pPr>
              <w:ind w:left="20"/>
              <w:spacing w:after="0"/>
              <w:rPr>
                <w:sz w:val="20"/>
                <w:szCs w:val="20"/>
                <w:color w:val="auto"/>
              </w:rPr>
            </w:pPr>
            <w:r>
              <w:rPr>
                <w:rFonts w:ascii="Arial" w:cs="Arial" w:eastAsia="Arial" w:hAnsi="Arial"/>
                <w:sz w:val="11"/>
                <w:szCs w:val="11"/>
                <w:color w:val="auto"/>
              </w:rPr>
              <w:t>Automobile Part Manufacturer</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1,253,198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1,504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1,193</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Burgaflex Holdings, LLC - Class B</w:t>
            </w: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Automobile Part Manufacturer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1,085,073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1,528</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Eastport Holdings, LLC</w:t>
            </w:r>
          </w:p>
        </w:tc>
        <w:tc>
          <w:tcPr>
            <w:tcW w:w="1720" w:type="dxa"/>
            <w:vAlign w:val="bottom"/>
          </w:tcPr>
          <w:p>
            <w:pPr>
              <w:ind w:left="20"/>
              <w:spacing w:after="0"/>
              <w:rPr>
                <w:sz w:val="20"/>
                <w:szCs w:val="20"/>
                <w:color w:val="auto"/>
              </w:rPr>
            </w:pPr>
            <w:r>
              <w:rPr>
                <w:rFonts w:ascii="Arial" w:cs="Arial" w:eastAsia="Arial" w:hAnsi="Arial"/>
                <w:sz w:val="11"/>
                <w:szCs w:val="11"/>
                <w:color w:val="auto"/>
              </w:rPr>
              <w:t>Business Services</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000" w:type="dxa"/>
            <w:vAlign w:val="bottom"/>
            <w:gridSpan w:val="3"/>
          </w:tcPr>
          <w:p>
            <w:pPr>
              <w:jc w:val="right"/>
              <w:ind w:right="311"/>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3,263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16,319</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GA Communications, Inc. - Series B-1</w:t>
            </w: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Advertising &amp; Marketing Services</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200,000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185</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LJS Partners, LLC</w:t>
            </w:r>
          </w:p>
        </w:tc>
        <w:tc>
          <w:tcPr>
            <w:tcW w:w="1720" w:type="dxa"/>
            <w:vAlign w:val="bottom"/>
          </w:tcPr>
          <w:p>
            <w:pPr>
              <w:ind w:left="20"/>
              <w:spacing w:after="0"/>
              <w:rPr>
                <w:sz w:val="20"/>
                <w:szCs w:val="20"/>
                <w:color w:val="auto"/>
              </w:rPr>
            </w:pPr>
            <w:r>
              <w:rPr>
                <w:rFonts w:ascii="Arial" w:cs="Arial" w:eastAsia="Arial" w:hAnsi="Arial"/>
                <w:sz w:val="11"/>
                <w:szCs w:val="11"/>
                <w:color w:val="auto"/>
              </w:rPr>
              <w:t>QSR Franchisor</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2,593,234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1,224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7,164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720" w:type="dxa"/>
            <w:vAlign w:val="bottom"/>
            <w:shd w:val="clear" w:color="auto" w:fill="CFF0FC"/>
          </w:tcPr>
          <w:p>
            <w:pPr>
              <w:ind w:left="20"/>
              <w:spacing w:after="0"/>
              <w:rPr>
                <w:sz w:val="20"/>
                <w:szCs w:val="20"/>
                <w:color w:val="auto"/>
              </w:rPr>
            </w:pPr>
            <w:r>
              <w:rPr>
                <w:rFonts w:ascii="Arial" w:cs="Arial" w:eastAsia="Arial" w:hAnsi="Arial"/>
                <w:sz w:val="11"/>
                <w:szCs w:val="11"/>
                <w:color w:val="auto"/>
              </w:rPr>
              <w:t>Medical Device Distributor</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63</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Nth Degree Investment Group, LLC</w:t>
            </w:r>
          </w:p>
        </w:tc>
        <w:tc>
          <w:tcPr>
            <w:tcW w:w="1720" w:type="dxa"/>
            <w:vAlign w:val="bottom"/>
          </w:tcPr>
          <w:p>
            <w:pPr>
              <w:ind w:left="20"/>
              <w:spacing w:after="0"/>
              <w:rPr>
                <w:sz w:val="20"/>
                <w:szCs w:val="20"/>
                <w:color w:val="auto"/>
              </w:rPr>
            </w:pPr>
            <w:r>
              <w:rPr>
                <w:rFonts w:ascii="Arial" w:cs="Arial" w:eastAsia="Arial" w:hAnsi="Arial"/>
                <w:sz w:val="11"/>
                <w:szCs w:val="11"/>
                <w:color w:val="auto"/>
              </w:rPr>
              <w:t>Business Services</w:t>
            </w:r>
          </w:p>
        </w:tc>
        <w:tc>
          <w:tcPr>
            <w:tcW w:w="120" w:type="dxa"/>
            <w:vAlign w:val="bottom"/>
          </w:tcPr>
          <w:p>
            <w:pPr>
              <w:spacing w:after="0"/>
              <w:rPr>
                <w:sz w:val="11"/>
                <w:szCs w:val="11"/>
                <w:color w:val="auto"/>
              </w:rPr>
            </w:pPr>
          </w:p>
        </w:tc>
        <w:tc>
          <w:tcPr>
            <w:tcW w:w="660" w:type="dxa"/>
            <w:vAlign w:val="bottom"/>
          </w:tcPr>
          <w:p>
            <w:pPr>
              <w:ind w:lef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6,088,000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6,088</w:t>
            </w: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760" w:type="dxa"/>
            <w:vAlign w:val="bottom"/>
            <w:gridSpan w:val="2"/>
            <w:shd w:val="clear" w:color="auto" w:fill="CFF0FC"/>
          </w:tcPr>
          <w:p>
            <w:pPr>
              <w:ind w:left="20"/>
              <w:spacing w:after="0" w:line="99" w:lineRule="exact"/>
              <w:rPr>
                <w:sz w:val="20"/>
                <w:szCs w:val="20"/>
                <w:color w:val="auto"/>
              </w:rPr>
            </w:pPr>
            <w:r>
              <w:rPr>
                <w:rFonts w:ascii="Arial" w:cs="Arial" w:eastAsia="Arial" w:hAnsi="Arial"/>
                <w:sz w:val="11"/>
                <w:szCs w:val="11"/>
                <w:color w:val="auto"/>
              </w:rPr>
              <w:t>Sierra Hamilton Holdings Corporation</w:t>
            </w:r>
          </w:p>
        </w:tc>
        <w:tc>
          <w:tcPr>
            <w:tcW w:w="172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w w:val="90"/>
              </w:rPr>
              <w:t>Oil &amp; Gas Engineering and Consulting</w:t>
            </w:r>
          </w:p>
        </w:tc>
        <w:tc>
          <w:tcPr>
            <w:tcW w:w="12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720" w:type="dxa"/>
            <w:vAlign w:val="bottom"/>
            <w:vMerge w:val="restart"/>
            <w:shd w:val="clear" w:color="auto" w:fill="CFF0FC"/>
          </w:tcPr>
          <w:p>
            <w:pPr>
              <w:ind w:left="20"/>
              <w:spacing w:after="0"/>
              <w:rPr>
                <w:sz w:val="20"/>
                <w:szCs w:val="20"/>
                <w:color w:val="auto"/>
              </w:rPr>
            </w:pPr>
            <w:r>
              <w:rPr>
                <w:rFonts w:ascii="Arial" w:cs="Arial" w:eastAsia="Arial" w:hAnsi="Arial"/>
                <w:sz w:val="11"/>
                <w:szCs w:val="11"/>
                <w:color w:val="auto"/>
              </w:rPr>
              <w:t>Services</w:t>
            </w:r>
          </w:p>
        </w:tc>
        <w:tc>
          <w:tcPr>
            <w:tcW w:w="120" w:type="dxa"/>
            <w:vAlign w:val="bottom"/>
            <w:shd w:val="clear" w:color="auto" w:fill="CFF0FC"/>
          </w:tcPr>
          <w:p>
            <w:pPr>
              <w:spacing w:after="0"/>
              <w:rPr>
                <w:sz w:val="7"/>
                <w:szCs w:val="7"/>
                <w:color w:val="auto"/>
              </w:rPr>
            </w:pPr>
          </w:p>
        </w:tc>
        <w:tc>
          <w:tcPr>
            <w:tcW w:w="66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8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60" w:type="dxa"/>
            <w:vAlign w:val="bottom"/>
            <w:vMerge w:val="continue"/>
            <w:shd w:val="clear" w:color="auto" w:fill="CFF0FC"/>
          </w:tcPr>
          <w:p>
            <w:pPr>
              <w:spacing w:after="0"/>
              <w:rPr>
                <w:sz w:val="7"/>
                <w:szCs w:val="7"/>
                <w:color w:val="auto"/>
              </w:rPr>
            </w:pPr>
          </w:p>
        </w:tc>
        <w:tc>
          <w:tcPr>
            <w:tcW w:w="78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15,068,000</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6,958</w:t>
            </w:r>
          </w:p>
        </w:tc>
        <w:tc>
          <w:tcPr>
            <w:tcW w:w="360" w:type="dxa"/>
            <w:vAlign w:val="bottom"/>
            <w:vMerge w:val="restart"/>
            <w:shd w:val="clear" w:color="auto" w:fill="CFF0FC"/>
          </w:tcPr>
          <w:p>
            <w:pPr>
              <w:spacing w:after="0"/>
              <w:rPr>
                <w:sz w:val="7"/>
                <w:szCs w:val="7"/>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2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64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1720" w:type="dxa"/>
            <w:vAlign w:val="bottom"/>
            <w:tcBorders>
              <w:bottom w:val="single" w:sz="8" w:color="CFF0FC"/>
            </w:tcBorders>
            <w:vMerge w:val="continue"/>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66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98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520" w:type="dxa"/>
            <w:vAlign w:val="bottom"/>
            <w:tcBorders>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760" w:type="dxa"/>
            <w:vAlign w:val="bottom"/>
            <w:tcBorders>
              <w:bottom w:val="single" w:sz="8" w:color="CFF0FC"/>
            </w:tcBorders>
            <w:shd w:val="clear" w:color="auto" w:fill="CFF0FC"/>
          </w:tcPr>
          <w:p>
            <w:pPr>
              <w:spacing w:after="0"/>
              <w:rPr>
                <w:sz w:val="5"/>
                <w:szCs w:val="5"/>
                <w:color w:val="auto"/>
              </w:rPr>
            </w:pPr>
          </w:p>
        </w:tc>
        <w:tc>
          <w:tcPr>
            <w:tcW w:w="780" w:type="dxa"/>
            <w:vAlign w:val="bottom"/>
            <w:tcBorders>
              <w:bottom w:val="single" w:sz="8" w:color="CFF0FC"/>
            </w:tcBorders>
            <w:gridSpan w:val="2"/>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460" w:type="dxa"/>
            <w:vAlign w:val="bottom"/>
            <w:tcBorders>
              <w:bottom w:val="single" w:sz="8" w:color="auto"/>
            </w:tcBorders>
            <w:vMerge w:val="continue"/>
            <w:shd w:val="clear" w:color="auto" w:fill="CFF0FC"/>
          </w:tcPr>
          <w:p>
            <w:pPr>
              <w:spacing w:after="0"/>
              <w:rPr>
                <w:sz w:val="5"/>
                <w:szCs w:val="5"/>
                <w:color w:val="auto"/>
              </w:rPr>
            </w:pPr>
          </w:p>
        </w:tc>
        <w:tc>
          <w:tcPr>
            <w:tcW w:w="360" w:type="dxa"/>
            <w:vAlign w:val="bottom"/>
            <w:tcBorders>
              <w:bottom w:val="single" w:sz="8" w:color="CFF0FC"/>
            </w:tcBorders>
            <w:vMerge w:val="continue"/>
            <w:shd w:val="clear" w:color="auto" w:fill="CFF0FC"/>
          </w:tcPr>
          <w:p>
            <w:pPr>
              <w:spacing w:after="0"/>
              <w:rPr>
                <w:sz w:val="5"/>
                <w:szCs w:val="5"/>
                <w:color w:val="auto"/>
              </w:rPr>
            </w:pPr>
          </w:p>
        </w:tc>
        <w:tc>
          <w:tcPr>
            <w:tcW w:w="560" w:type="dxa"/>
            <w:vAlign w:val="bottom"/>
            <w:tcBorders>
              <w:bottom w:val="single" w:sz="8" w:color="auto"/>
            </w:tcBorders>
            <w:vMerge w:val="continue"/>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66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Common Stock and Membership Units</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19,401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26,782</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b w:val="1"/>
                <w:bCs w:val="1"/>
                <w:color w:val="auto"/>
                <w:w w:val="99"/>
              </w:rPr>
              <w:t>Total Investments in Affiliated Portfolio Companies^</w:t>
            </w:r>
          </w:p>
        </w:tc>
        <w:tc>
          <w:tcPr>
            <w:tcW w:w="1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49,803</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61,359</w:t>
            </w: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w w:val="92"/>
              </w:rPr>
              <w:t>Investments in Controlled Portfolio Companies - 6.4%^^</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First Lien/Senior Secured Debt - 3.4%</w:t>
            </w:r>
          </w:p>
        </w:tc>
        <w:tc>
          <w:tcPr>
            <w:tcW w:w="1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ind w:left="20"/>
              <w:spacing w:after="0"/>
              <w:rPr>
                <w:sz w:val="20"/>
                <w:szCs w:val="20"/>
                <w:color w:val="auto"/>
              </w:rPr>
            </w:pPr>
            <w:r>
              <w:rPr>
                <w:rFonts w:ascii="Arial" w:cs="Arial" w:eastAsia="Arial" w:hAnsi="Arial"/>
                <w:sz w:val="11"/>
                <w:szCs w:val="11"/>
                <w:color w:val="auto"/>
              </w:rPr>
              <w:t>Vology, Inc.</w:t>
            </w:r>
          </w:p>
        </w:tc>
        <w:tc>
          <w:tcPr>
            <w:tcW w:w="1720" w:type="dxa"/>
            <w:vAlign w:val="bottom"/>
          </w:tcPr>
          <w:p>
            <w:pPr>
              <w:ind w:left="20"/>
              <w:spacing w:after="0"/>
              <w:rPr>
                <w:sz w:val="20"/>
                <w:szCs w:val="20"/>
                <w:color w:val="auto"/>
              </w:rPr>
            </w:pPr>
            <w:r>
              <w:rPr>
                <w:rFonts w:ascii="Arial" w:cs="Arial" w:eastAsia="Arial" w:hAnsi="Arial"/>
                <w:sz w:val="11"/>
                <w:szCs w:val="11"/>
                <w:color w:val="auto"/>
              </w:rPr>
              <w:t>Information Technology</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91"/>
              </w:rPr>
              <w:t>10.50%</w:t>
            </w:r>
          </w:p>
        </w:tc>
        <w:tc>
          <w:tcPr>
            <w:tcW w:w="12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2"/>
              </w:rPr>
              <w:t>L + 8.50%</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9"/>
              </w:rPr>
              <w:t>2.00%</w:t>
            </w:r>
          </w:p>
        </w:tc>
        <w:tc>
          <w:tcPr>
            <w:tcW w:w="86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03/31/2022</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3,635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3,635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3,635</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b w:val="1"/>
                <w:bCs w:val="1"/>
                <w:color w:val="auto"/>
              </w:rPr>
              <w:t>Total First Lien/Senior Secured Debt</w:t>
            </w:r>
          </w:p>
        </w:tc>
        <w:tc>
          <w:tcPr>
            <w:tcW w:w="1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Preferred Stock and Units - 3.0%</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color w:val="auto"/>
              </w:rPr>
              <w:t>Vology, Inc. - Class A</w:t>
            </w:r>
          </w:p>
        </w:tc>
        <w:tc>
          <w:tcPr>
            <w:tcW w:w="1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Information Technology</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1"/>
                <w:szCs w:val="11"/>
                <w:color w:val="auto"/>
              </w:rPr>
              <w:t>9,041,810</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5,215</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3,204</w:t>
            </w: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Preferred Stock and Units</w:t>
            </w: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5,215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3,204</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1"/>
                <w:szCs w:val="11"/>
                <w:b w:val="1"/>
                <w:bCs w:val="1"/>
                <w:color w:val="auto"/>
                <w:w w:val="94"/>
              </w:rPr>
              <w:t>Total Investments in Controlled Portfolio Companies^^</w:t>
            </w:r>
          </w:p>
        </w:tc>
        <w:tc>
          <w:tcPr>
            <w:tcW w:w="1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8,850</w:t>
            </w:r>
          </w:p>
        </w:tc>
        <w:tc>
          <w:tcPr>
            <w:tcW w:w="36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6,839</w:t>
            </w:r>
          </w:p>
        </w:tc>
        <w:tc>
          <w:tcPr>
            <w:tcW w:w="2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6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Investments - 185.2%</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3"/>
          </w:tcPr>
          <w:p>
            <w:pPr>
              <w:spacing w:after="0"/>
              <w:rPr>
                <w:sz w:val="12"/>
                <w:szCs w:val="12"/>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190,482</w:t>
            </w:r>
          </w:p>
        </w:tc>
        <w:tc>
          <w:tcPr>
            <w:tcW w:w="36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   198,189</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-3102610</wp:posOffset>
            </wp:positionV>
            <wp:extent cx="6858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-3102610</wp:posOffset>
            </wp:positionV>
            <wp:extent cx="6858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-2493645</wp:posOffset>
            </wp:positionV>
            <wp:extent cx="68580"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-2493645</wp:posOffset>
            </wp:positionV>
            <wp:extent cx="6858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-1962150</wp:posOffset>
            </wp:positionV>
            <wp:extent cx="6858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-1962150</wp:posOffset>
            </wp:positionV>
            <wp:extent cx="6858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-1019810</wp:posOffset>
            </wp:positionV>
            <wp:extent cx="6858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-1019810</wp:posOffset>
            </wp:positionV>
            <wp:extent cx="6858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-830580</wp:posOffset>
            </wp:positionV>
            <wp:extent cx="6858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-830580</wp:posOffset>
            </wp:positionV>
            <wp:extent cx="68580"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-471170</wp:posOffset>
            </wp:positionV>
            <wp:extent cx="68580"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-471170</wp:posOffset>
            </wp:positionV>
            <wp:extent cx="68580" cy="93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-290830</wp:posOffset>
            </wp:positionV>
            <wp:extent cx="6858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-290830</wp:posOffset>
            </wp:positionV>
            <wp:extent cx="6858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-102235</wp:posOffset>
            </wp:positionV>
            <wp:extent cx="6858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-102235</wp:posOffset>
            </wp:positionV>
            <wp:extent cx="6858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ind w:right="20" w:firstLine="8"/>
        <w:spacing w:after="0" w:line="250" w:lineRule="auto"/>
        <w:tabs>
          <w:tab w:leader="none" w:pos="349"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defined in the 1940 Act, the investment is deemed to be an "affiliated person" of the Company because the Company owns, either directly or indirectly, 5% or more of the portfolio company's outstanding voting securities.</w:t>
      </w:r>
    </w:p>
    <w:p>
      <w:pPr>
        <w:spacing w:after="0" w:line="247" w:lineRule="auto"/>
        <w:rPr>
          <w:rFonts w:ascii="Arial" w:cs="Arial" w:eastAsia="Arial" w:hAnsi="Arial"/>
          <w:sz w:val="14"/>
          <w:szCs w:val="14"/>
          <w:color w:val="auto"/>
        </w:rPr>
      </w:pPr>
      <w:r>
        <w:rPr>
          <w:rFonts w:ascii="Arial" w:cs="Arial" w:eastAsia="Arial" w:hAnsi="Arial"/>
          <w:sz w:val="14"/>
          <w:szCs w:val="14"/>
          <w:color w:val="auto"/>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-419735</wp:posOffset>
            </wp:positionV>
            <wp:extent cx="9601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jc w:val="both"/>
        <w:ind w:firstLine="8"/>
        <w:spacing w:after="0" w:line="247" w:lineRule="auto"/>
        <w:tabs>
          <w:tab w:leader="none" w:pos="353"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2021, rates for the 12 month, 6 month, 3 month, 2 month and 1 month L are 0.58%, 0.34%, 0.21%, 0.15% and 0.10%, respectively. As of December 31, 2021, P was 3.25%. For investments with multiple reference rates or alternate base rates, the interest rate shown is the weighted average interest rate in effect at December 31, 2021.</w:t>
      </w:r>
    </w:p>
    <w:p>
      <w:pPr>
        <w:ind w:left="440" w:hanging="432"/>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Par amount is presented for debt investments, while the number of shares or units owned is presented for equity investments.</w:t>
      </w:r>
    </w:p>
    <w:p>
      <w:pPr>
        <w:ind w:left="520" w:hanging="512"/>
        <w:spacing w:after="0" w:line="189"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All investments valued using unobservable inputs (Level 3), unless otherwise noted.</w:t>
      </w:r>
    </w:p>
    <w:p>
      <w:pPr>
        <w:ind w:left="520" w:hanging="512"/>
        <w:spacing w:after="0" w:line="186" w:lineRule="auto"/>
        <w:tabs>
          <w:tab w:leader="none" w:pos="5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All investments valued by the Company's board of directors.</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All debt investments are income producing, unless otherwise noted. Equity and warrant investments are non-income producing, unless otherwise noted.</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are based on net assets as of December 31, 2021.</w:t>
      </w:r>
    </w:p>
    <w:p>
      <w:pPr>
        <w:ind w:left="520" w:hanging="512"/>
        <w:spacing w:after="0" w:line="210" w:lineRule="auto"/>
        <w:tabs>
          <w:tab w:leader="none" w:pos="5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520" w:hanging="512"/>
        <w:spacing w:after="0" w:line="183" w:lineRule="auto"/>
        <w:tabs>
          <w:tab w:leader="none" w:pos="5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Investment is held through our Taxable Subsidiary (See Note 1).</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Non-accrual investment.</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1.0% interest rate payable in cash. 9.0% interest rate payable in cash or paid-in-kind at borrower's election.</w:t>
      </w:r>
    </w:p>
    <w:p>
      <w:pPr>
        <w:ind w:left="520" w:hanging="512"/>
        <w:spacing w:after="0" w:line="186" w:lineRule="auto"/>
        <w:tabs>
          <w:tab w:leader="none" w:pos="5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15.0% interest rate payable in cash or paid-in-kind at borrower's election.</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cash rate equals the approximate current yield on our last-out portion of the unitranche facility.</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investment has been exited or sold. The residual value reflects estimated earnout, escrow, or other proceeds expected post-closing.</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investment has a $4.0 million unfunded commitment.</w:t>
      </w:r>
    </w:p>
    <w:p>
      <w:pPr>
        <w:ind w:left="520" w:hanging="512"/>
        <w:spacing w:after="0" w:line="186" w:lineRule="auto"/>
        <w:tabs>
          <w:tab w:leader="none" w:pos="5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investment has a $5.0 million unfunded commitment.</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investment has a $0.7 million unfunded commitment.</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investment has a $2.1 million unfunded commitment.</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investment has a $1.0 million unfunded commitment.</w:t>
      </w:r>
    </w:p>
    <w:p>
      <w:pPr>
        <w:ind w:left="520" w:hanging="512"/>
        <w:spacing w:after="0" w:line="186" w:lineRule="auto"/>
        <w:tabs>
          <w:tab w:leader="none" w:pos="5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investment has a $3.5 million unfunded commitment.</w:t>
      </w:r>
    </w:p>
    <w:p>
      <w:pPr>
        <w:spacing w:after="0" w:line="6" w:lineRule="exact"/>
        <w:rPr>
          <w:rFonts w:ascii="Arial" w:cs="Arial" w:eastAsia="Arial" w:hAnsi="Arial"/>
          <w:sz w:val="19"/>
          <w:szCs w:val="19"/>
          <w:color w:val="auto"/>
          <w:vertAlign w:val="superscript"/>
        </w:rPr>
      </w:pP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investment has a $0.9 million unfunded commitment.</w:t>
      </w:r>
    </w:p>
    <w:p>
      <w:pPr>
        <w:ind w:left="520" w:hanging="512"/>
        <w:spacing w:after="0" w:line="187" w:lineRule="auto"/>
        <w:tabs>
          <w:tab w:leader="none" w:pos="52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investment has a $2.5 million unfunded commitment.</w:t>
      </w:r>
    </w:p>
    <w:p>
      <w:pPr>
        <w:ind w:left="520" w:hanging="512"/>
        <w:spacing w:after="0" w:line="186" w:lineRule="auto"/>
        <w:tabs>
          <w:tab w:leader="none" w:pos="5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investment has a $1.9 million unfunded commitment.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ind w:left="456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excepts for units/shares)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16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investment has a $3.3 million unfunded commitment.</w:t>
      </w:r>
    </w:p>
    <w:p>
      <w:pPr>
        <w:ind w:left="520" w:hanging="512"/>
        <w:spacing w:after="0" w:line="187" w:lineRule="auto"/>
        <w:tabs>
          <w:tab w:leader="none" w:pos="5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investment has a $0.2 million unfunded commitment.</w:t>
      </w:r>
    </w:p>
    <w:p>
      <w:pPr>
        <w:ind w:left="520" w:hanging="512"/>
        <w:spacing w:after="0" w:line="187" w:lineRule="auto"/>
        <w:tabs>
          <w:tab w:leader="none" w:pos="52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 equity investment is income producing, based on rate disclosed.</w:t>
      </w:r>
    </w:p>
    <w:p>
      <w:pPr>
        <w:jc w:val="both"/>
        <w:ind w:left="520" w:hanging="512"/>
        <w:spacing w:after="0" w:line="221" w:lineRule="auto"/>
        <w:tabs>
          <w:tab w:leader="none" w:pos="5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96.2% of the Company’s total assets and non-qualifying assets represent 3.2% of the Company’s total assets.</w:t>
      </w:r>
    </w:p>
    <w:p>
      <w:pPr>
        <w:spacing w:after="0" w:line="1" w:lineRule="exact"/>
        <w:rPr>
          <w:rFonts w:ascii="Arial" w:cs="Arial" w:eastAsia="Arial" w:hAnsi="Arial"/>
          <w:sz w:val="19"/>
          <w:szCs w:val="19"/>
          <w:color w:val="auto"/>
          <w:vertAlign w:val="superscript"/>
        </w:rPr>
      </w:pPr>
    </w:p>
    <w:p>
      <w:pPr>
        <w:ind w:left="520" w:hanging="512"/>
        <w:spacing w:after="0" w:line="210" w:lineRule="auto"/>
        <w:tabs>
          <w:tab w:leader="none" w:pos="5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w:t>
      </w:r>
    </w:p>
    <w:p>
      <w:pPr>
        <w:ind w:left="520" w:hanging="512"/>
        <w:spacing w:after="0" w:line="205" w:lineRule="auto"/>
        <w:tabs>
          <w:tab w:leader="none" w:pos="52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All or a portion of this security is pledged as collateral under the KeyBank Credit Facility and held through the Company's wholly-owned subsidiary Capitala Business Lending, LLC.</w:t>
      </w:r>
    </w:p>
    <w:p>
      <w:pPr>
        <w:jc w:val="both"/>
        <w:ind w:left="520" w:hanging="512"/>
        <w:spacing w:after="0" w:line="219" w:lineRule="auto"/>
        <w:tabs>
          <w:tab w:leader="none" w:pos="5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 w:name="page13"/>
    <w:bookmarkEnd w:id="12"/>
    <w:p>
      <w:pPr>
        <w:ind w:left="420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Organization</w:t>
      </w:r>
    </w:p>
    <w:p>
      <w:pPr>
        <w:spacing w:after="0" w:line="11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3"/>
          <w:szCs w:val="13"/>
          <w:color w:val="auto"/>
        </w:rPr>
        <w:t>Logan Ridge Finance Corporation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Advisor”),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69"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3"/>
          <w:szCs w:val="13"/>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5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8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3"/>
          <w:szCs w:val="13"/>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As of September 30, 2022, there were no SBA-guaranteed debentures outstanding.</w:t>
      </w:r>
    </w:p>
    <w:p>
      <w:pPr>
        <w:spacing w:after="0" w:line="7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7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8 for more details about the KeyBank Credit Facility. The financial statements of CBL are consolidated with those of Logan Ridge Finance Corporation.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Definitive Agreement</w:t>
      </w:r>
    </w:p>
    <w:p>
      <w:pPr>
        <w:spacing w:after="0" w:line="11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97"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3"/>
          <w:szCs w:val="13"/>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8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Summary of Significant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1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 xml:space="preserve">The Company is considered an investment company as defined in Accounting Standards Codification (“ASC”) Topic 946 — </w:t>
      </w:r>
      <w:r>
        <w:rPr>
          <w:rFonts w:ascii="Arial" w:cs="Arial" w:eastAsia="Arial" w:hAnsi="Arial"/>
          <w:sz w:val="14"/>
          <w:szCs w:val="14"/>
          <w:i w:val="1"/>
          <w:iCs w:val="1"/>
          <w:color w:val="auto"/>
        </w:rPr>
        <w:t>Financial Services — Investment Companies</w:t>
      </w:r>
      <w:r>
        <w:rPr>
          <w:rFonts w:ascii="Arial" w:cs="Arial" w:eastAsia="Arial" w:hAnsi="Arial"/>
          <w:sz w:val="14"/>
          <w:szCs w:val="14"/>
          <w:color w:val="auto"/>
        </w:rPr>
        <w:t xml:space="preserve"> (“ASC 946”)</w:t>
      </w:r>
      <w:r>
        <w:rPr>
          <w:rFonts w:ascii="Arial" w:cs="Arial" w:eastAsia="Arial" w:hAnsi="Arial"/>
          <w:sz w:val="14"/>
          <w:szCs w:val="14"/>
          <w:i w:val="1"/>
          <w:iCs w:val="1"/>
          <w:color w:val="auto"/>
        </w:rPr>
        <w:t>.</w:t>
      </w:r>
      <w:r>
        <w:rPr>
          <w:rFonts w:ascii="Arial" w:cs="Arial" w:eastAsia="Arial" w:hAnsi="Arial"/>
          <w:sz w:val="14"/>
          <w:szCs w:val="14"/>
          <w:color w:val="auto"/>
        </w:rPr>
        <w:t xml:space="preserve">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4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The Company’s financial statements as of September 30, 2022 and December 31, 2021 and for the periods ended September 30, 2022 and 2021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2021, filed with the U.S. Securities and Exchange Commission (“SEC”) on March 14, 2022.</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 in the Preparation of Financial Statements</w:t>
      </w:r>
    </w:p>
    <w:p>
      <w:pPr>
        <w:spacing w:after="0" w:line="11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1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Segments</w:t>
      </w:r>
    </w:p>
    <w:p>
      <w:pPr>
        <w:spacing w:after="0" w:line="11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 xml:space="preserve">In accordance with ASC Topic 280 —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1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4"/>
          <w:szCs w:val="14"/>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Classification</w:t>
      </w:r>
    </w:p>
    <w:p>
      <w:pPr>
        <w:spacing w:after="0" w:line="11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Investments</w:t>
      </w:r>
    </w:p>
    <w:p>
      <w:pPr>
        <w:spacing w:after="0" w:line="11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spacing w:after="0" w:line="172"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spacing w:after="0" w:line="174"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spacing w:after="0" w:line="18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Adviser undertakes a multi-step valuation process, which includes, among other procedures, the following: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jc w:val="both"/>
        <w:ind w:left="1540" w:hanging="514"/>
        <w:spacing w:after="0" w:line="257" w:lineRule="auto"/>
        <w:tabs>
          <w:tab w:leader="none" w:pos="1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spacing w:after="0" w:line="76" w:lineRule="exact"/>
        <w:rPr>
          <w:rFonts w:ascii="Arial" w:cs="Arial" w:eastAsia="Arial" w:hAnsi="Arial"/>
          <w:sz w:val="14"/>
          <w:szCs w:val="14"/>
          <w:color w:val="auto"/>
        </w:rPr>
      </w:pPr>
    </w:p>
    <w:p>
      <w:pPr>
        <w:ind w:left="1540" w:hanging="514"/>
        <w:spacing w:after="0"/>
        <w:tabs>
          <w:tab w:leader="none" w:pos="1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valuations are reviewed and discussed with management of the Adviser and investment professionals; and</w:t>
      </w:r>
    </w:p>
    <w:p>
      <w:pPr>
        <w:spacing w:after="0" w:line="122" w:lineRule="exact"/>
        <w:rPr>
          <w:rFonts w:ascii="Arial" w:cs="Arial" w:eastAsia="Arial" w:hAnsi="Arial"/>
          <w:sz w:val="14"/>
          <w:szCs w:val="14"/>
          <w:color w:val="auto"/>
        </w:rPr>
      </w:pPr>
    </w:p>
    <w:p>
      <w:pPr>
        <w:ind w:left="1540" w:hanging="514"/>
        <w:spacing w:after="0" w:line="273" w:lineRule="auto"/>
        <w:tabs>
          <w:tab w:leader="none" w:pos="1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As part of the valuation process, the Adviser may consider other information and may use valuation methods including but not limited to (i) market quotes for similar investments,</w:t>
      </w:r>
    </w:p>
    <w:p>
      <w:pPr>
        <w:spacing w:after="0" w:line="33" w:lineRule="exact"/>
        <w:rPr>
          <w:sz w:val="20"/>
          <w:szCs w:val="20"/>
          <w:color w:val="auto"/>
        </w:rPr>
      </w:pPr>
    </w:p>
    <w:p>
      <w:pPr>
        <w:ind w:firstLine="8"/>
        <w:spacing w:after="0" w:line="263" w:lineRule="auto"/>
        <w:tabs>
          <w:tab w:leader="none" w:pos="234"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spacing w:after="0" w:line="180" w:lineRule="exact"/>
        <w:rPr>
          <w:sz w:val="20"/>
          <w:szCs w:val="20"/>
          <w:color w:val="auto"/>
        </w:rPr>
      </w:pPr>
    </w:p>
    <w:p>
      <w:pPr>
        <w:jc w:val="both"/>
        <w:ind w:firstLine="715"/>
        <w:spacing w:after="0" w:line="254" w:lineRule="auto"/>
        <w:rPr>
          <w:sz w:val="20"/>
          <w:szCs w:val="20"/>
          <w:color w:val="auto"/>
        </w:rPr>
      </w:pPr>
      <w:r>
        <w:rPr>
          <w:rFonts w:ascii="Arial" w:cs="Arial" w:eastAsia="Arial" w:hAnsi="Arial"/>
          <w:sz w:val="14"/>
          <w:szCs w:val="14"/>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7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7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 classifies the inputs used to measure these fair values into the following hierarchy as defined by current accounting guidance:</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Level 1: Unadjusted quoted prices in active markets for identical assets or liabilities that are accessible to the Company.</w:t>
      </w:r>
    </w:p>
    <w:p>
      <w:pPr>
        <w:spacing w:after="0" w:line="21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Level 2: Quoted prices for similar assets or liabilities in active markets, or quoted prices for identical or similar assets or liabilities in markets that are not active, or other observable inputs other than quoted prices.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Level 3: Significant inputs that are unobservable for an asset or liability.</w:t>
      </w:r>
    </w:p>
    <w:p>
      <w:pPr>
        <w:spacing w:after="0" w:line="20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spacing w:after="0" w:line="79" w:lineRule="exact"/>
        <w:rPr>
          <w:sz w:val="20"/>
          <w:szCs w:val="20"/>
          <w:color w:val="auto"/>
        </w:rPr>
      </w:pPr>
    </w:p>
    <w:p>
      <w:pPr>
        <w:jc w:val="both"/>
        <w:ind w:right="20" w:firstLine="749"/>
        <w:spacing w:after="0" w:line="273" w:lineRule="auto"/>
        <w:rPr>
          <w:sz w:val="20"/>
          <w:szCs w:val="20"/>
          <w:color w:val="auto"/>
        </w:rPr>
      </w:pPr>
      <w:r>
        <w:rPr>
          <w:rFonts w:ascii="Arial" w:cs="Arial" w:eastAsia="Arial" w:hAnsi="Arial"/>
          <w:sz w:val="14"/>
          <w:szCs w:val="14"/>
          <w:color w:val="auto"/>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Enterprise Value Waterfall Approach</w:t>
      </w:r>
    </w:p>
    <w:p>
      <w:pPr>
        <w:spacing w:after="0" w:line="12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3"/>
          <w:szCs w:val="13"/>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Approach</w:t>
      </w:r>
    </w:p>
    <w:p>
      <w:pPr>
        <w:spacing w:after="0" w:line="10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Approach</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asset approach values an investment based on the value of the underlying collateral securing the investment.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Company’s revenue recognition policies are as follows:</w:t>
      </w:r>
    </w:p>
    <w:p>
      <w:pPr>
        <w:spacing w:after="0" w:line="12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i w:val="1"/>
          <w:iCs w:val="1"/>
          <w:color w:val="auto"/>
        </w:rPr>
        <w:t xml:space="preserve">Interest income and paid-in-kind interest income: </w:t>
      </w:r>
      <w:r>
        <w:rPr>
          <w:rFonts w:ascii="Arial" w:cs="Arial" w:eastAsia="Arial" w:hAnsi="Arial"/>
          <w:sz w:val="14"/>
          <w:szCs w:val="14"/>
          <w:color w:val="auto"/>
        </w:rPr>
        <w:t>Interest income is recorded on the accrual basis to the extent that such amounts are expected to be collected. The Company has</w:t>
      </w:r>
      <w:r>
        <w:rPr>
          <w:rFonts w:ascii="Arial" w:cs="Arial" w:eastAsia="Arial" w:hAnsi="Arial"/>
          <w:sz w:val="14"/>
          <w:szCs w:val="14"/>
          <w:i w:val="1"/>
          <w:iCs w:val="1"/>
          <w:color w:val="auto"/>
        </w:rPr>
        <w:t xml:space="preserve"> </w:t>
      </w:r>
      <w:r>
        <w:rPr>
          <w:rFonts w:ascii="Arial" w:cs="Arial" w:eastAsia="Arial" w:hAnsi="Arial"/>
          <w:sz w:val="14"/>
          <w:szCs w:val="14"/>
          <w:color w:val="auto"/>
        </w:rPr>
        <w:t>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9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i w:val="1"/>
          <w:iCs w:val="1"/>
          <w:color w:val="auto"/>
        </w:rPr>
        <w:t xml:space="preserve">Non-accrual investments: </w:t>
      </w:r>
      <w:r>
        <w:rPr>
          <w:rFonts w:ascii="Arial" w:cs="Arial" w:eastAsia="Arial" w:hAnsi="Arial"/>
          <w:sz w:val="14"/>
          <w:szCs w:val="14"/>
          <w:color w:val="auto"/>
        </w:rPr>
        <w:t>Management reviews all loans that become 90 days or more past due, or when there is reasonable doubt that principal or interest will be collected, for</w:t>
      </w:r>
      <w:r>
        <w:rPr>
          <w:rFonts w:ascii="Arial" w:cs="Arial" w:eastAsia="Arial" w:hAnsi="Arial"/>
          <w:sz w:val="14"/>
          <w:szCs w:val="14"/>
          <w:i w:val="1"/>
          <w:iCs w:val="1"/>
          <w:color w:val="auto"/>
        </w:rPr>
        <w:t xml:space="preserve"> </w:t>
      </w:r>
      <w:r>
        <w:rPr>
          <w:rFonts w:ascii="Arial" w:cs="Arial" w:eastAsia="Arial" w:hAnsi="Arial"/>
          <w:sz w:val="14"/>
          <w:szCs w:val="14"/>
          <w:color w:val="auto"/>
        </w:rPr>
        <w:t>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83"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 xml:space="preserve">Gains and losses on investment sales: </w:t>
      </w:r>
      <w:r>
        <w:rPr>
          <w:rFonts w:ascii="Arial" w:cs="Arial" w:eastAsia="Arial" w:hAnsi="Arial"/>
          <w:sz w:val="14"/>
          <w:szCs w:val="14"/>
          <w:color w:val="auto"/>
        </w:rPr>
        <w:t>Realized gains and losses on investments are recognized using the specific identification method.</w:t>
      </w:r>
    </w:p>
    <w:p>
      <w:pPr>
        <w:spacing w:after="0" w:line="10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i w:val="1"/>
          <w:iCs w:val="1"/>
          <w:color w:val="auto"/>
        </w:rPr>
        <w:t xml:space="preserve">Dividend income and paid-in-kind dividends: </w:t>
      </w:r>
      <w:r>
        <w:rPr>
          <w:rFonts w:ascii="Arial" w:cs="Arial" w:eastAsia="Arial" w:hAnsi="Arial"/>
          <w:sz w:val="14"/>
          <w:szCs w:val="14"/>
          <w:color w:val="auto"/>
        </w:rPr>
        <w:t>Dividend income is recognized on the date dividends are declared. The Company holds preferred equity investments in the portfolio</w:t>
      </w:r>
      <w:r>
        <w:rPr>
          <w:rFonts w:ascii="Arial" w:cs="Arial" w:eastAsia="Arial" w:hAnsi="Arial"/>
          <w:sz w:val="14"/>
          <w:szCs w:val="14"/>
          <w:i w:val="1"/>
          <w:iCs w:val="1"/>
          <w:color w:val="auto"/>
        </w:rPr>
        <w:t xml:space="preserve"> </w:t>
      </w:r>
      <w:r>
        <w:rPr>
          <w:rFonts w:ascii="Arial" w:cs="Arial" w:eastAsia="Arial" w:hAnsi="Arial"/>
          <w:sz w:val="14"/>
          <w:szCs w:val="14"/>
          <w:color w:val="auto"/>
        </w:rPr>
        <w:t>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9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i w:val="1"/>
          <w:iCs w:val="1"/>
          <w:color w:val="auto"/>
        </w:rPr>
        <w:t xml:space="preserve">Original issue discount: </w:t>
      </w:r>
      <w:r>
        <w:rPr>
          <w:rFonts w:ascii="Arial" w:cs="Arial" w:eastAsia="Arial" w:hAnsi="Arial"/>
          <w:sz w:val="14"/>
          <w:szCs w:val="14"/>
          <w:color w:val="auto"/>
        </w:rPr>
        <w:t>Discounts received to par on loans purchased are capitalized and accreted into income over the life of the loan. Any remaining discount is accreted into</w:t>
      </w:r>
      <w:r>
        <w:rPr>
          <w:rFonts w:ascii="Arial" w:cs="Arial" w:eastAsia="Arial" w:hAnsi="Arial"/>
          <w:sz w:val="14"/>
          <w:szCs w:val="14"/>
          <w:i w:val="1"/>
          <w:iCs w:val="1"/>
          <w:color w:val="auto"/>
        </w:rPr>
        <w:t xml:space="preserve"> </w:t>
      </w:r>
      <w:r>
        <w:rPr>
          <w:rFonts w:ascii="Arial" w:cs="Arial" w:eastAsia="Arial" w:hAnsi="Arial"/>
          <w:sz w:val="14"/>
          <w:szCs w:val="14"/>
          <w:color w:val="auto"/>
        </w:rPr>
        <w:t>income upon prepayment of the loan.</w:t>
      </w:r>
    </w:p>
    <w:p>
      <w:pPr>
        <w:spacing w:after="0" w:line="66" w:lineRule="exact"/>
        <w:rPr>
          <w:sz w:val="20"/>
          <w:szCs w:val="20"/>
          <w:color w:val="auto"/>
        </w:rPr>
      </w:pPr>
    </w:p>
    <w:p>
      <w:pPr>
        <w:jc w:val="both"/>
        <w:ind w:firstLine="749"/>
        <w:spacing w:after="0" w:line="358" w:lineRule="auto"/>
        <w:rPr>
          <w:sz w:val="20"/>
          <w:szCs w:val="20"/>
          <w:color w:val="auto"/>
        </w:rPr>
      </w:pPr>
      <w:r>
        <w:rPr>
          <w:rFonts w:ascii="Arial" w:cs="Arial" w:eastAsia="Arial" w:hAnsi="Arial"/>
          <w:sz w:val="12"/>
          <w:szCs w:val="12"/>
          <w:i w:val="1"/>
          <w:iCs w:val="1"/>
          <w:color w:val="auto"/>
        </w:rPr>
        <w:t xml:space="preserve">Other income: </w:t>
      </w:r>
      <w:r>
        <w:rPr>
          <w:rFonts w:ascii="Arial" w:cs="Arial" w:eastAsia="Arial" w:hAnsi="Arial"/>
          <w:sz w:val="12"/>
          <w:szCs w:val="12"/>
          <w:color w:val="auto"/>
        </w:rPr>
        <w:t>Origination fees (to the extent services are performed to earn such income), amendment fees, consent fees, and other fees associated with investments in portfolio</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are recognized as income when they are earned. Prepayment penalties received by the Company for debt instruments repaid prior to maturity date are recorded as income upon receipt.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 Expenses</w:t>
      </w:r>
    </w:p>
    <w:p>
      <w:pPr>
        <w:spacing w:after="0" w:line="11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Financing Fees</w:t>
      </w:r>
    </w:p>
    <w:p>
      <w:pPr>
        <w:spacing w:after="0" w:line="11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Statement of Assets and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w:t>
      </w:r>
    </w:p>
    <w:p>
      <w:pPr>
        <w:spacing w:after="0" w:line="127"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3"/>
          <w:szCs w:val="13"/>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13"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4"/>
          <w:szCs w:val="14"/>
          <w:color w:val="auto"/>
        </w:rPr>
        <w:t>As of September 30, 2022, the Company had outstanding unfunded commitments related to debt investments in existing portfolio companies of $2.4 million to Accordion Partners LLC, $2.0 million to Aperture Dodge 18 LLC, $0.5 million to Beta Plus Technologies, $0.5 million to Bradshaw International, Inc., $3.1 million to Critical Nurse Staffing, LLC, $0.9 million to Epic Staffing Group, $0.2 million to Great Lakes II Funding LLC, $0.7 million to GreenPark Infrastructure, LLC, $2.5 million to Marble Point Credit Management LLC, $1.4 million to Premiere Imaging, LLC, and $0.4 million to Wealth Enhancement Group, LLC. As of December 31, 2021, the Company had outstanding unfunded commitments related to debt investments in existing portfolio companies of $9.0 million to Accordion Partners LLC, $0.7 million to Bradshaw International, Inc., $3.1 million to Critical Nursing Staffing, LLC, $3.5 million to J5 Infrastructure Partners, LLC, $0.9 million to Keg Logistics LLC, $2.5 million to Marble Point Credit Management LLC, $1.9 million to Premiere Imaging, LLC, and $3.5 million to Wealth Enhancement Group, LLC.</w:t>
      </w:r>
    </w:p>
    <w:p>
      <w:pPr>
        <w:spacing w:after="0" w:line="8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66"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unspecified, unsupportable, unexplained or uncertain; discovery has not started or is not complete; there are significant facts in dispute; and there are other parties who may share in any ultimate liability.</w:t>
      </w:r>
    </w:p>
    <w:p>
      <w:pPr>
        <w:spacing w:after="0" w:line="6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In management’s opinion, no direct losses with respect to litigation contingencies were probable as of September 30, 2022 and December 31, 2021.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1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7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7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tax years ended December 31, 2021, 2020, 2019 and 2018 remain subject to examination by U.S. federal, state, and local tax authorities. No interest expense or penalties have been assessed for the three and nine months ended September 30, 2022 and 2021. If the Company was required to recognize interest and penalties, if any, related to unrecognized tax benefits this would be recognized as income tax expense in the consolidated statements of operations.</w:t>
      </w:r>
    </w:p>
    <w:p>
      <w:pPr>
        <w:spacing w:after="0" w:line="7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For U.S. federal income tax purposes, as of September 30, 2022, the aggregate net unrealized depreciation for all securities was $13.4 million. As of September 30, 2022, gross unrealized appreciation was $18.8 million and gross unrealized depreciation was $32.2 million. The aggregate cost of securities for U.S. federal income tax purposes was $206.5 million as of September 30, 2022. For U.S. federal income tax purposes, as of December 31, 2021, the aggregate net unrealized appreciation for all securities was $3.6 million. As of December 31, 2021, gross unrealized appreciation was $38.6 million and gross unrealized depreciation was $35.0 million. The aggregate cost of securities for U.S. federal income tax purposes was $194.6 million as of December 31, 2021.</w:t>
      </w:r>
    </w:p>
    <w:p>
      <w:pPr>
        <w:spacing w:after="0" w:line="8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both September 30, 2022 and December 31, 2021, the Company recorded a net deferred tax asset of zero. For both the three and nine months ended September 30, 2022 and 2021, the Company recorded a tax provision of zero. As of September 30, 2022 and December 31, 2021, the valuation allowance on the Company’s deferred tax asset was $2.9 million and $2.5 million, respectively. During both the three and nine months ended September 30, 2022, the Company recognized an increase in the valuation allowance of zero and $0.4 million, respectively. During the three and nine months ended September 30, 2021, the Company recognized a decrease in the valuation allowance of $(0.4) million and $(1.4) million, respectively.</w:t>
      </w:r>
    </w:p>
    <w:p>
      <w:pPr>
        <w:spacing w:after="0" w:line="8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4"/>
          <w:szCs w:val="14"/>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9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 xml:space="preserve">ASC Topic 740 —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2022 and December 31, 2021, there were no uncertain tax positions.</w:t>
      </w:r>
    </w:p>
    <w:p>
      <w:pPr>
        <w:spacing w:after="0" w:line="8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1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Investment Risk, Concentration of Credit Risk and Liquidity Risk</w:t>
      </w:r>
    </w:p>
    <w:p>
      <w:pPr>
        <w:spacing w:after="0" w:line="11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66" w:lineRule="exact"/>
        <w:rPr>
          <w:sz w:val="20"/>
          <w:szCs w:val="20"/>
          <w:color w:val="auto"/>
        </w:rPr>
      </w:pPr>
    </w:p>
    <w:p>
      <w:pPr>
        <w:jc w:val="both"/>
        <w:ind w:right="20" w:firstLine="749"/>
        <w:spacing w:after="0" w:line="258" w:lineRule="auto"/>
        <w:rPr>
          <w:sz w:val="20"/>
          <w:szCs w:val="20"/>
          <w:color w:val="auto"/>
        </w:rPr>
      </w:pPr>
      <w:r>
        <w:rPr>
          <w:rFonts w:ascii="Arial" w:cs="Arial" w:eastAsia="Arial" w:hAnsi="Arial"/>
          <w:sz w:val="14"/>
          <w:szCs w:val="14"/>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Investment Advisor may attempt to minimize this risk by maintaining low debt-to-liquidation values with each debt investment and the collateral underlying the debt investment.</w:t>
      </w:r>
    </w:p>
    <w:p>
      <w:pPr>
        <w:spacing w:after="0" w:line="121"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14"/>
          <w:szCs w:val="14"/>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Recent Accounting Pronouncements</w:t>
      </w:r>
    </w:p>
    <w:p>
      <w:pPr>
        <w:spacing w:after="0" w:line="113" w:lineRule="exact"/>
        <w:rPr>
          <w:sz w:val="20"/>
          <w:szCs w:val="20"/>
          <w:color w:val="auto"/>
        </w:rPr>
      </w:pPr>
    </w:p>
    <w:p>
      <w:pPr>
        <w:jc w:val="both"/>
        <w:ind w:right="20" w:firstLine="749"/>
        <w:spacing w:after="0" w:line="278" w:lineRule="auto"/>
        <w:rPr>
          <w:sz w:val="20"/>
          <w:szCs w:val="20"/>
          <w:color w:val="auto"/>
        </w:rPr>
      </w:pPr>
      <w:r>
        <w:rPr>
          <w:rFonts w:ascii="Arial" w:cs="Arial" w:eastAsia="Arial" w:hAnsi="Arial"/>
          <w:sz w:val="13"/>
          <w:szCs w:val="13"/>
          <w:color w:val="auto"/>
        </w:rPr>
        <w:t>In June 2022, the Financial Accounting Standards Board issued Accounting Standards Update 2022-03, Fair Value Measurement (Topic 820) – Fair Value Measurement of Equity Securities Subject to Contractual Sale Restrictions (ASU 2022-03). The accounting standard update clarifies the guidance in Topic 820 when measuring the fair value of an equity security subject to contractual restrictions that prohibit the sale of an equity security and introduces new disclosure requirements for equity securities subject to contractual sale restrictions and measured at fair value in accordance with Topic 820. The amendments are effective for fiscal years beginning after December 15, 2023, and interim periods within those fiscal years. The Company is currently evaluating the impact that adoption of this new accounting standard will have on its consolidated financial statements, but the impact of the adoption is not expected to be material.</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Investments and Fair Value Measurements</w:t>
      </w:r>
    </w:p>
    <w:p>
      <w:pPr>
        <w:spacing w:after="0" w:line="113" w:lineRule="exact"/>
        <w:rPr>
          <w:sz w:val="20"/>
          <w:szCs w:val="20"/>
          <w:color w:val="auto"/>
        </w:rPr>
      </w:pPr>
    </w:p>
    <w:p>
      <w:pPr>
        <w:jc w:val="both"/>
        <w:ind w:right="20" w:firstLine="749"/>
        <w:spacing w:after="0" w:line="258" w:lineRule="auto"/>
        <w:rPr>
          <w:sz w:val="20"/>
          <w:szCs w:val="20"/>
          <w:color w:val="auto"/>
        </w:rPr>
      </w:pPr>
      <w:r>
        <w:rPr>
          <w:rFonts w:ascii="Arial" w:cs="Arial" w:eastAsia="Arial" w:hAnsi="Arial"/>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September 30, 2022, our portfolio consisted of investments in 54 portfolio companies with a fair value of approximately $193.1 million.</w:t>
      </w:r>
    </w:p>
    <w:p>
      <w:pPr>
        <w:spacing w:after="0" w:line="77"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2022, 2.2%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spacing w:after="0" w:line="83" w:lineRule="exact"/>
        <w:rPr>
          <w:sz w:val="20"/>
          <w:szCs w:val="20"/>
          <w:color w:val="auto"/>
        </w:rPr>
      </w:pPr>
    </w:p>
    <w:p>
      <w:pPr>
        <w:jc w:val="both"/>
        <w:ind w:right="40" w:firstLine="749"/>
        <w:spacing w:after="0" w:line="334" w:lineRule="auto"/>
        <w:rPr>
          <w:sz w:val="20"/>
          <w:szCs w:val="20"/>
          <w:color w:val="auto"/>
        </w:rPr>
      </w:pPr>
      <w:r>
        <w:rPr>
          <w:rFonts w:ascii="Arial" w:cs="Arial" w:eastAsia="Arial" w:hAnsi="Arial"/>
          <w:sz w:val="13"/>
          <w:szCs w:val="13"/>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29"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4"/>
          <w:szCs w:val="14"/>
          <w:color w:val="auto"/>
        </w:rPr>
        <w:t>During the three months ended September 30, 2022, we made approximately $36.7 million of investments and had approximately $17.1 million in repayments and sales, resulting in net deployment of approximately $19.6 million for the period. During the three months ended September 30, 2021, the Company made $33.3 million of investments and had approximately $64.1 million in repayments and sales, resulting in net repayments and sales of approximately $30.8 million for the period.</w:t>
      </w:r>
    </w:p>
    <w:p>
      <w:pPr>
        <w:spacing w:after="0" w:line="90"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4"/>
          <w:szCs w:val="14"/>
          <w:color w:val="auto"/>
        </w:rPr>
        <w:t>During the nine months ended September 30, 2022, we made approximately $83.8 million of investments and had approximately $83.8 million in repayments and sales, resulting in net repayments and sales of less than $0.1 million for the period. During the nine months ended September 30, 2021, the Company made $43.3 million of investments and had approximately $127.5 million in repayments and sales, resulting in net repayments and sales of approximately $84.2 million for the period.</w:t>
      </w:r>
    </w:p>
    <w:p>
      <w:pPr>
        <w:spacing w:after="0" w:line="77"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14"/>
          <w:szCs w:val="14"/>
          <w:color w:val="auto"/>
        </w:rPr>
        <w:t>As of September 30, 2022, the Company’s Adviser approved the fair value of the Company’s investment portfolio of approximately $193.1 million in good faith in accordance with the Company’s valuation procedures. The Company’s Adviser approved the fair value of the Company’s investment portfolio as of September 30, 2022 with input from a third-party valuation firm and the Investment Advisor based on information known or knowable as of the valuation date, including trailing and forward looking data.</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composition of our investments as of September 30, 2022, at amortized cost and fair value was as follows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2"/>
                <w:szCs w:val="12"/>
                <w:color w:val="auto"/>
              </w:rPr>
            </w:pPr>
          </w:p>
        </w:tc>
        <w:tc>
          <w:tcPr>
            <w:tcW w:w="136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Investments at</w:t>
            </w:r>
          </w:p>
        </w:tc>
        <w:tc>
          <w:tcPr>
            <w:tcW w:w="220" w:type="dxa"/>
            <w:vAlign w:val="bottom"/>
          </w:tcPr>
          <w:p>
            <w:pPr>
              <w:spacing w:after="0"/>
              <w:rPr>
                <w:sz w:val="12"/>
                <w:szCs w:val="12"/>
                <w:color w:val="auto"/>
              </w:rPr>
            </w:pPr>
          </w:p>
        </w:tc>
        <w:tc>
          <w:tcPr>
            <w:tcW w:w="1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Percentage of</w:t>
            </w:r>
          </w:p>
        </w:tc>
      </w:tr>
      <w:tr>
        <w:trPr>
          <w:trHeight w:val="185"/>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Total Portfolio</w:t>
            </w:r>
          </w:p>
        </w:tc>
      </w:tr>
      <w:tr>
        <w:trPr>
          <w:trHeight w:val="169"/>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124,030</w:t>
            </w:r>
          </w:p>
        </w:tc>
        <w:tc>
          <w:tcPr>
            <w:tcW w:w="26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61.2</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119,426</w:t>
            </w:r>
          </w:p>
        </w:tc>
        <w:tc>
          <w:tcPr>
            <w:tcW w:w="220" w:type="dxa"/>
            <w:vAlign w:val="bottom"/>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9,020</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4.4 %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7,773</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4.0 %</w:t>
            </w:r>
          </w:p>
        </w:tc>
        <w:tc>
          <w:tcPr>
            <w:tcW w:w="20" w:type="dxa"/>
            <w:vAlign w:val="bottom"/>
          </w:tcPr>
          <w:p>
            <w:pPr>
              <w:spacing w:after="0"/>
              <w:rPr>
                <w:sz w:val="15"/>
                <w:szCs w:val="15"/>
                <w:color w:val="auto"/>
              </w:rPr>
            </w:pPr>
          </w:p>
        </w:tc>
      </w:tr>
      <w:tr>
        <w:trPr>
          <w:trHeight w:val="175"/>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26,501</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13.1 %</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26,096</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13.5 %</w:t>
            </w:r>
          </w:p>
        </w:tc>
        <w:tc>
          <w:tcPr>
            <w:tcW w:w="20" w:type="dxa"/>
            <w:vAlign w:val="bottom"/>
          </w:tcPr>
          <w:p>
            <w:pPr>
              <w:spacing w:after="0"/>
              <w:rPr>
                <w:sz w:val="15"/>
                <w:szCs w:val="15"/>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Collateralized Loan Obligations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7,267</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3.6 %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6,664</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3.5 %</w:t>
            </w:r>
          </w:p>
        </w:tc>
        <w:tc>
          <w:tcPr>
            <w:tcW w:w="20" w:type="dxa"/>
            <w:vAlign w:val="bottom"/>
          </w:tcPr>
          <w:p>
            <w:pPr>
              <w:spacing w:after="0"/>
              <w:rPr>
                <w:sz w:val="15"/>
                <w:szCs w:val="15"/>
                <w:color w:val="auto"/>
              </w:rPr>
            </w:pPr>
          </w:p>
        </w:tc>
      </w:tr>
      <w:tr>
        <w:trPr>
          <w:trHeight w:val="175"/>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Joint Venture</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0.1 %</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20" w:type="dxa"/>
            <w:vAlign w:val="bottom"/>
          </w:tcPr>
          <w:p>
            <w:pPr>
              <w:spacing w:after="0"/>
              <w:rPr>
                <w:sz w:val="15"/>
                <w:szCs w:val="15"/>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4"/>
                <w:szCs w:val="14"/>
                <w:color w:val="auto"/>
              </w:rPr>
              <w:t>Equity</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35,648</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17.6 %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32,891</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17.0 %</w:t>
            </w:r>
          </w:p>
        </w:tc>
        <w:tc>
          <w:tcPr>
            <w:tcW w:w="20" w:type="dxa"/>
            <w:vAlign w:val="bottom"/>
          </w:tcPr>
          <w:p>
            <w:pPr>
              <w:spacing w:after="0"/>
              <w:rPr>
                <w:sz w:val="15"/>
                <w:szCs w:val="15"/>
                <w:color w:val="auto"/>
              </w:rPr>
            </w:pPr>
          </w:p>
        </w:tc>
      </w:tr>
      <w:tr>
        <w:trPr>
          <w:trHeight w:val="20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202,743</w:t>
            </w:r>
          </w:p>
        </w:tc>
        <w:tc>
          <w:tcPr>
            <w:tcW w:w="2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193,120</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-8255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774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composition of our investments as of December 31, 2021, at amortized cost and fair value was as follows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r>
      <w:tr>
        <w:trPr>
          <w:trHeight w:val="158"/>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3"/>
                <w:szCs w:val="13"/>
                <w:color w:val="auto"/>
              </w:rPr>
            </w:pPr>
          </w:p>
        </w:tc>
        <w:tc>
          <w:tcPr>
            <w:tcW w:w="1360" w:type="dxa"/>
            <w:vAlign w:val="bottom"/>
          </w:tcPr>
          <w:p>
            <w:pPr>
              <w:jc w:val="center"/>
              <w:ind w:left="288"/>
              <w:spacing w:after="0" w:line="158" w:lineRule="exact"/>
              <w:rPr>
                <w:sz w:val="20"/>
                <w:szCs w:val="20"/>
                <w:color w:val="auto"/>
              </w:rPr>
            </w:pPr>
            <w:r>
              <w:rPr>
                <w:rFonts w:ascii="Arial" w:cs="Arial" w:eastAsia="Arial" w:hAnsi="Arial"/>
                <w:sz w:val="14"/>
                <w:szCs w:val="14"/>
                <w:b w:val="1"/>
                <w:bCs w:val="1"/>
                <w:color w:val="auto"/>
                <w:w w:val="90"/>
              </w:rPr>
              <w:t>Percentage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Investments at</w:t>
            </w:r>
          </w:p>
        </w:tc>
        <w:tc>
          <w:tcPr>
            <w:tcW w:w="220" w:type="dxa"/>
            <w:vAlign w:val="bottom"/>
          </w:tcPr>
          <w:p>
            <w:pPr>
              <w:spacing w:after="0"/>
              <w:rPr>
                <w:sz w:val="13"/>
                <w:szCs w:val="13"/>
                <w:color w:val="auto"/>
              </w:rPr>
            </w:pPr>
          </w:p>
        </w:tc>
        <w:tc>
          <w:tcPr>
            <w:tcW w:w="18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Percentage of</w:t>
            </w:r>
          </w:p>
        </w:tc>
      </w:tr>
      <w:tr>
        <w:trPr>
          <w:trHeight w:val="189"/>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Total Portfolio</w:t>
            </w:r>
          </w:p>
        </w:tc>
      </w:tr>
      <w:tr>
        <w:trPr>
          <w:trHeight w:val="169"/>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103,667</w:t>
            </w:r>
          </w:p>
        </w:tc>
        <w:tc>
          <w:tcPr>
            <w:tcW w:w="26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20" w:type="dxa"/>
            <w:vAlign w:val="bottom"/>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30,048</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15.8 %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30,190</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15.2 %</w:t>
            </w:r>
          </w:p>
        </w:tc>
        <w:tc>
          <w:tcPr>
            <w:tcW w:w="20" w:type="dxa"/>
            <w:vAlign w:val="bottom"/>
          </w:tcPr>
          <w:p>
            <w:pPr>
              <w:spacing w:after="0"/>
              <w:rPr>
                <w:sz w:val="15"/>
                <w:szCs w:val="15"/>
                <w:color w:val="auto"/>
              </w:rPr>
            </w:pPr>
          </w:p>
        </w:tc>
      </w:tr>
      <w:tr>
        <w:trPr>
          <w:trHeight w:val="176"/>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2.6 %</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5"/>
                <w:szCs w:val="15"/>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4"/>
                <w:szCs w:val="14"/>
                <w:color w:val="auto"/>
              </w:rPr>
              <w:t>Equity</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51,717</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27.2 %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64,698</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32.6 %</w:t>
            </w:r>
          </w:p>
        </w:tc>
        <w:tc>
          <w:tcPr>
            <w:tcW w:w="20" w:type="dxa"/>
            <w:vAlign w:val="bottom"/>
          </w:tcPr>
          <w:p>
            <w:pPr>
              <w:spacing w:after="0"/>
              <w:rPr>
                <w:sz w:val="15"/>
                <w:szCs w:val="15"/>
                <w:color w:val="auto"/>
              </w:rPr>
            </w:pPr>
          </w:p>
        </w:tc>
      </w:tr>
      <w:tr>
        <w:trPr>
          <w:trHeight w:val="20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190,482</w:t>
            </w:r>
          </w:p>
        </w:tc>
        <w:tc>
          <w:tcPr>
            <w:tcW w:w="2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40" w:firstLine="749"/>
        <w:spacing w:after="0" w:line="257" w:lineRule="auto"/>
        <w:rPr>
          <w:sz w:val="20"/>
          <w:szCs w:val="20"/>
          <w:color w:val="auto"/>
        </w:rPr>
      </w:pPr>
      <w:r>
        <w:rPr>
          <w:rFonts w:ascii="Arial" w:cs="Arial" w:eastAsia="Arial" w:hAnsi="Arial"/>
          <w:sz w:val="14"/>
          <w:szCs w:val="14"/>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90"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14"/>
          <w:szCs w:val="14"/>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93" w:lineRule="exact"/>
        <w:rPr>
          <w:sz w:val="20"/>
          <w:szCs w:val="20"/>
          <w:color w:val="auto"/>
        </w:rPr>
      </w:pPr>
    </w:p>
    <w:p>
      <w:pPr>
        <w:jc w:val="both"/>
        <w:ind w:right="20" w:firstLine="749"/>
        <w:spacing w:after="0" w:line="257" w:lineRule="auto"/>
        <w:rPr>
          <w:sz w:val="20"/>
          <w:szCs w:val="20"/>
          <w:color w:val="auto"/>
        </w:rPr>
      </w:pPr>
      <w:r>
        <w:rPr>
          <w:rFonts w:ascii="Arial" w:cs="Arial" w:eastAsia="Arial" w:hAnsi="Arial"/>
          <w:sz w:val="14"/>
          <w:szCs w:val="14"/>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90" w:lineRule="exact"/>
        <w:rPr>
          <w:sz w:val="20"/>
          <w:szCs w:val="20"/>
          <w:color w:val="auto"/>
        </w:rPr>
      </w:pPr>
    </w:p>
    <w:p>
      <w:pPr>
        <w:ind w:left="880" w:hanging="427"/>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Level 1 — Valuations based on quoted prices in active markets for identical assets or liabilities that the Company has the ability to access.</w:t>
      </w:r>
    </w:p>
    <w:p>
      <w:pPr>
        <w:spacing w:after="0" w:line="230" w:lineRule="exact"/>
        <w:rPr>
          <w:rFonts w:ascii="Arial" w:cs="Arial" w:eastAsia="Arial" w:hAnsi="Arial"/>
          <w:sz w:val="14"/>
          <w:szCs w:val="14"/>
          <w:color w:val="auto"/>
        </w:rPr>
      </w:pPr>
    </w:p>
    <w:p>
      <w:pPr>
        <w:ind w:left="880" w:hanging="427"/>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Level 2 — Valuations based on inputs other than quoted prices in active markets, which are either directly or indirectly observable.</w:t>
      </w:r>
    </w:p>
    <w:p>
      <w:pPr>
        <w:spacing w:after="0" w:line="217" w:lineRule="exact"/>
        <w:rPr>
          <w:rFonts w:ascii="Arial" w:cs="Arial" w:eastAsia="Arial" w:hAnsi="Arial"/>
          <w:sz w:val="14"/>
          <w:szCs w:val="14"/>
          <w:color w:val="auto"/>
        </w:rPr>
      </w:pPr>
    </w:p>
    <w:p>
      <w:pPr>
        <w:ind w:left="880" w:hanging="427"/>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Level 3 — Valuations based on inputs that are unobservable and significant to the overall fair value measurement.</w:t>
      </w:r>
    </w:p>
    <w:p>
      <w:pPr>
        <w:spacing w:after="0" w:line="109" w:lineRule="exact"/>
        <w:rPr>
          <w:sz w:val="20"/>
          <w:szCs w:val="20"/>
          <w:color w:val="auto"/>
        </w:rPr>
      </w:pPr>
    </w:p>
    <w:p>
      <w:pPr>
        <w:jc w:val="both"/>
        <w:ind w:right="20" w:firstLine="749"/>
        <w:spacing w:after="0" w:line="273" w:lineRule="auto"/>
        <w:rPr>
          <w:sz w:val="20"/>
          <w:szCs w:val="20"/>
          <w:color w:val="auto"/>
        </w:rPr>
      </w:pPr>
      <w:r>
        <w:rPr>
          <w:rFonts w:ascii="Arial" w:cs="Arial" w:eastAsia="Arial" w:hAnsi="Arial"/>
          <w:sz w:val="14"/>
          <w:szCs w:val="14"/>
          <w:color w:val="auto"/>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66"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14"/>
          <w:szCs w:val="14"/>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following table presents the fair value measurements of investments, by major class, as of September 30, 2022, according to the fair value hierarchy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Fair Value Measurements</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NAV</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119,426</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119,426</w:t>
            </w:r>
          </w:p>
        </w:tc>
        <w:tc>
          <w:tcPr>
            <w:tcW w:w="100" w:type="dxa"/>
            <w:vAlign w:val="bottom"/>
            <w:shd w:val="clear" w:color="auto" w:fill="CFF0FC"/>
          </w:tcPr>
          <w:p>
            <w:pPr>
              <w:spacing w:after="0"/>
              <w:rPr>
                <w:sz w:val="14"/>
                <w:szCs w:val="14"/>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80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7,773</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7,773</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26,096</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26,096</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Collateralized Loan Obligations</w:t>
            </w:r>
          </w:p>
        </w:tc>
        <w:tc>
          <w:tcPr>
            <w:tcW w:w="80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6,664</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6,664</w:t>
            </w:r>
          </w:p>
        </w:tc>
        <w:tc>
          <w:tcPr>
            <w:tcW w:w="100" w:type="dxa"/>
            <w:vAlign w:val="bottom"/>
          </w:tcPr>
          <w:p>
            <w:pPr>
              <w:spacing w:after="0"/>
              <w:rPr>
                <w:sz w:val="15"/>
                <w:szCs w:val="15"/>
                <w:color w:val="auto"/>
              </w:rPr>
            </w:pPr>
          </w:p>
        </w:tc>
      </w:tr>
      <w:tr>
        <w:trPr>
          <w:trHeight w:val="175"/>
        </w:trPr>
        <w:tc>
          <w:tcPr>
            <w:tcW w:w="5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Joint Venture</w:t>
            </w: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FF0FC"/>
          </w:tcPr>
          <w:p>
            <w:pPr>
              <w:spacing w:after="0"/>
              <w:rPr>
                <w:sz w:val="15"/>
                <w:szCs w:val="15"/>
                <w:color w:val="auto"/>
              </w:rPr>
            </w:pPr>
          </w:p>
        </w:tc>
      </w:tr>
      <w:tr>
        <w:trPr>
          <w:trHeight w:val="175"/>
        </w:trPr>
        <w:tc>
          <w:tcPr>
            <w:tcW w:w="5260" w:type="dxa"/>
            <w:vAlign w:val="bottom"/>
          </w:tcPr>
          <w:p>
            <w:pPr>
              <w:ind w:left="20"/>
              <w:spacing w:after="0"/>
              <w:rPr>
                <w:sz w:val="20"/>
                <w:szCs w:val="20"/>
                <w:color w:val="auto"/>
              </w:rPr>
            </w:pPr>
            <w:r>
              <w:rPr>
                <w:rFonts w:ascii="Arial" w:cs="Arial" w:eastAsia="Arial" w:hAnsi="Arial"/>
                <w:sz w:val="14"/>
                <w:szCs w:val="14"/>
                <w:color w:val="auto"/>
              </w:rPr>
              <w:t>Equity</w:t>
            </w: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32,891</w:t>
            </w:r>
          </w:p>
        </w:tc>
        <w:tc>
          <w:tcPr>
            <w:tcW w:w="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32,891</w:t>
            </w:r>
          </w:p>
        </w:tc>
        <w:tc>
          <w:tcPr>
            <w:tcW w:w="100" w:type="dxa"/>
            <w:vAlign w:val="bottom"/>
          </w:tcPr>
          <w:p>
            <w:pPr>
              <w:spacing w:after="0"/>
              <w:rPr>
                <w:sz w:val="15"/>
                <w:szCs w:val="15"/>
                <w:color w:val="auto"/>
              </w:rPr>
            </w:pPr>
          </w:p>
        </w:tc>
      </w:tr>
      <w:tr>
        <w:trPr>
          <w:trHeight w:val="209"/>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192,850</w:t>
            </w:r>
          </w:p>
        </w:tc>
        <w:tc>
          <w:tcPr>
            <w:tcW w:w="2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193,120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following table presents fair value measurements of investments, by major class, as of December 31, 2021, according to the fair value hierarchy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Fair Value Measurements</w:t>
            </w: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900" w:type="dxa"/>
            <w:vAlign w:val="bottom"/>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100" w:type="dxa"/>
            <w:vAlign w:val="bottom"/>
            <w:shd w:val="clear" w:color="auto" w:fill="CFF0FC"/>
          </w:tcPr>
          <w:p>
            <w:pPr>
              <w:spacing w:after="0"/>
              <w:rPr>
                <w:sz w:val="14"/>
                <w:szCs w:val="14"/>
                <w:color w:val="auto"/>
              </w:rPr>
            </w:pPr>
          </w:p>
        </w:tc>
      </w:tr>
      <w:tr>
        <w:trPr>
          <w:trHeight w:val="175"/>
        </w:trPr>
        <w:tc>
          <w:tcPr>
            <w:tcW w:w="588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9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30,190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30,190</w:t>
            </w:r>
          </w:p>
        </w:tc>
        <w:tc>
          <w:tcPr>
            <w:tcW w:w="100" w:type="dxa"/>
            <w:vAlign w:val="bottom"/>
          </w:tcPr>
          <w:p>
            <w:pPr>
              <w:spacing w:after="0"/>
              <w:rPr>
                <w:sz w:val="15"/>
                <w:szCs w:val="15"/>
                <w:color w:val="auto"/>
              </w:rPr>
            </w:pPr>
          </w:p>
        </w:tc>
      </w:tr>
      <w:tr>
        <w:trPr>
          <w:trHeight w:val="175"/>
        </w:trPr>
        <w:tc>
          <w:tcPr>
            <w:tcW w:w="58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100" w:type="dxa"/>
            <w:vAlign w:val="bottom"/>
            <w:shd w:val="clear" w:color="auto" w:fill="CFF0FC"/>
          </w:tcPr>
          <w:p>
            <w:pPr>
              <w:spacing w:after="0"/>
              <w:rPr>
                <w:sz w:val="15"/>
                <w:szCs w:val="15"/>
                <w:color w:val="auto"/>
              </w:rPr>
            </w:pPr>
          </w:p>
        </w:tc>
      </w:tr>
      <w:tr>
        <w:trPr>
          <w:trHeight w:val="176"/>
        </w:trPr>
        <w:tc>
          <w:tcPr>
            <w:tcW w:w="5880" w:type="dxa"/>
            <w:vAlign w:val="bottom"/>
          </w:tcPr>
          <w:p>
            <w:pPr>
              <w:ind w:left="20"/>
              <w:spacing w:after="0"/>
              <w:rPr>
                <w:sz w:val="20"/>
                <w:szCs w:val="20"/>
                <w:color w:val="auto"/>
              </w:rPr>
            </w:pPr>
            <w:r>
              <w:rPr>
                <w:rFonts w:ascii="Arial" w:cs="Arial" w:eastAsia="Arial" w:hAnsi="Arial"/>
                <w:sz w:val="14"/>
                <w:szCs w:val="14"/>
                <w:color w:val="auto"/>
              </w:rPr>
              <w:t>Equity</w:t>
            </w: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64,698</w:t>
            </w:r>
          </w:p>
        </w:tc>
        <w:tc>
          <w:tcPr>
            <w:tcW w:w="100" w:type="dxa"/>
            <w:vAlign w:val="bottom"/>
          </w:tcPr>
          <w:p>
            <w:pPr>
              <w:spacing w:after="0"/>
              <w:rPr>
                <w:sz w:val="15"/>
                <w:szCs w:val="15"/>
                <w:color w:val="auto"/>
              </w:rPr>
            </w:pPr>
          </w:p>
        </w:tc>
      </w:tr>
      <w:tr>
        <w:trPr>
          <w:trHeight w:val="20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-24765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following table provides a reconciliation of the beginning and ending balances for investments that use Level 3 inputs for the nine months ended September 30, 2022 (dollars in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First Lien</w:t>
            </w:r>
          </w:p>
        </w:tc>
        <w:tc>
          <w:tcPr>
            <w:tcW w:w="140" w:type="dxa"/>
            <w:vAlign w:val="bottom"/>
          </w:tcPr>
          <w:p>
            <w:pPr>
              <w:spacing w:after="0"/>
              <w:rPr>
                <w:sz w:val="14"/>
                <w:szCs w:val="14"/>
                <w:color w:val="auto"/>
              </w:rPr>
            </w:pPr>
          </w:p>
        </w:tc>
        <w:tc>
          <w:tcPr>
            <w:tcW w:w="126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Second Lien</w:t>
            </w:r>
          </w:p>
        </w:tc>
        <w:tc>
          <w:tcPr>
            <w:tcW w:w="100" w:type="dxa"/>
            <w:vAlign w:val="bottom"/>
          </w:tcPr>
          <w:p>
            <w:pPr>
              <w:spacing w:after="0"/>
              <w:rPr>
                <w:sz w:val="14"/>
                <w:szCs w:val="14"/>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Subordinated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Collateralized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6"/>
                <w:szCs w:val="16"/>
                <w:color w:val="auto"/>
              </w:rPr>
            </w:pPr>
          </w:p>
        </w:tc>
        <w:tc>
          <w:tcPr>
            <w:tcW w:w="12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Loan Obligations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center"/>
              <w:ind w:right="4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88"/>
              </w:rPr>
              <w:t>30,190</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7,717</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56,981</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4"/>
                <w:szCs w:val="14"/>
                <w:color w:val="auto"/>
              </w:rPr>
              <w:t>Repayments/sales</w:t>
            </w:r>
          </w:p>
        </w:tc>
        <w:tc>
          <w:tcPr>
            <w:tcW w:w="140" w:type="dxa"/>
            <w:vAlign w:val="bottom"/>
          </w:tcPr>
          <w:p>
            <w:pPr>
              <w:spacing w:after="0"/>
              <w:rPr>
                <w:sz w:val="15"/>
                <w:szCs w:val="15"/>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(38,842 )</w:t>
            </w:r>
          </w:p>
        </w:tc>
        <w:tc>
          <w:tcPr>
            <w:tcW w:w="1400" w:type="dxa"/>
            <w:vAlign w:val="bottom"/>
            <w:gridSpan w:val="5"/>
          </w:tcPr>
          <w:p>
            <w:pPr>
              <w:jc w:val="right"/>
              <w:ind w:right="128"/>
              <w:spacing w:after="0"/>
              <w:rPr>
                <w:sz w:val="20"/>
                <w:szCs w:val="20"/>
                <w:color w:val="auto"/>
              </w:rPr>
            </w:pPr>
            <w:r>
              <w:rPr>
                <w:rFonts w:ascii="Arial" w:cs="Arial" w:eastAsia="Arial" w:hAnsi="Arial"/>
                <w:sz w:val="14"/>
                <w:szCs w:val="14"/>
                <w:color w:val="auto"/>
              </w:rPr>
              <w:t>(24,429 )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4"/>
          </w:tcPr>
          <w:p>
            <w:pPr>
              <w:jc w:val="right"/>
              <w:ind w:right="88"/>
              <w:spacing w:after="0"/>
              <w:rPr>
                <w:sz w:val="20"/>
                <w:szCs w:val="20"/>
                <w:color w:val="auto"/>
              </w:rPr>
            </w:pPr>
            <w:r>
              <w:rPr>
                <w:rFonts w:ascii="Arial" w:cs="Arial" w:eastAsia="Arial" w:hAnsi="Arial"/>
                <w:sz w:val="14"/>
                <w:szCs w:val="14"/>
                <w:color w:val="auto"/>
              </w:rPr>
              <w:t>(678 )</w:t>
            </w:r>
          </w:p>
        </w:tc>
        <w:tc>
          <w:tcPr>
            <w:tcW w:w="120" w:type="dxa"/>
            <w:vAlign w:val="bottom"/>
          </w:tcPr>
          <w:p>
            <w:pPr>
              <w:spacing w:after="0"/>
              <w:rPr>
                <w:sz w:val="15"/>
                <w:szCs w:val="15"/>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(19,749 )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(83,697 )</w:t>
            </w: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58,674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3,086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21,272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4"/>
                <w:szCs w:val="14"/>
                <w:color w:val="auto"/>
              </w:rPr>
              <w:t>Payment-in-kind interest and dividends accrued</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276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original issue discount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846</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color w:val="auto"/>
              </w:rPr>
              <w:t>Net realized gain (loss) on investments</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gridSpan w:val="3"/>
          </w:tcPr>
          <w:p>
            <w:pPr>
              <w:jc w:val="right"/>
              <w:ind w:right="128"/>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4"/>
          </w:tcPr>
          <w:p>
            <w:pPr>
              <w:jc w:val="right"/>
              <w:ind w:right="88"/>
              <w:spacing w:after="0"/>
              <w:rPr>
                <w:sz w:val="20"/>
                <w:szCs w:val="20"/>
                <w:color w:val="auto"/>
              </w:rPr>
            </w:pPr>
            <w:r>
              <w:rPr>
                <w:rFonts w:ascii="Arial" w:cs="Arial" w:eastAsia="Arial" w:hAnsi="Arial"/>
                <w:sz w:val="14"/>
                <w:szCs w:val="14"/>
                <w:color w:val="auto"/>
              </w:rPr>
              <w:t>(940 )</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11,194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appreciation (depreciation) on investments</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128"/>
              <w:spacing w:after="0"/>
              <w:rPr>
                <w:sz w:val="20"/>
                <w:szCs w:val="20"/>
                <w:color w:val="auto"/>
              </w:rPr>
            </w:pPr>
            <w:r>
              <w:rPr>
                <w:rFonts w:ascii="Arial" w:cs="Arial" w:eastAsia="Arial" w:hAnsi="Arial"/>
                <w:sz w:val="14"/>
                <w:szCs w:val="14"/>
                <w:color w:val="auto"/>
                <w:w w:val="91"/>
              </w:rPr>
              <w:t>(1,387 )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(406 )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4"/>
            <w:shd w:val="clear" w:color="auto" w:fill="CFF0FC"/>
          </w:tcPr>
          <w:p>
            <w:pPr>
              <w:jc w:val="right"/>
              <w:ind w:right="88"/>
              <w:spacing w:after="0"/>
              <w:rPr>
                <w:sz w:val="20"/>
                <w:szCs w:val="20"/>
                <w:color w:val="auto"/>
              </w:rPr>
            </w:pPr>
            <w:r>
              <w:rPr>
                <w:rFonts w:ascii="Arial" w:cs="Arial" w:eastAsia="Arial" w:hAnsi="Arial"/>
                <w:sz w:val="14"/>
                <w:szCs w:val="14"/>
                <w:color w:val="auto"/>
              </w:rPr>
              <w:t>(281 )</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(16,063 )</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(17,322 )</w:t>
            </w:r>
          </w:p>
        </w:tc>
        <w:tc>
          <w:tcPr>
            <w:tcW w:w="0" w:type="dxa"/>
            <w:vAlign w:val="bottom"/>
          </w:tcPr>
          <w:p>
            <w:pPr>
              <w:spacing w:after="0"/>
              <w:rPr>
                <w:sz w:val="1"/>
                <w:szCs w:val="1"/>
                <w:color w:val="auto"/>
              </w:rPr>
            </w:pPr>
          </w:p>
        </w:tc>
      </w:tr>
      <w:tr>
        <w:trPr>
          <w:trHeight w:val="169"/>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Balance as of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119,426</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600" w:type="dxa"/>
            <w:vAlign w:val="bottom"/>
            <w:tcBorders>
              <w:top w:val="single" w:sz="8" w:color="auto"/>
              <w:bottom w:val="single" w:sz="8" w:color="auto"/>
            </w:tcBorders>
          </w:tcPr>
          <w:p>
            <w:pPr>
              <w:jc w:val="center"/>
              <w:ind w:right="4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7,773</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26,096</w:t>
            </w: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6,664</w:t>
            </w:r>
          </w:p>
        </w:tc>
        <w:tc>
          <w:tcPr>
            <w:tcW w:w="220" w:type="dxa"/>
            <w:vAlign w:val="bottom"/>
            <w:tcBorders>
              <w:top w:val="single" w:sz="8" w:color="CFF0FC"/>
            </w:tcBorders>
            <w:gridSpan w:val="2"/>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32,891</w:t>
            </w:r>
          </w:p>
        </w:tc>
        <w:tc>
          <w:tcPr>
            <w:tcW w:w="16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192,850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1240" w:type="dxa"/>
            <w:vAlign w:val="bottom"/>
            <w:gridSpan w:val="29"/>
          </w:tcPr>
          <w:p>
            <w:pPr>
              <w:ind w:left="760"/>
              <w:spacing w:after="0"/>
              <w:rPr>
                <w:sz w:val="20"/>
                <w:szCs w:val="20"/>
                <w:color w:val="auto"/>
              </w:rPr>
            </w:pPr>
            <w:r>
              <w:rPr>
                <w:rFonts w:ascii="Arial" w:cs="Arial" w:eastAsia="Arial" w:hAnsi="Arial"/>
                <w:sz w:val="14"/>
                <w:szCs w:val="14"/>
                <w:color w:val="auto"/>
                <w:w w:val="94"/>
              </w:rPr>
              <w:t>The following table provides a reconciliation of the beginning and ending balances for investments that use Level 3 inputs for the nine months ended September 30, 2021 (dollars in</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First Lien</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1"/>
              </w:rPr>
              <w:t>Second Lien</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w w:val="93"/>
              </w:rPr>
              <w:t>Subordinated</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6"/>
              </w:rPr>
              <w:t>Debt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Debt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January 1, 2021</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167,418</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39,209</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67,572</w:t>
            </w: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274,199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rPr>
                <w:sz w:val="20"/>
                <w:szCs w:val="20"/>
                <w:color w:val="auto"/>
              </w:rPr>
            </w:pPr>
            <w:r>
              <w:rPr>
                <w:rFonts w:ascii="Arial" w:cs="Arial" w:eastAsia="Arial" w:hAnsi="Arial"/>
                <w:sz w:val="14"/>
                <w:szCs w:val="14"/>
                <w:color w:val="auto"/>
              </w:rPr>
              <w:t>Repayments/sales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08"/>
              <w:spacing w:after="0"/>
              <w:rPr>
                <w:sz w:val="20"/>
                <w:szCs w:val="20"/>
                <w:color w:val="auto"/>
              </w:rPr>
            </w:pPr>
            <w:r>
              <w:rPr>
                <w:rFonts w:ascii="Arial" w:cs="Arial" w:eastAsia="Arial" w:hAnsi="Arial"/>
                <w:sz w:val="14"/>
                <w:szCs w:val="14"/>
                <w:color w:val="auto"/>
              </w:rPr>
              <w:t>(87,377 )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(20,066 )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(20,076 )</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(127,519 )</w:t>
            </w:r>
          </w:p>
        </w:tc>
        <w:tc>
          <w:tcPr>
            <w:tcW w:w="0" w:type="dxa"/>
            <w:vAlign w:val="bottom"/>
          </w:tcPr>
          <w:p>
            <w:pPr>
              <w:spacing w:after="0"/>
              <w:rPr>
                <w:sz w:val="1"/>
                <w:szCs w:val="1"/>
                <w:color w:val="auto"/>
              </w:rPr>
            </w:pPr>
          </w:p>
        </w:tc>
      </w:tr>
      <w:tr>
        <w:trPr>
          <w:trHeight w:val="176"/>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41,295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ind w:left="7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color w:val="auto"/>
              </w:rPr>
              <w:t>Payment-in-kind interest and dividends accrued</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259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Accretion of original issue discount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ind w:left="7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rPr>
                <w:sz w:val="20"/>
                <w:szCs w:val="20"/>
                <w:color w:val="auto"/>
              </w:rPr>
            </w:pPr>
            <w:r>
              <w:rPr>
                <w:rFonts w:ascii="Arial" w:cs="Arial" w:eastAsia="Arial" w:hAnsi="Arial"/>
                <w:sz w:val="14"/>
                <w:szCs w:val="14"/>
                <w:color w:val="auto"/>
              </w:rPr>
              <w:t>Net realized (loss) gain on investments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08"/>
              <w:spacing w:after="0"/>
              <w:rPr>
                <w:sz w:val="20"/>
                <w:szCs w:val="20"/>
                <w:color w:val="auto"/>
              </w:rPr>
            </w:pPr>
            <w:r>
              <w:rPr>
                <w:rFonts w:ascii="Arial" w:cs="Arial" w:eastAsia="Arial" w:hAnsi="Arial"/>
                <w:sz w:val="14"/>
                <w:szCs w:val="14"/>
                <w:color w:val="auto"/>
              </w:rPr>
              <w:t>(12,880 )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13,210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appreciation (depreciation) on investments</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5,080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(74 )</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ind w:left="7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(1,346 )</w:t>
            </w: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Balance as of September 30, 2021</w:t>
            </w:r>
          </w:p>
        </w:tc>
        <w:tc>
          <w:tcPr>
            <w:tcW w:w="140" w:type="dxa"/>
            <w:vAlign w:val="bottom"/>
            <w:tcBorders>
              <w:top w:val="single" w:sz="8" w:color="CFF0FC"/>
            </w:tcBorders>
          </w:tcPr>
          <w:p>
            <w:pPr>
              <w:spacing w:after="0"/>
              <w:rPr>
                <w:sz w:val="14"/>
                <w:szCs w:val="14"/>
                <w:color w:val="auto"/>
              </w:rPr>
            </w:pPr>
          </w:p>
        </w:tc>
        <w:tc>
          <w:tcPr>
            <w:tcW w:w="58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113,854</w:t>
            </w: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21,165</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color w:val="auto"/>
                <w:w w:val="99"/>
              </w:rPr>
              <w:t>—</w:t>
            </w:r>
          </w:p>
        </w:tc>
        <w:tc>
          <w:tcPr>
            <w:tcW w:w="180" w:type="dxa"/>
            <w:vAlign w:val="bottom"/>
            <w:tcBorders>
              <w:top w:val="single" w:sz="8" w:color="CFF0FC"/>
            </w:tcBorders>
          </w:tcPr>
          <w:p>
            <w:pPr>
              <w:spacing w:after="0"/>
              <w:rPr>
                <w:sz w:val="14"/>
                <w:szCs w:val="14"/>
                <w:color w:val="auto"/>
              </w:rPr>
            </w:pPr>
          </w:p>
        </w:tc>
        <w:tc>
          <w:tcPr>
            <w:tcW w:w="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59,494</w:t>
            </w:r>
          </w:p>
        </w:tc>
        <w:tc>
          <w:tcPr>
            <w:tcW w:w="60" w:type="dxa"/>
            <w:vAlign w:val="bottom"/>
            <w:tcBorders>
              <w:top w:val="single" w:sz="8" w:color="CFF0FC"/>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194,513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-1705610</wp:posOffset>
            </wp:positionV>
            <wp:extent cx="7683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-1705610</wp:posOffset>
            </wp:positionV>
            <wp:extent cx="7747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-1705610</wp:posOffset>
            </wp:positionV>
            <wp:extent cx="6858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-1705610</wp:posOffset>
            </wp:positionV>
            <wp:extent cx="685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-1705610</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-1705610</wp:posOffset>
            </wp:positionV>
            <wp:extent cx="6858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-145415</wp:posOffset>
            </wp:positionV>
            <wp:extent cx="7747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-145415</wp:posOffset>
            </wp:positionV>
            <wp:extent cx="6858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-145415</wp:posOffset>
            </wp:positionV>
            <wp:extent cx="6858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-145415</wp:posOffset>
            </wp:positionV>
            <wp:extent cx="6858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20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The net change in unrealized (depreciation) appreciation on investments held was $(17.3) million and $3.7 million for the nine months ended September 30, 2022 and 2021, respectively, and is included in net change in unrealized appreciation on investments on the consolidated statements of operations.</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valuation techniques and significant unobservable inputs used in recurring Level 3 fair value measurements of assets as of September 30, 2022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2900" w:type="dxa"/>
            <w:vAlign w:val="bottom"/>
          </w:tcPr>
          <w:p>
            <w:pPr>
              <w:ind w:left="112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4"/>
                <w:szCs w:val="14"/>
                <w:color w:val="auto"/>
              </w:rPr>
            </w:pPr>
          </w:p>
        </w:tc>
        <w:tc>
          <w:tcPr>
            <w:tcW w:w="2000" w:type="dxa"/>
            <w:vAlign w:val="bottom"/>
          </w:tcPr>
          <w:p>
            <w:pPr>
              <w:ind w:left="580"/>
              <w:spacing w:after="0"/>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r>
      <w:tr>
        <w:trPr>
          <w:trHeight w:val="189"/>
        </w:trPr>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6"/>
                <w:szCs w:val="16"/>
                <w:color w:val="auto"/>
              </w:rPr>
            </w:pPr>
          </w:p>
        </w:tc>
        <w:tc>
          <w:tcPr>
            <w:tcW w:w="29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20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Input</w:t>
            </w:r>
          </w:p>
        </w:tc>
        <w:tc>
          <w:tcPr>
            <w:tcW w:w="100" w:type="dxa"/>
            <w:vAlign w:val="bottom"/>
          </w:tcPr>
          <w:p>
            <w:pPr>
              <w:spacing w:after="0"/>
              <w:rPr>
                <w:sz w:val="16"/>
                <w:szCs w:val="16"/>
                <w:color w:val="auto"/>
              </w:rPr>
            </w:pPr>
          </w:p>
        </w:tc>
        <w:tc>
          <w:tcPr>
            <w:tcW w:w="2000" w:type="dxa"/>
            <w:vAlign w:val="bottom"/>
            <w:tcBorders>
              <w:bottom w:val="single" w:sz="8" w:color="auto"/>
            </w:tcBorders>
          </w:tcPr>
          <w:p>
            <w:pPr>
              <w:ind w:left="340"/>
              <w:spacing w:after="0" w:line="189" w:lineRule="exact"/>
              <w:rPr>
                <w:sz w:val="20"/>
                <w:szCs w:val="20"/>
                <w:color w:val="auto"/>
              </w:rPr>
            </w:pPr>
            <w:r>
              <w:rPr>
                <w:rFonts w:ascii="Arial" w:cs="Arial" w:eastAsia="Arial" w:hAnsi="Arial"/>
                <w:sz w:val="14"/>
                <w:szCs w:val="14"/>
                <w:b w:val="1"/>
                <w:bCs w:val="1"/>
                <w:color w:val="auto"/>
              </w:rPr>
              <w:t xml:space="preserve">(Weighted Average) </w:t>
            </w:r>
            <w:r>
              <w:rPr>
                <w:rFonts w:ascii="Arial" w:cs="Arial" w:eastAsia="Arial" w:hAnsi="Arial"/>
                <w:sz w:val="19"/>
                <w:szCs w:val="19"/>
                <w:b w:val="1"/>
                <w:bCs w:val="1"/>
                <w:color w:val="auto"/>
                <w:vertAlign w:val="superscript"/>
              </w:rPr>
              <w:t>(2)</w:t>
            </w:r>
          </w:p>
        </w:tc>
      </w:tr>
      <w:tr>
        <w:trPr>
          <w:trHeight w:val="16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FF0FC"/>
          </w:tcPr>
          <w:p>
            <w:pPr>
              <w:spacing w:after="0"/>
              <w:rPr>
                <w:sz w:val="14"/>
                <w:szCs w:val="14"/>
                <w:color w:val="auto"/>
              </w:rPr>
            </w:pPr>
          </w:p>
        </w:tc>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Market</w:t>
            </w:r>
          </w:p>
        </w:tc>
        <w:tc>
          <w:tcPr>
            <w:tcW w:w="100" w:type="dxa"/>
            <w:vAlign w:val="bottom"/>
            <w:shd w:val="clear" w:color="auto" w:fill="CFF0FC"/>
          </w:tcPr>
          <w:p>
            <w:pPr>
              <w:spacing w:after="0"/>
              <w:rPr>
                <w:sz w:val="14"/>
                <w:szCs w:val="14"/>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Broker/Dealer Quotes</w:t>
            </w:r>
          </w:p>
        </w:tc>
        <w:tc>
          <w:tcPr>
            <w:tcW w:w="100" w:type="dxa"/>
            <w:vAlign w:val="bottom"/>
            <w:shd w:val="clear" w:color="auto" w:fill="CFF0FC"/>
          </w:tcPr>
          <w:p>
            <w:pPr>
              <w:spacing w:after="0"/>
              <w:rPr>
                <w:sz w:val="14"/>
                <w:szCs w:val="14"/>
                <w:color w:val="auto"/>
              </w:rPr>
            </w:pPr>
          </w:p>
        </w:tc>
        <w:tc>
          <w:tcPr>
            <w:tcW w:w="2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117.8</w:t>
            </w:r>
          </w:p>
        </w:tc>
        <w:tc>
          <w:tcPr>
            <w:tcW w:w="220" w:type="dxa"/>
            <w:vAlign w:val="bottom"/>
          </w:tcPr>
          <w:p>
            <w:pPr>
              <w:spacing w:after="0"/>
              <w:rPr>
                <w:sz w:val="15"/>
                <w:szCs w:val="15"/>
                <w:color w:val="auto"/>
              </w:rPr>
            </w:pPr>
          </w:p>
        </w:tc>
        <w:tc>
          <w:tcPr>
            <w:tcW w:w="2900" w:type="dxa"/>
            <w:vAlign w:val="bottom"/>
          </w:tcPr>
          <w:p>
            <w:pPr>
              <w:ind w:left="20"/>
              <w:spacing w:after="0" w:line="175" w:lineRule="exact"/>
              <w:rPr>
                <w:sz w:val="20"/>
                <w:szCs w:val="20"/>
                <w:color w:val="auto"/>
              </w:rPr>
            </w:pPr>
            <w:r>
              <w:rPr>
                <w:rFonts w:ascii="Arial" w:cs="Arial" w:eastAsia="Arial" w:hAnsi="Arial"/>
                <w:sz w:val="14"/>
                <w:szCs w:val="14"/>
                <w:color w:val="auto"/>
              </w:rPr>
              <w:t>Income and Asset</w:t>
            </w:r>
            <w:r>
              <w:rPr>
                <w:rFonts w:ascii="Arial" w:cs="Arial" w:eastAsia="Arial" w:hAnsi="Arial"/>
                <w:sz w:val="19"/>
                <w:szCs w:val="19"/>
                <w:color w:val="auto"/>
                <w:vertAlign w:val="superscript"/>
              </w:rPr>
              <w:t>(1)</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6.0% – 25.0% (12.2%)</w:t>
            </w:r>
          </w:p>
        </w:tc>
      </w:tr>
      <w:tr>
        <w:trPr>
          <w:trHeight w:val="175"/>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FF0FC"/>
          </w:tcPr>
          <w:p>
            <w:pPr>
              <w:spacing w:after="0"/>
              <w:rPr>
                <w:sz w:val="15"/>
                <w:szCs w:val="15"/>
                <w:color w:val="auto"/>
              </w:rPr>
            </w:pPr>
          </w:p>
        </w:tc>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Market</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Broker/Dealer Quotes</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r>
      <w:tr>
        <w:trPr>
          <w:trHeight w:val="175"/>
        </w:trPr>
        <w:tc>
          <w:tcPr>
            <w:tcW w:w="280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1.6% – 18.8% (16.2%)</w:t>
            </w:r>
          </w:p>
        </w:tc>
      </w:tr>
      <w:tr>
        <w:trPr>
          <w:trHeight w:val="175"/>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FF0FC"/>
          </w:tcPr>
          <w:p>
            <w:pPr>
              <w:spacing w:after="0"/>
              <w:rPr>
                <w:sz w:val="15"/>
                <w:szCs w:val="15"/>
                <w:color w:val="auto"/>
              </w:rPr>
            </w:pPr>
          </w:p>
        </w:tc>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Enterprise Market Value</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0"/>
              </w:rPr>
              <w:t>4.7x</w:t>
            </w:r>
          </w:p>
        </w:tc>
      </w:tr>
      <w:tr>
        <w:trPr>
          <w:trHeight w:val="176"/>
        </w:trPr>
        <w:tc>
          <w:tcPr>
            <w:tcW w:w="2800" w:type="dxa"/>
            <w:vAlign w:val="bottom"/>
          </w:tcPr>
          <w:p>
            <w:pPr>
              <w:ind w:left="20"/>
              <w:spacing w:after="0"/>
              <w:rPr>
                <w:sz w:val="20"/>
                <w:szCs w:val="20"/>
                <w:color w:val="auto"/>
              </w:rPr>
            </w:pPr>
            <w:r>
              <w:rPr>
                <w:rFonts w:ascii="Arial" w:cs="Arial" w:eastAsia="Arial" w:hAnsi="Arial"/>
                <w:sz w:val="14"/>
                <w:szCs w:val="14"/>
                <w:color w:val="auto"/>
              </w:rPr>
              <w:t>Subordinated debt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w:t>
            </w:r>
          </w:p>
        </w:tc>
        <w:tc>
          <w:tcPr>
            <w:tcW w:w="22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Required Rate of Return</w:t>
            </w: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5.7% – 15.9% (11.5%)</w:t>
            </w:r>
          </w:p>
        </w:tc>
      </w:tr>
      <w:tr>
        <w:trPr>
          <w:trHeight w:val="175"/>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Collateralized loan obligations</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20" w:type="dxa"/>
            <w:vAlign w:val="bottom"/>
            <w:shd w:val="clear" w:color="auto" w:fill="CFF0FC"/>
          </w:tcPr>
          <w:p>
            <w:pPr>
              <w:spacing w:after="0"/>
              <w:rPr>
                <w:sz w:val="15"/>
                <w:szCs w:val="15"/>
                <w:color w:val="auto"/>
              </w:rPr>
            </w:pPr>
          </w:p>
        </w:tc>
        <w:tc>
          <w:tcPr>
            <w:tcW w:w="2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Discount Margin</w:t>
            </w:r>
          </w:p>
        </w:tc>
        <w:tc>
          <w:tcPr>
            <w:tcW w:w="100" w:type="dxa"/>
            <w:vAlign w:val="bottom"/>
            <w:shd w:val="clear" w:color="auto" w:fill="CFF0FC"/>
          </w:tcPr>
          <w:p>
            <w:pPr>
              <w:spacing w:after="0"/>
              <w:rPr>
                <w:sz w:val="15"/>
                <w:szCs w:val="15"/>
                <w:color w:val="auto"/>
              </w:rPr>
            </w:pPr>
          </w:p>
        </w:tc>
        <w:tc>
          <w:tcPr>
            <w:tcW w:w="2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22.1% – 25.0% (23.8%)</w:t>
            </w:r>
          </w:p>
        </w:tc>
      </w:tr>
      <w:tr>
        <w:trPr>
          <w:trHeight w:val="170"/>
        </w:trPr>
        <w:tc>
          <w:tcPr>
            <w:tcW w:w="2800" w:type="dxa"/>
            <w:vAlign w:val="bottom"/>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32.3</w:t>
            </w:r>
          </w:p>
        </w:tc>
        <w:tc>
          <w:tcPr>
            <w:tcW w:w="220" w:type="dxa"/>
            <w:vAlign w:val="bottom"/>
          </w:tcPr>
          <w:p>
            <w:pPr>
              <w:spacing w:after="0"/>
              <w:rPr>
                <w:sz w:val="14"/>
                <w:szCs w:val="14"/>
                <w:color w:val="auto"/>
              </w:rPr>
            </w:pPr>
          </w:p>
        </w:tc>
        <w:tc>
          <w:tcPr>
            <w:tcW w:w="2900" w:type="dxa"/>
            <w:vAlign w:val="bottom"/>
          </w:tcPr>
          <w:p>
            <w:pPr>
              <w:ind w:left="20"/>
              <w:spacing w:after="0" w:line="171"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10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EBITDA multiple</w:t>
            </w:r>
          </w:p>
        </w:tc>
        <w:tc>
          <w:tcPr>
            <w:tcW w:w="1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6"/>
              </w:rPr>
              <w:t>1.0x – 18.8x (6.4x)</w:t>
            </w:r>
          </w:p>
        </w:tc>
      </w:tr>
      <w:tr>
        <w:trPr>
          <w:trHeight w:val="181"/>
        </w:trPr>
        <w:tc>
          <w:tcPr>
            <w:tcW w:w="2800" w:type="dxa"/>
            <w:vAlign w:val="bottom"/>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Enterprise Market Value</w:t>
            </w:r>
          </w:p>
        </w:tc>
        <w:tc>
          <w:tcPr>
            <w:tcW w:w="10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Arial" w:cs="Arial" w:eastAsia="Arial" w:hAnsi="Arial"/>
                <w:sz w:val="14"/>
                <w:szCs w:val="14"/>
                <w:color w:val="auto"/>
              </w:rPr>
              <w:t>Revenue multiple</w:t>
            </w: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6"/>
              </w:rPr>
              <w:t>0.4x – 0.6x (0.5x)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580" w:hanging="764"/>
        <w:spacing w:after="0"/>
        <w:tabs>
          <w:tab w:leader="none" w:pos="3580" w:val="left"/>
        </w:tabs>
        <w:numPr>
          <w:ilvl w:val="1"/>
          <w:numId w:val="16"/>
        </w:numPr>
        <w:rPr>
          <w:rFonts w:ascii="Arial" w:cs="Arial" w:eastAsia="Arial" w:hAnsi="Arial"/>
          <w:sz w:val="14"/>
          <w:szCs w:val="14"/>
          <w:color w:val="auto"/>
        </w:rPr>
      </w:pPr>
      <w:r>
        <w:rPr>
          <w:rFonts w:ascii="Arial" w:cs="Arial" w:eastAsia="Arial" w:hAnsi="Arial"/>
          <w:sz w:val="14"/>
          <w:szCs w:val="14"/>
          <w:color w:val="auto"/>
        </w:rPr>
        <w:t>192.9</w:t>
      </w:r>
      <w:r>
        <w:rPr>
          <w:rFonts w:ascii="Arial" w:cs="Arial" w:eastAsia="Arial" w:hAnsi="Arial"/>
          <w:sz w:val="1"/>
          <w:szCs w:val="1"/>
          <w:color w:val="auto"/>
        </w:rPr>
        <w:drawing>
          <wp:inline distT="0" distB="0" distL="0" distR="0">
            <wp:extent cx="68580" cy="12382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23825"/>
                    </a:xfrm>
                    <a:prstGeom prst="rect">
                      <a:avLst/>
                    </a:prstGeom>
                    <a:noFill/>
                    <a:ln>
                      <a:noFill/>
                    </a:ln>
                  </pic:spPr>
                </pic:pic>
              </a:graphicData>
            </a:graphic>
          </wp:inline>
        </w:drawing>
      </w:r>
    </w:p>
    <w:p>
      <w:pPr>
        <w:spacing w:after="0" w:line="4" w:lineRule="exact"/>
        <w:rPr>
          <w:rFonts w:ascii="Arial" w:cs="Arial" w:eastAsia="Arial" w:hAnsi="Arial"/>
          <w:sz w:val="14"/>
          <w:szCs w:val="14"/>
          <w:color w:val="auto"/>
        </w:rPr>
      </w:pPr>
    </w:p>
    <w:p>
      <w:pPr>
        <w:ind w:left="560" w:hanging="552"/>
        <w:spacing w:after="0" w:line="189" w:lineRule="auto"/>
        <w:tabs>
          <w:tab w:leader="none" w:pos="5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$0.2 million of first lien debt and $0.8 million of equity and warrants were valued using the asset approach.</w:t>
      </w:r>
    </w:p>
    <w:p>
      <w:pPr>
        <w:spacing w:after="0" w:line="5" w:lineRule="exact"/>
        <w:rPr>
          <w:rFonts w:ascii="Arial" w:cs="Arial" w:eastAsia="Arial" w:hAnsi="Arial"/>
          <w:sz w:val="18"/>
          <w:szCs w:val="18"/>
          <w:color w:val="auto"/>
          <w:vertAlign w:val="superscript"/>
        </w:rPr>
      </w:pPr>
    </w:p>
    <w:p>
      <w:pPr>
        <w:ind w:left="520" w:hanging="512"/>
        <w:spacing w:after="0" w:line="186" w:lineRule="auto"/>
        <w:tabs>
          <w:tab w:leader="none" w:pos="5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-240030</wp:posOffset>
            </wp:positionV>
            <wp:extent cx="711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-222885</wp:posOffset>
            </wp:positionV>
            <wp:extent cx="7112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valuation techniques and significant unobservable inputs used in recurring Level 3 fair value measurements of assets as of December 31, 2021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3240" w:type="dxa"/>
            <w:vAlign w:val="bottom"/>
          </w:tcPr>
          <w:p>
            <w:pPr>
              <w:ind w:left="1300"/>
              <w:spacing w:after="0"/>
              <w:rPr>
                <w:sz w:val="20"/>
                <w:szCs w:val="20"/>
                <w:color w:val="auto"/>
              </w:rPr>
            </w:pPr>
            <w:r>
              <w:rPr>
                <w:rFonts w:ascii="Arial" w:cs="Arial" w:eastAsia="Arial" w:hAnsi="Arial"/>
                <w:sz w:val="14"/>
                <w:szCs w:val="14"/>
                <w:b w:val="1"/>
                <w:bCs w:val="1"/>
                <w:color w:val="auto"/>
              </w:rPr>
              <w:t>Valuation</w:t>
            </w:r>
          </w:p>
        </w:tc>
        <w:tc>
          <w:tcPr>
            <w:tcW w:w="200" w:type="dxa"/>
            <w:vAlign w:val="bottom"/>
          </w:tcPr>
          <w:p>
            <w:pPr>
              <w:spacing w:after="0"/>
              <w:rPr>
                <w:sz w:val="14"/>
                <w:szCs w:val="14"/>
                <w:color w:val="auto"/>
              </w:rPr>
            </w:pPr>
          </w:p>
        </w:tc>
        <w:tc>
          <w:tcPr>
            <w:tcW w:w="1960" w:type="dxa"/>
            <w:vAlign w:val="bottom"/>
          </w:tcPr>
          <w:p>
            <w:pPr>
              <w:ind w:left="560"/>
              <w:spacing w:after="0"/>
              <w:rPr>
                <w:sz w:val="20"/>
                <w:szCs w:val="20"/>
                <w:color w:val="auto"/>
              </w:rPr>
            </w:pPr>
            <w:r>
              <w:rPr>
                <w:rFonts w:ascii="Arial" w:cs="Arial" w:eastAsia="Arial" w:hAnsi="Arial"/>
                <w:sz w:val="14"/>
                <w:szCs w:val="14"/>
                <w:b w:val="1"/>
                <w:bCs w:val="1"/>
                <w:color w:val="auto"/>
              </w:rPr>
              <w:t>Unobservable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center"/>
              <w:ind w:right="188"/>
              <w:spacing w:after="0"/>
              <w:rPr>
                <w:sz w:val="20"/>
                <w:szCs w:val="20"/>
                <w:color w:val="auto"/>
              </w:rPr>
            </w:pPr>
            <w:r>
              <w:rPr>
                <w:rFonts w:ascii="Arial" w:cs="Arial" w:eastAsia="Arial" w:hAnsi="Arial"/>
                <w:sz w:val="14"/>
                <w:szCs w:val="14"/>
                <w:b w:val="1"/>
                <w:bCs w:val="1"/>
                <w:color w:val="auto"/>
                <w:w w:val="92"/>
              </w:rPr>
              <w:t>Range (Weighted</w:t>
            </w:r>
          </w:p>
        </w:tc>
      </w:tr>
      <w:tr>
        <w:trPr>
          <w:trHeight w:val="189"/>
        </w:trPr>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(in millions)</w:t>
            </w:r>
          </w:p>
        </w:tc>
        <w:tc>
          <w:tcPr>
            <w:tcW w:w="300" w:type="dxa"/>
            <w:vAlign w:val="bottom"/>
          </w:tcPr>
          <w:p>
            <w:pPr>
              <w:spacing w:after="0"/>
              <w:rPr>
                <w:sz w:val="16"/>
                <w:szCs w:val="16"/>
                <w:color w:val="auto"/>
              </w:rPr>
            </w:pPr>
          </w:p>
        </w:tc>
        <w:tc>
          <w:tcPr>
            <w:tcW w:w="32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Technique</w:t>
            </w:r>
          </w:p>
        </w:tc>
        <w:tc>
          <w:tcPr>
            <w:tcW w:w="200" w:type="dxa"/>
            <w:vAlign w:val="bottom"/>
          </w:tcPr>
          <w:p>
            <w:pPr>
              <w:spacing w:after="0"/>
              <w:rPr>
                <w:sz w:val="16"/>
                <w:szCs w:val="16"/>
                <w:color w:val="auto"/>
              </w:rPr>
            </w:pPr>
          </w:p>
        </w:tc>
        <w:tc>
          <w:tcPr>
            <w:tcW w:w="19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Input</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08"/>
              <w:spacing w:after="0" w:line="189" w:lineRule="exact"/>
              <w:rPr>
                <w:sz w:val="20"/>
                <w:szCs w:val="20"/>
                <w:color w:val="auto"/>
              </w:rPr>
            </w:pPr>
            <w:r>
              <w:rPr>
                <w:rFonts w:ascii="Arial" w:cs="Arial" w:eastAsia="Arial" w:hAnsi="Arial"/>
                <w:sz w:val="14"/>
                <w:szCs w:val="14"/>
                <w:b w:val="1"/>
                <w:bCs w:val="1"/>
                <w:color w:val="auto"/>
                <w:w w:val="85"/>
              </w:rPr>
              <w:t xml:space="preserve">Average) </w:t>
            </w:r>
            <w:r>
              <w:rPr>
                <w:rFonts w:ascii="Arial" w:cs="Arial" w:eastAsia="Arial" w:hAnsi="Arial"/>
                <w:sz w:val="19"/>
                <w:szCs w:val="19"/>
                <w:b w:val="1"/>
                <w:bCs w:val="1"/>
                <w:color w:val="auto"/>
                <w:w w:val="85"/>
                <w:vertAlign w:val="superscript"/>
              </w:rPr>
              <w:t>(2)</w:t>
            </w:r>
          </w:p>
        </w:tc>
      </w:tr>
      <w:tr>
        <w:trPr>
          <w:trHeight w:val="169"/>
        </w:trPr>
        <w:tc>
          <w:tcPr>
            <w:tcW w:w="216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4"/>
                <w:szCs w:val="14"/>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Market</w:t>
            </w:r>
          </w:p>
        </w:tc>
        <w:tc>
          <w:tcPr>
            <w:tcW w:w="20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Broker/Dealer Quote</w:t>
            </w:r>
          </w:p>
        </w:tc>
        <w:tc>
          <w:tcPr>
            <w:tcW w:w="18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N/A</w:t>
            </w:r>
          </w:p>
        </w:tc>
        <w:tc>
          <w:tcPr>
            <w:tcW w:w="1760" w:type="dxa"/>
            <w:vAlign w:val="bottom"/>
          </w:tcPr>
          <w:p>
            <w:pPr>
              <w:spacing w:after="0"/>
              <w:rPr>
                <w:sz w:val="14"/>
                <w:szCs w:val="14"/>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w:t>
            </w:r>
          </w:p>
        </w:tc>
        <w:tc>
          <w:tcPr>
            <w:tcW w:w="300" w:type="dxa"/>
            <w:vAlign w:val="bottom"/>
            <w:shd w:val="clear" w:color="auto" w:fill="CFF0FC"/>
          </w:tcPr>
          <w:p>
            <w:pPr>
              <w:spacing w:after="0"/>
              <w:rPr>
                <w:sz w:val="15"/>
                <w:szCs w:val="15"/>
                <w:color w:val="auto"/>
              </w:rPr>
            </w:pPr>
          </w:p>
        </w:tc>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w:t>
            </w:r>
          </w:p>
        </w:tc>
        <w:tc>
          <w:tcPr>
            <w:tcW w:w="2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Required Rate of Return</w:t>
            </w:r>
          </w:p>
        </w:tc>
        <w:tc>
          <w:tcPr>
            <w:tcW w:w="180" w:type="dxa"/>
            <w:vAlign w:val="bottom"/>
            <w:shd w:val="clear" w:color="auto" w:fill="CFF0FC"/>
          </w:tcPr>
          <w:p>
            <w:pPr>
              <w:spacing w:after="0"/>
              <w:rPr>
                <w:sz w:val="15"/>
                <w:szCs w:val="15"/>
                <w:color w:val="auto"/>
              </w:rPr>
            </w:pPr>
          </w:p>
        </w:tc>
        <w:tc>
          <w:tcPr>
            <w:tcW w:w="20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6.2% – 14.6% (7.4%)</w:t>
            </w:r>
          </w:p>
        </w:tc>
      </w:tr>
      <w:tr>
        <w:trPr>
          <w:trHeight w:val="175"/>
        </w:trPr>
        <w:tc>
          <w:tcPr>
            <w:tcW w:w="2160" w:type="dxa"/>
            <w:vAlign w:val="bottom"/>
          </w:tcPr>
          <w:p>
            <w:pPr>
              <w:ind w:left="20"/>
              <w:spacing w:after="0"/>
              <w:rPr>
                <w:sz w:val="20"/>
                <w:szCs w:val="20"/>
                <w:color w:val="auto"/>
              </w:rPr>
            </w:pPr>
            <w:r>
              <w:rPr>
                <w:rFonts w:ascii="Arial" w:cs="Arial" w:eastAsia="Arial" w:hAnsi="Arial"/>
                <w:sz w:val="14"/>
                <w:szCs w:val="14"/>
                <w:color w:val="auto"/>
              </w:rPr>
              <w:t>First lien debt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2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Revenue Multiple</w:t>
            </w:r>
          </w:p>
        </w:tc>
        <w:tc>
          <w:tcPr>
            <w:tcW w:w="18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w w:val="90"/>
              </w:rPr>
              <w:t>0.3x</w:t>
            </w:r>
          </w:p>
        </w:tc>
        <w:tc>
          <w:tcPr>
            <w:tcW w:w="1760" w:type="dxa"/>
            <w:vAlign w:val="bottom"/>
          </w:tcPr>
          <w:p>
            <w:pPr>
              <w:spacing w:after="0"/>
              <w:rPr>
                <w:sz w:val="15"/>
                <w:szCs w:val="15"/>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300" w:type="dxa"/>
            <w:vAlign w:val="bottom"/>
            <w:shd w:val="clear" w:color="auto" w:fill="CFF0FC"/>
          </w:tcPr>
          <w:p>
            <w:pPr>
              <w:spacing w:after="0"/>
              <w:rPr>
                <w:sz w:val="15"/>
                <w:szCs w:val="15"/>
                <w:color w:val="auto"/>
              </w:rPr>
            </w:pPr>
          </w:p>
        </w:tc>
        <w:tc>
          <w:tcPr>
            <w:tcW w:w="32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Income and Asset</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Required Rate of Return</w:t>
            </w:r>
          </w:p>
        </w:tc>
        <w:tc>
          <w:tcPr>
            <w:tcW w:w="180" w:type="dxa"/>
            <w:vAlign w:val="bottom"/>
            <w:shd w:val="clear" w:color="auto" w:fill="CFF0FC"/>
          </w:tcPr>
          <w:p>
            <w:pPr>
              <w:spacing w:after="0"/>
              <w:rPr>
                <w:sz w:val="15"/>
                <w:szCs w:val="15"/>
                <w:color w:val="auto"/>
              </w:rPr>
            </w:pPr>
          </w:p>
        </w:tc>
        <w:tc>
          <w:tcPr>
            <w:tcW w:w="20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1.2% – 11.5% (9.7%)</w:t>
            </w:r>
          </w:p>
        </w:tc>
      </w:tr>
      <w:tr>
        <w:trPr>
          <w:trHeight w:val="175"/>
        </w:trPr>
        <w:tc>
          <w:tcPr>
            <w:tcW w:w="216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300" w:type="dxa"/>
            <w:vAlign w:val="bottom"/>
          </w:tcPr>
          <w:p>
            <w:pPr>
              <w:spacing w:after="0"/>
              <w:rPr>
                <w:sz w:val="15"/>
                <w:szCs w:val="15"/>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Enterprise Market Value</w:t>
            </w:r>
          </w:p>
        </w:tc>
        <w:tc>
          <w:tcPr>
            <w:tcW w:w="2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Revenue Multiple</w:t>
            </w:r>
          </w:p>
        </w:tc>
        <w:tc>
          <w:tcPr>
            <w:tcW w:w="18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w w:val="90"/>
              </w:rPr>
              <w:t>4.7x</w:t>
            </w:r>
          </w:p>
        </w:tc>
        <w:tc>
          <w:tcPr>
            <w:tcW w:w="1760" w:type="dxa"/>
            <w:vAlign w:val="bottom"/>
          </w:tcPr>
          <w:p>
            <w:pPr>
              <w:spacing w:after="0"/>
              <w:rPr>
                <w:sz w:val="15"/>
                <w:szCs w:val="15"/>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300" w:type="dxa"/>
            <w:vAlign w:val="bottom"/>
            <w:shd w:val="clear" w:color="auto" w:fill="CFF0FC"/>
          </w:tcPr>
          <w:p>
            <w:pPr>
              <w:spacing w:after="0"/>
              <w:rPr>
                <w:sz w:val="15"/>
                <w:szCs w:val="15"/>
                <w:color w:val="auto"/>
              </w:rPr>
            </w:pPr>
          </w:p>
        </w:tc>
        <w:tc>
          <w:tcPr>
            <w:tcW w:w="3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w:t>
            </w:r>
          </w:p>
        </w:tc>
        <w:tc>
          <w:tcPr>
            <w:tcW w:w="2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Required Rate of Return</w:t>
            </w:r>
          </w:p>
        </w:tc>
        <w:tc>
          <w:tcPr>
            <w:tcW w:w="2220" w:type="dxa"/>
            <w:vAlign w:val="bottom"/>
            <w:gridSpan w:val="3"/>
            <w:shd w:val="clear" w:color="auto" w:fill="CFF0FC"/>
          </w:tcPr>
          <w:p>
            <w:pPr>
              <w:ind w:left="200"/>
              <w:spacing w:after="0"/>
              <w:rPr>
                <w:sz w:val="20"/>
                <w:szCs w:val="20"/>
                <w:color w:val="auto"/>
              </w:rPr>
            </w:pPr>
            <w:r>
              <w:rPr>
                <w:rFonts w:ascii="Arial" w:cs="Arial" w:eastAsia="Arial" w:hAnsi="Arial"/>
                <w:sz w:val="14"/>
                <w:szCs w:val="14"/>
                <w:color w:val="auto"/>
              </w:rPr>
              <w:t>5.0%</w:t>
            </w:r>
          </w:p>
        </w:tc>
      </w:tr>
      <w:tr>
        <w:trPr>
          <w:trHeight w:val="175"/>
        </w:trPr>
        <w:tc>
          <w:tcPr>
            <w:tcW w:w="2160" w:type="dxa"/>
            <w:vAlign w:val="bottom"/>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53.2</w:t>
            </w:r>
          </w:p>
        </w:tc>
        <w:tc>
          <w:tcPr>
            <w:tcW w:w="300" w:type="dxa"/>
            <w:vAlign w:val="bottom"/>
          </w:tcPr>
          <w:p>
            <w:pPr>
              <w:spacing w:after="0"/>
              <w:rPr>
                <w:sz w:val="15"/>
                <w:szCs w:val="15"/>
                <w:color w:val="auto"/>
              </w:rPr>
            </w:pPr>
          </w:p>
        </w:tc>
        <w:tc>
          <w:tcPr>
            <w:tcW w:w="3240" w:type="dxa"/>
            <w:vAlign w:val="bottom"/>
          </w:tcPr>
          <w:p>
            <w:pPr>
              <w:ind w:left="20"/>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2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EBITDA Multiple</w:t>
            </w:r>
          </w:p>
        </w:tc>
        <w:tc>
          <w:tcPr>
            <w:tcW w:w="18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w w:val="90"/>
              </w:rPr>
              <w:t>1.9x</w:t>
            </w:r>
          </w:p>
        </w:tc>
        <w:tc>
          <w:tcPr>
            <w:tcW w:w="1760" w:type="dxa"/>
            <w:vAlign w:val="bottom"/>
          </w:tcPr>
          <w:p>
            <w:pPr>
              <w:ind w:left="20"/>
              <w:spacing w:after="0"/>
              <w:rPr>
                <w:sz w:val="20"/>
                <w:szCs w:val="20"/>
                <w:color w:val="auto"/>
              </w:rPr>
            </w:pPr>
            <w:r>
              <w:rPr>
                <w:rFonts w:ascii="Arial" w:cs="Arial" w:eastAsia="Arial" w:hAnsi="Arial"/>
                <w:sz w:val="14"/>
                <w:szCs w:val="14"/>
                <w:color w:val="auto"/>
              </w:rPr>
              <w:t>– 10.0x (6.4x)</w:t>
            </w:r>
          </w:p>
        </w:tc>
      </w:tr>
      <w:tr>
        <w:trPr>
          <w:trHeight w:val="176"/>
        </w:trPr>
        <w:tc>
          <w:tcPr>
            <w:tcW w:w="2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300" w:type="dxa"/>
            <w:vAlign w:val="bottom"/>
            <w:shd w:val="clear" w:color="auto" w:fill="CFF0FC"/>
          </w:tcPr>
          <w:p>
            <w:pPr>
              <w:spacing w:after="0"/>
              <w:rPr>
                <w:sz w:val="15"/>
                <w:szCs w:val="15"/>
                <w:color w:val="auto"/>
              </w:rPr>
            </w:pPr>
          </w:p>
        </w:tc>
        <w:tc>
          <w:tcPr>
            <w:tcW w:w="32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Enterprise Market Value and Asset</w:t>
            </w:r>
            <w:r>
              <w:rPr>
                <w:rFonts w:ascii="Arial" w:cs="Arial" w:eastAsia="Arial" w:hAnsi="Arial"/>
                <w:sz w:val="19"/>
                <w:szCs w:val="19"/>
                <w:color w:val="auto"/>
                <w:vertAlign w:val="superscript"/>
              </w:rPr>
              <w:t>(1)</w:t>
            </w:r>
          </w:p>
        </w:tc>
        <w:tc>
          <w:tcPr>
            <w:tcW w:w="2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4"/>
                <w:szCs w:val="14"/>
                <w:color w:val="auto"/>
              </w:rPr>
              <w:t>Revenue Multiple</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0"/>
              </w:rPr>
              <w:t>0.4x</w:t>
            </w:r>
          </w:p>
        </w:tc>
        <w:tc>
          <w:tcPr>
            <w:tcW w:w="1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0.7x (0.4x)</w:t>
            </w:r>
          </w:p>
        </w:tc>
      </w:tr>
      <w:tr>
        <w:trPr>
          <w:trHeight w:val="182"/>
        </w:trPr>
        <w:tc>
          <w:tcPr>
            <w:tcW w:w="2160" w:type="dxa"/>
            <w:vAlign w:val="bottom"/>
          </w:tcPr>
          <w:p>
            <w:pPr>
              <w:ind w:left="20"/>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w:t>
            </w:r>
          </w:p>
        </w:tc>
        <w:tc>
          <w:tcPr>
            <w:tcW w:w="300" w:type="dxa"/>
            <w:vAlign w:val="bottom"/>
          </w:tcPr>
          <w:p>
            <w:pPr>
              <w:spacing w:after="0"/>
              <w:rPr>
                <w:sz w:val="15"/>
                <w:szCs w:val="15"/>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Required Rate of Return</w:t>
            </w:r>
          </w:p>
        </w:tc>
        <w:tc>
          <w:tcPr>
            <w:tcW w:w="180" w:type="dxa"/>
            <w:vAlign w:val="bottom"/>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17.4% – 20.4% (19.1%)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-3810</wp:posOffset>
            </wp:positionV>
            <wp:extent cx="7372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2980" w:hanging="812"/>
        <w:spacing w:after="0"/>
        <w:tabs>
          <w:tab w:leader="none" w:pos="2980" w:val="left"/>
        </w:tabs>
        <w:numPr>
          <w:ilvl w:val="1"/>
          <w:numId w:val="17"/>
        </w:numPr>
        <w:rPr>
          <w:rFonts w:ascii="Arial" w:cs="Arial" w:eastAsia="Arial" w:hAnsi="Arial"/>
          <w:sz w:val="14"/>
          <w:szCs w:val="14"/>
          <w:color w:val="auto"/>
        </w:rPr>
      </w:pPr>
      <w:r>
        <w:rPr>
          <w:rFonts w:ascii="Arial" w:cs="Arial" w:eastAsia="Arial" w:hAnsi="Arial"/>
          <w:sz w:val="14"/>
          <w:szCs w:val="14"/>
          <w:color w:val="auto"/>
        </w:rPr>
        <w:t>198.2</w:t>
      </w:r>
    </w:p>
    <w:p>
      <w:pPr>
        <w:spacing w:after="0" w:line="207" w:lineRule="exact"/>
        <w:rPr>
          <w:rFonts w:ascii="Arial" w:cs="Arial" w:eastAsia="Arial" w:hAnsi="Arial"/>
          <w:sz w:val="14"/>
          <w:szCs w:val="14"/>
          <w:color w:val="auto"/>
        </w:rPr>
      </w:pPr>
    </w:p>
    <w:p>
      <w:pPr>
        <w:ind w:left="520" w:hanging="512"/>
        <w:spacing w:after="0"/>
        <w:tabs>
          <w:tab w:leader="none" w:pos="5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$0.6 million in first lien debt, $0.1 million in second lien debt, and $0.6 million in equity and warrants were valued using the asset approach.</w:t>
      </w:r>
    </w:p>
    <w:p>
      <w:pPr>
        <w:spacing w:after="0" w:line="5" w:lineRule="exact"/>
        <w:rPr>
          <w:rFonts w:ascii="Arial" w:cs="Arial" w:eastAsia="Arial" w:hAnsi="Arial"/>
          <w:sz w:val="19"/>
          <w:szCs w:val="19"/>
          <w:color w:val="auto"/>
          <w:vertAlign w:val="superscript"/>
        </w:rPr>
      </w:pPr>
    </w:p>
    <w:p>
      <w:pPr>
        <w:ind w:left="520" w:hanging="512"/>
        <w:spacing w:after="0" w:line="186" w:lineRule="auto"/>
        <w:tabs>
          <w:tab w:leader="none" w:pos="52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The significant unobservable inputs used in the valuation of the Company’s investments are required rate of return, EBITDA multiples, and revenue multiples. Changes in any of these unobservable inputs could have a significant impact on the Company’s estimate of fair value. An increase (decrease) in the required rate of return will result in a lower (higher) estimate of fair value while an increase (decrease) in EBITDA or revenue multiples will result in a higher (lower) estimate of fair value.</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Great Lakes Funding II LLC</w:t>
      </w:r>
    </w:p>
    <w:p>
      <w:pPr>
        <w:spacing w:after="0" w:line="12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In August 2022, the Company invested in Great Lakes Funding II LLC - Series A (the “Great Lakes II Joint Venture”), a joint venture with an investment strategy to underwrite and hold senior, secured unitranche loans made to middle-market companies. The Company treats its investment in the Great Lakes II Joint Venture as a joint venture since an affiliate of the Adviser controls a 50% voting interest in the Great Lakes II Joint Venture.</w:t>
      </w:r>
    </w:p>
    <w:p>
      <w:pPr>
        <w:spacing w:after="0" w:line="77"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3"/>
          <w:szCs w:val="13"/>
          <w:color w:val="auto"/>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Adviser or its affiliates have also invested in the Great Lakes II Joint Venture.</w:t>
      </w:r>
    </w:p>
    <w:p>
      <w:pPr>
        <w:spacing w:after="0" w:line="62"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3"/>
          <w:szCs w:val="13"/>
          <w:color w:val="auto"/>
        </w:rPr>
        <w:t>The fair value of the Company’s investment in the Great Lakes II Joint Venture at September 30, 2022 was $0.3 million.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September 30, 2022, the Company has a $0.2 million unfunded commitment to the Great Lakes II Joint Venture.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Transactions With Affiliated Companies</w:t>
      </w:r>
    </w:p>
    <w:p>
      <w:pPr>
        <w:spacing w:after="0" w:line="11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During the nine months ended September 30, 2022, the Company had investments in portfolio companies designated as affiliates under the 1940 Act. Transactions with affiliates were as follows (dollars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66"/>
              <w:spacing w:after="0"/>
              <w:rPr>
                <w:sz w:val="20"/>
                <w:szCs w:val="20"/>
                <w:color w:val="auto"/>
              </w:rPr>
            </w:pPr>
            <w:r>
              <w:rPr>
                <w:rFonts w:ascii="Arial" w:cs="Arial" w:eastAsia="Arial" w:hAnsi="Arial"/>
                <w:sz w:val="11"/>
                <w:szCs w:val="11"/>
                <w:b w:val="1"/>
                <w:bCs w:val="1"/>
                <w:color w:val="auto"/>
                <w:w w:val="90"/>
              </w:rPr>
              <w:t>Amount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87"/>
              </w:rPr>
              <w:t>Interest, Fees</w:t>
            </w:r>
          </w:p>
        </w:tc>
        <w:tc>
          <w:tcPr>
            <w:tcW w:w="22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2"/>
              </w:rPr>
              <w:t>December 31,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restart"/>
          </w:tcPr>
          <w:p>
            <w:pPr>
              <w:jc w:val="center"/>
              <w:ind w:right="242"/>
              <w:spacing w:after="0"/>
              <w:rPr>
                <w:sz w:val="20"/>
                <w:szCs w:val="20"/>
                <w:color w:val="auto"/>
              </w:rPr>
            </w:pPr>
            <w:r>
              <w:rPr>
                <w:rFonts w:ascii="Arial" w:cs="Arial" w:eastAsia="Arial" w:hAnsi="Arial"/>
                <w:sz w:val="11"/>
                <w:szCs w:val="11"/>
                <w:b w:val="1"/>
                <w:bCs w:val="1"/>
                <w:color w:val="auto"/>
                <w:w w:val="89"/>
              </w:rPr>
              <w:t>Unrealized</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7"/>
              </w:rPr>
              <w:t>September 30,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Principal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6"/>
              </w:rPr>
              <w:t>or Dividends</w:t>
            </w:r>
          </w:p>
        </w:tc>
        <w:tc>
          <w:tcPr>
            <w:tcW w:w="2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4"/>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402"/>
              <w:spacing w:after="0"/>
              <w:rPr>
                <w:sz w:val="20"/>
                <w:szCs w:val="20"/>
                <w:color w:val="auto"/>
              </w:rPr>
            </w:pPr>
            <w:r>
              <w:rPr>
                <w:rFonts w:ascii="Arial" w:cs="Arial" w:eastAsia="Arial" w:hAnsi="Arial"/>
                <w:sz w:val="11"/>
                <w:szCs w:val="11"/>
                <w:b w:val="1"/>
                <w:bCs w:val="1"/>
                <w:color w:val="auto"/>
              </w:rPr>
              <w:t>Gross</w:t>
            </w:r>
          </w:p>
        </w:tc>
        <w:tc>
          <w:tcPr>
            <w:tcW w:w="8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1"/>
                <w:szCs w:val="11"/>
                <w:b w:val="1"/>
                <w:bCs w:val="1"/>
                <w:color w:val="auto"/>
                <w:w w:val="85"/>
              </w:rPr>
              <w:t>Realized</w:t>
            </w: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gridSpan w:val="6"/>
            <w:vMerge w:val="restart"/>
          </w:tcPr>
          <w:p>
            <w:pPr>
              <w:ind w:left="42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(4)</w:t>
            </w:r>
          </w:p>
        </w:tc>
        <w:tc>
          <w:tcPr>
            <w:tcW w:w="120" w:type="dxa"/>
            <w:vAlign w:val="bottom"/>
          </w:tcPr>
          <w:p>
            <w:pPr>
              <w:spacing w:after="0"/>
              <w:rPr>
                <w:sz w:val="9"/>
                <w:szCs w:val="9"/>
                <w:color w:val="auto"/>
              </w:rPr>
            </w:pPr>
          </w:p>
        </w:tc>
        <w:tc>
          <w:tcPr>
            <w:tcW w:w="2420" w:type="dxa"/>
            <w:vAlign w:val="bottom"/>
            <w:vMerge w:val="restart"/>
          </w:tcPr>
          <w:p>
            <w:pPr>
              <w:ind w:left="760"/>
              <w:spacing w:after="0"/>
              <w:rPr>
                <w:sz w:val="20"/>
                <w:szCs w:val="20"/>
                <w:color w:val="auto"/>
              </w:rPr>
            </w:pPr>
            <w:r>
              <w:rPr>
                <w:rFonts w:ascii="Arial" w:cs="Arial" w:eastAsia="Arial" w:hAnsi="Arial"/>
                <w:sz w:val="11"/>
                <w:szCs w:val="11"/>
                <w:b w:val="1"/>
                <w:bCs w:val="1"/>
                <w:color w:val="auto"/>
              </w:rPr>
              <w:t>Type of Investment</w:t>
            </w:r>
          </w:p>
        </w:tc>
        <w:tc>
          <w:tcPr>
            <w:tcW w:w="1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6"/>
              <w:spacing w:after="0" w:line="109" w:lineRule="exact"/>
              <w:rPr>
                <w:sz w:val="20"/>
                <w:szCs w:val="20"/>
                <w:color w:val="auto"/>
              </w:rPr>
            </w:pPr>
            <w:r>
              <w:rPr>
                <w:rFonts w:ascii="Arial" w:cs="Arial" w:eastAsia="Arial" w:hAnsi="Arial"/>
                <w:sz w:val="11"/>
                <w:szCs w:val="11"/>
                <w:b w:val="1"/>
                <w:bCs w:val="1"/>
                <w:color w:val="auto"/>
                <w:w w:val="89"/>
              </w:rPr>
              <w:t>Credited to</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206"/>
              <w:spacing w:after="0" w:line="109" w:lineRule="exact"/>
              <w:rPr>
                <w:sz w:val="20"/>
                <w:szCs w:val="20"/>
                <w:color w:val="auto"/>
              </w:rPr>
            </w:pPr>
            <w:r>
              <w:rPr>
                <w:rFonts w:ascii="Arial" w:cs="Arial" w:eastAsia="Arial" w:hAnsi="Arial"/>
                <w:sz w:val="11"/>
                <w:szCs w:val="11"/>
                <w:b w:val="1"/>
                <w:bCs w:val="1"/>
                <w:color w:val="auto"/>
              </w:rPr>
              <w:t>2021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262"/>
              <w:spacing w:after="0" w:line="109" w:lineRule="exact"/>
              <w:rPr>
                <w:sz w:val="20"/>
                <w:szCs w:val="20"/>
                <w:color w:val="auto"/>
              </w:rPr>
            </w:pPr>
            <w:r>
              <w:rPr>
                <w:rFonts w:ascii="Arial" w:cs="Arial" w:eastAsia="Arial" w:hAnsi="Arial"/>
                <w:sz w:val="11"/>
                <w:szCs w:val="11"/>
                <w:b w:val="1"/>
                <w:bCs w:val="1"/>
                <w:color w:val="auto"/>
                <w:w w:val="89"/>
              </w:rPr>
              <w:t>Appreciation</w:t>
            </w:r>
          </w:p>
        </w:tc>
        <w:tc>
          <w:tcPr>
            <w:tcW w:w="120" w:type="dxa"/>
            <w:vAlign w:val="bottom"/>
          </w:tcPr>
          <w:p>
            <w:pPr>
              <w:spacing w:after="0"/>
              <w:rPr>
                <w:sz w:val="9"/>
                <w:szCs w:val="9"/>
                <w:color w:val="auto"/>
              </w:rPr>
            </w:pPr>
          </w:p>
        </w:tc>
        <w:tc>
          <w:tcPr>
            <w:tcW w:w="680" w:type="dxa"/>
            <w:vAlign w:val="bottom"/>
          </w:tcPr>
          <w:p>
            <w:pPr>
              <w:jc w:val="center"/>
              <w:ind w:right="86"/>
              <w:spacing w:after="0" w:line="109" w:lineRule="exact"/>
              <w:rPr>
                <w:sz w:val="20"/>
                <w:szCs w:val="20"/>
                <w:color w:val="auto"/>
              </w:rPr>
            </w:pPr>
            <w:r>
              <w:rPr>
                <w:rFonts w:ascii="Arial" w:cs="Arial" w:eastAsia="Arial" w:hAnsi="Arial"/>
                <w:sz w:val="11"/>
                <w:szCs w:val="11"/>
                <w:b w:val="1"/>
                <w:bCs w:val="1"/>
                <w:color w:val="auto"/>
                <w:w w:val="89"/>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6"/>
              <w:spacing w:after="0" w:line="149" w:lineRule="exact"/>
              <w:rPr>
                <w:sz w:val="20"/>
                <w:szCs w:val="20"/>
                <w:color w:val="auto"/>
              </w:rPr>
            </w:pPr>
            <w:r>
              <w:rPr>
                <w:rFonts w:ascii="Arial" w:cs="Arial" w:eastAsia="Arial" w:hAnsi="Arial"/>
                <w:sz w:val="11"/>
                <w:szCs w:val="11"/>
                <w:b w:val="1"/>
                <w:bCs w:val="1"/>
                <w:color w:val="auto"/>
                <w:w w:val="86"/>
              </w:rPr>
              <w:t xml:space="preserve">Income </w:t>
            </w:r>
            <w:r>
              <w:rPr>
                <w:rFonts w:ascii="Arial" w:cs="Arial" w:eastAsia="Arial" w:hAnsi="Arial"/>
                <w:sz w:val="14"/>
                <w:szCs w:val="14"/>
                <w:b w:val="1"/>
                <w:bCs w:val="1"/>
                <w:color w:val="auto"/>
                <w:w w:val="86"/>
                <w:vertAlign w:val="superscript"/>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b w:val="1"/>
                <w:bCs w:val="1"/>
                <w:color w:val="auto"/>
                <w:w w:val="94"/>
              </w:rPr>
              <w:t>Fair Value</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1"/>
                <w:szCs w:val="11"/>
                <w:b w:val="1"/>
                <w:bCs w:val="1"/>
                <w:color w:val="auto"/>
                <w:w w:val="88"/>
              </w:rPr>
              <w:t xml:space="preserve">Additions </w:t>
            </w:r>
            <w:r>
              <w:rPr>
                <w:rFonts w:ascii="Arial" w:cs="Arial" w:eastAsia="Arial" w:hAnsi="Arial"/>
                <w:sz w:val="14"/>
                <w:szCs w:val="14"/>
                <w:b w:val="1"/>
                <w:bCs w:val="1"/>
                <w:color w:val="auto"/>
                <w:w w:val="88"/>
                <w:vertAlign w:val="superscript"/>
              </w:rPr>
              <w:t>(2)</w:t>
            </w:r>
          </w:p>
        </w:tc>
        <w:tc>
          <w:tcPr>
            <w:tcW w:w="200" w:type="dxa"/>
            <w:vAlign w:val="bottom"/>
          </w:tcPr>
          <w:p>
            <w:pPr>
              <w:spacing w:after="0"/>
              <w:rPr>
                <w:sz w:val="12"/>
                <w:szCs w:val="12"/>
                <w:color w:val="auto"/>
              </w:rPr>
            </w:pPr>
          </w:p>
        </w:tc>
        <w:tc>
          <w:tcPr>
            <w:tcW w:w="920" w:type="dxa"/>
            <w:vAlign w:val="bottom"/>
            <w:gridSpan w:val="3"/>
          </w:tcPr>
          <w:p>
            <w:pPr>
              <w:jc w:val="right"/>
              <w:ind w:right="222"/>
              <w:spacing w:after="0" w:line="149" w:lineRule="exact"/>
              <w:rPr>
                <w:sz w:val="20"/>
                <w:szCs w:val="20"/>
                <w:color w:val="auto"/>
              </w:rPr>
            </w:pPr>
            <w:r>
              <w:rPr>
                <w:rFonts w:ascii="Arial" w:cs="Arial" w:eastAsia="Arial" w:hAnsi="Arial"/>
                <w:sz w:val="11"/>
                <w:szCs w:val="11"/>
                <w:b w:val="1"/>
                <w:bCs w:val="1"/>
                <w:color w:val="auto"/>
                <w:w w:val="86"/>
              </w:rPr>
              <w:t xml:space="preserve">Reductions </w:t>
            </w:r>
            <w:r>
              <w:rPr>
                <w:rFonts w:ascii="Arial" w:cs="Arial" w:eastAsia="Arial" w:hAnsi="Arial"/>
                <w:sz w:val="14"/>
                <w:szCs w:val="14"/>
                <w:b w:val="1"/>
                <w:bCs w:val="1"/>
                <w:color w:val="auto"/>
                <w:w w:val="86"/>
                <w:vertAlign w:val="superscript"/>
              </w:rPr>
              <w:t>(3)</w:t>
            </w:r>
          </w:p>
        </w:tc>
        <w:tc>
          <w:tcPr>
            <w:tcW w:w="82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w w:val="89"/>
              </w:rPr>
              <w:t>Gain/(Loss)</w:t>
            </w:r>
          </w:p>
        </w:tc>
        <w:tc>
          <w:tcPr>
            <w:tcW w:w="60" w:type="dxa"/>
            <w:vAlign w:val="bottom"/>
          </w:tcPr>
          <w:p>
            <w:pPr>
              <w:spacing w:after="0"/>
              <w:rPr>
                <w:sz w:val="12"/>
                <w:szCs w:val="12"/>
                <w:color w:val="auto"/>
              </w:rPr>
            </w:pPr>
          </w:p>
        </w:tc>
        <w:tc>
          <w:tcPr>
            <w:tcW w:w="940" w:type="dxa"/>
            <w:vAlign w:val="bottom"/>
            <w:gridSpan w:val="2"/>
          </w:tcPr>
          <w:p>
            <w:pPr>
              <w:jc w:val="center"/>
              <w:ind w:right="242"/>
              <w:spacing w:after="0"/>
              <w:rPr>
                <w:sz w:val="20"/>
                <w:szCs w:val="20"/>
                <w:color w:val="auto"/>
              </w:rPr>
            </w:pPr>
            <w:r>
              <w:rPr>
                <w:rFonts w:ascii="Arial" w:cs="Arial" w:eastAsia="Arial" w:hAnsi="Arial"/>
                <w:sz w:val="11"/>
                <w:szCs w:val="11"/>
                <w:b w:val="1"/>
                <w:bCs w:val="1"/>
                <w:color w:val="auto"/>
                <w:w w:val="89"/>
              </w:rPr>
              <w:t>(Depreciation)</w:t>
            </w:r>
          </w:p>
        </w:tc>
        <w:tc>
          <w:tcPr>
            <w:tcW w:w="120" w:type="dxa"/>
            <w:vAlign w:val="bottom"/>
          </w:tcPr>
          <w:p>
            <w:pPr>
              <w:spacing w:after="0"/>
              <w:rPr>
                <w:sz w:val="12"/>
                <w:szCs w:val="12"/>
                <w:color w:val="auto"/>
              </w:rPr>
            </w:pPr>
          </w:p>
        </w:tc>
        <w:tc>
          <w:tcPr>
            <w:tcW w:w="68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auto"/>
              <w:bottom w:val="single" w:sz="8" w:color="auto"/>
            </w:tcBorders>
            <w:vMerge w:val="restart"/>
            <w:shd w:val="clear" w:color="auto" w:fill="CFF0FC"/>
          </w:tcPr>
          <w:p>
            <w:pPr>
              <w:spacing w:after="0"/>
              <w:rPr>
                <w:sz w:val="5"/>
                <w:szCs w:val="5"/>
                <w:color w:val="auto"/>
              </w:rPr>
            </w:pPr>
          </w:p>
        </w:tc>
        <w:tc>
          <w:tcPr>
            <w:tcW w:w="940" w:type="dxa"/>
            <w:vAlign w:val="bottom"/>
            <w:tcBorders>
              <w:top w:val="single" w:sz="8" w:color="auto"/>
              <w:bottom w:val="single" w:sz="8" w:color="auto"/>
            </w:tcBorders>
            <w:gridSpan w:val="2"/>
            <w:vMerge w:val="restart"/>
            <w:shd w:val="clear" w:color="auto" w:fill="CFF0FC"/>
          </w:tcPr>
          <w:p>
            <w:pPr>
              <w:spacing w:after="0" w:line="102" w:lineRule="exact"/>
              <w:rPr>
                <w:sz w:val="20"/>
                <w:szCs w:val="20"/>
                <w:color w:val="auto"/>
              </w:rPr>
            </w:pPr>
            <w:r>
              <w:rPr>
                <w:rFonts w:ascii="Arial" w:cs="Arial" w:eastAsia="Arial" w:hAnsi="Arial"/>
                <w:sz w:val="11"/>
                <w:szCs w:val="11"/>
                <w:b w:val="1"/>
                <w:bCs w:val="1"/>
                <w:i w:val="1"/>
                <w:iCs w:val="1"/>
                <w:color w:val="auto"/>
                <w:w w:val="85"/>
              </w:rPr>
              <w:t>Affiliate investments</w:t>
            </w:r>
          </w:p>
        </w:tc>
        <w:tc>
          <w:tcPr>
            <w:tcW w:w="80" w:type="dxa"/>
            <w:vAlign w:val="bottom"/>
            <w:tcBorders>
              <w:top w:val="single" w:sz="8" w:color="auto"/>
              <w:bottom w:val="single" w:sz="8" w:color="auto"/>
            </w:tcBorders>
            <w:shd w:val="clear" w:color="auto" w:fill="CFF0FC"/>
          </w:tcPr>
          <w:p>
            <w:pPr>
              <w:jc w:val="right"/>
              <w:spacing w:after="0" w:line="48" w:lineRule="exact"/>
              <w:rPr>
                <w:sz w:val="20"/>
                <w:szCs w:val="20"/>
                <w:color w:val="auto"/>
              </w:rPr>
            </w:pPr>
            <w:r>
              <w:rPr>
                <w:rFonts w:ascii="Arial" w:cs="Arial" w:eastAsia="Arial" w:hAnsi="Arial"/>
                <w:sz w:val="5"/>
                <w:szCs w:val="5"/>
                <w:b w:val="1"/>
                <w:bCs w:val="1"/>
                <w:i w:val="1"/>
                <w:iCs w:val="1"/>
                <w:color w:val="auto"/>
                <w:w w:val="97"/>
              </w:rPr>
              <w:t>(6)</w:t>
            </w:r>
          </w:p>
        </w:tc>
        <w:tc>
          <w:tcPr>
            <w:tcW w:w="400" w:type="dxa"/>
            <w:vAlign w:val="bottom"/>
            <w:tcBorders>
              <w:top w:val="single" w:sz="8" w:color="auto"/>
              <w:bottom w:val="single" w:sz="8" w:color="auto"/>
            </w:tcBorders>
            <w:gridSpan w:val="3"/>
            <w:vMerge w:val="restart"/>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2420" w:type="dxa"/>
            <w:vAlign w:val="bottom"/>
            <w:tcBorders>
              <w:top w:val="single" w:sz="8" w:color="auto"/>
              <w:bottom w:val="single" w:sz="8" w:color="CFF0FC"/>
            </w:tcBorders>
            <w:shd w:val="clear" w:color="auto" w:fill="CFF0FC"/>
          </w:tcPr>
          <w:p>
            <w:pPr>
              <w:spacing w:after="0"/>
              <w:rPr>
                <w:sz w:val="5"/>
                <w:szCs w:val="5"/>
                <w:color w:val="auto"/>
              </w:rPr>
            </w:pPr>
          </w:p>
        </w:tc>
        <w:tc>
          <w:tcPr>
            <w:tcW w:w="120" w:type="dxa"/>
            <w:vAlign w:val="bottom"/>
            <w:tcBorders>
              <w:bottom w:val="single" w:sz="8" w:color="CFF0FC"/>
            </w:tcBorders>
            <w:shd w:val="clear" w:color="auto" w:fill="CFF0FC"/>
          </w:tcPr>
          <w:p>
            <w:pPr>
              <w:spacing w:after="0"/>
              <w:rPr>
                <w:sz w:val="5"/>
                <w:szCs w:val="5"/>
                <w:color w:val="auto"/>
              </w:rPr>
            </w:pPr>
          </w:p>
        </w:tc>
        <w:tc>
          <w:tcPr>
            <w:tcW w:w="160" w:type="dxa"/>
            <w:vAlign w:val="bottom"/>
            <w:tcBorders>
              <w:top w:val="single" w:sz="8" w:color="auto"/>
              <w:bottom w:val="single" w:sz="8" w:color="CFF0FC"/>
            </w:tcBorders>
            <w:shd w:val="clear" w:color="auto" w:fill="CFF0FC"/>
          </w:tcPr>
          <w:p>
            <w:pPr>
              <w:spacing w:after="0"/>
              <w:rPr>
                <w:sz w:val="5"/>
                <w:szCs w:val="5"/>
                <w:color w:val="auto"/>
              </w:rPr>
            </w:pPr>
          </w:p>
        </w:tc>
        <w:tc>
          <w:tcPr>
            <w:tcW w:w="340" w:type="dxa"/>
            <w:vAlign w:val="bottom"/>
            <w:tcBorders>
              <w:top w:val="single" w:sz="8" w:color="auto"/>
              <w:bottom w:val="single" w:sz="8" w:color="CFF0FC"/>
            </w:tcBorders>
            <w:shd w:val="clear" w:color="auto" w:fill="CFF0FC"/>
          </w:tcPr>
          <w:p>
            <w:pPr>
              <w:spacing w:after="0"/>
              <w:rPr>
                <w:sz w:val="5"/>
                <w:szCs w:val="5"/>
                <w:color w:val="auto"/>
              </w:rPr>
            </w:pPr>
          </w:p>
        </w:tc>
        <w:tc>
          <w:tcPr>
            <w:tcW w:w="240" w:type="dxa"/>
            <w:vAlign w:val="bottom"/>
            <w:tcBorders>
              <w:bottom w:val="single" w:sz="8" w:color="CFF0FC"/>
            </w:tcBorders>
            <w:shd w:val="clear" w:color="auto" w:fill="CFF0FC"/>
          </w:tcPr>
          <w:p>
            <w:pPr>
              <w:spacing w:after="0"/>
              <w:rPr>
                <w:sz w:val="5"/>
                <w:szCs w:val="5"/>
                <w:color w:val="auto"/>
              </w:rPr>
            </w:pPr>
          </w:p>
        </w:tc>
        <w:tc>
          <w:tcPr>
            <w:tcW w:w="80" w:type="dxa"/>
            <w:vAlign w:val="bottom"/>
            <w:tcBorders>
              <w:top w:val="single" w:sz="8" w:color="auto"/>
              <w:bottom w:val="single" w:sz="8" w:color="CFF0FC"/>
            </w:tcBorders>
            <w:shd w:val="clear" w:color="auto" w:fill="CFF0FC"/>
          </w:tcPr>
          <w:p>
            <w:pPr>
              <w:spacing w:after="0"/>
              <w:rPr>
                <w:sz w:val="5"/>
                <w:szCs w:val="5"/>
                <w:color w:val="auto"/>
              </w:rPr>
            </w:pPr>
          </w:p>
        </w:tc>
        <w:tc>
          <w:tcPr>
            <w:tcW w:w="700" w:type="dxa"/>
            <w:vAlign w:val="bottom"/>
            <w:tcBorders>
              <w:top w:val="single" w:sz="8" w:color="auto"/>
              <w:bottom w:val="single" w:sz="8" w:color="CFF0FC"/>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80" w:type="dxa"/>
            <w:vAlign w:val="bottom"/>
            <w:tcBorders>
              <w:top w:val="single" w:sz="8" w:color="auto"/>
              <w:bottom w:val="single" w:sz="8" w:color="CFF0FC"/>
            </w:tcBorders>
            <w:shd w:val="clear" w:color="auto" w:fill="CFF0FC"/>
          </w:tcPr>
          <w:p>
            <w:pPr>
              <w:spacing w:after="0"/>
              <w:rPr>
                <w:sz w:val="5"/>
                <w:szCs w:val="5"/>
                <w:color w:val="auto"/>
              </w:rPr>
            </w:pPr>
          </w:p>
        </w:tc>
        <w:tc>
          <w:tcPr>
            <w:tcW w:w="620" w:type="dxa"/>
            <w:vAlign w:val="bottom"/>
            <w:tcBorders>
              <w:top w:val="single" w:sz="8" w:color="auto"/>
              <w:bottom w:val="single" w:sz="8" w:color="CFF0FC"/>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120" w:type="dxa"/>
            <w:vAlign w:val="bottom"/>
            <w:tcBorders>
              <w:top w:val="single" w:sz="8" w:color="auto"/>
              <w:bottom w:val="single" w:sz="8" w:color="CFF0FC"/>
            </w:tcBorders>
            <w:shd w:val="clear" w:color="auto" w:fill="CFF0FC"/>
          </w:tcPr>
          <w:p>
            <w:pPr>
              <w:spacing w:after="0"/>
              <w:rPr>
                <w:sz w:val="5"/>
                <w:szCs w:val="5"/>
                <w:color w:val="auto"/>
              </w:rPr>
            </w:pPr>
          </w:p>
        </w:tc>
        <w:tc>
          <w:tcPr>
            <w:tcW w:w="520" w:type="dxa"/>
            <w:vAlign w:val="bottom"/>
            <w:tcBorders>
              <w:top w:val="single" w:sz="8" w:color="auto"/>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140" w:type="dxa"/>
            <w:vAlign w:val="bottom"/>
            <w:tcBorders>
              <w:top w:val="single" w:sz="8" w:color="auto"/>
              <w:bottom w:val="single" w:sz="8" w:color="CFF0FC"/>
            </w:tcBorders>
            <w:shd w:val="clear" w:color="auto" w:fill="CFF0FC"/>
          </w:tcPr>
          <w:p>
            <w:pPr>
              <w:spacing w:after="0"/>
              <w:rPr>
                <w:sz w:val="5"/>
                <w:szCs w:val="5"/>
                <w:color w:val="auto"/>
              </w:rPr>
            </w:pPr>
          </w:p>
        </w:tc>
        <w:tc>
          <w:tcPr>
            <w:tcW w:w="560" w:type="dxa"/>
            <w:vAlign w:val="bottom"/>
            <w:tcBorders>
              <w:top w:val="single" w:sz="8" w:color="auto"/>
              <w:bottom w:val="single" w:sz="8" w:color="CFF0FC"/>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80" w:type="dxa"/>
            <w:vAlign w:val="bottom"/>
            <w:tcBorders>
              <w:top w:val="single" w:sz="8" w:color="auto"/>
              <w:bottom w:val="single" w:sz="8" w:color="CFF0FC"/>
            </w:tcBorders>
            <w:shd w:val="clear" w:color="auto" w:fill="CFF0FC"/>
          </w:tcPr>
          <w:p>
            <w:pPr>
              <w:spacing w:after="0"/>
              <w:rPr>
                <w:sz w:val="5"/>
                <w:szCs w:val="5"/>
                <w:color w:val="auto"/>
              </w:rPr>
            </w:pPr>
          </w:p>
        </w:tc>
        <w:tc>
          <w:tcPr>
            <w:tcW w:w="520" w:type="dxa"/>
            <w:vAlign w:val="bottom"/>
            <w:tcBorders>
              <w:top w:val="single" w:sz="8" w:color="auto"/>
              <w:bottom w:val="single" w:sz="8" w:color="CFF0FC"/>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60" w:type="dxa"/>
            <w:vAlign w:val="bottom"/>
            <w:tcBorders>
              <w:top w:val="single" w:sz="8" w:color="auto"/>
              <w:bottom w:val="single" w:sz="8" w:color="CFF0FC"/>
            </w:tcBorders>
            <w:shd w:val="clear" w:color="auto" w:fill="CFF0FC"/>
          </w:tcPr>
          <w:p>
            <w:pPr>
              <w:spacing w:after="0"/>
              <w:rPr>
                <w:sz w:val="5"/>
                <w:szCs w:val="5"/>
                <w:color w:val="auto"/>
              </w:rPr>
            </w:pPr>
          </w:p>
        </w:tc>
        <w:tc>
          <w:tcPr>
            <w:tcW w:w="740" w:type="dxa"/>
            <w:vAlign w:val="bottom"/>
            <w:tcBorders>
              <w:top w:val="single" w:sz="8" w:color="auto"/>
              <w:bottom w:val="single" w:sz="8" w:color="CFF0FC"/>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120" w:type="dxa"/>
            <w:vAlign w:val="bottom"/>
            <w:tcBorders>
              <w:top w:val="single" w:sz="8" w:color="auto"/>
              <w:bottom w:val="single" w:sz="8" w:color="CFF0FC"/>
            </w:tcBorders>
            <w:shd w:val="clear" w:color="auto" w:fill="CFF0FC"/>
          </w:tcPr>
          <w:p>
            <w:pPr>
              <w:spacing w:after="0"/>
              <w:rPr>
                <w:sz w:val="5"/>
                <w:szCs w:val="5"/>
                <w:color w:val="auto"/>
              </w:rPr>
            </w:pPr>
          </w:p>
        </w:tc>
        <w:tc>
          <w:tcPr>
            <w:tcW w:w="680" w:type="dxa"/>
            <w:vAlign w:val="bottom"/>
            <w:tcBorders>
              <w:top w:val="single" w:sz="8" w:color="auto"/>
              <w:bottom w:val="single" w:sz="8" w:color="CFF0FC"/>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CFF0FC"/>
            </w:tcBorders>
            <w:vMerge w:val="continue"/>
            <w:shd w:val="clear" w:color="auto" w:fill="CFF0FC"/>
          </w:tcPr>
          <w:p>
            <w:pPr>
              <w:spacing w:after="0"/>
              <w:rPr>
                <w:sz w:val="2"/>
                <w:szCs w:val="2"/>
                <w:color w:val="auto"/>
              </w:rPr>
            </w:pPr>
          </w:p>
        </w:tc>
        <w:tc>
          <w:tcPr>
            <w:tcW w:w="940" w:type="dxa"/>
            <w:vAlign w:val="bottom"/>
            <w:tcBorders>
              <w:bottom w:val="single" w:sz="8" w:color="auto"/>
            </w:tcBorders>
            <w:gridSpan w:val="2"/>
            <w:vMerge w:val="continue"/>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400" w:type="dxa"/>
            <w:vAlign w:val="bottom"/>
            <w:tcBorders>
              <w:bottom w:val="single" w:sz="8" w:color="CFF0FC"/>
            </w:tcBorders>
            <w:gridSpan w:val="3"/>
            <w:vMerge w:val="continue"/>
            <w:shd w:val="clear" w:color="auto" w:fill="CFF0FC"/>
          </w:tcPr>
          <w:p>
            <w:pPr>
              <w:spacing w:after="0"/>
              <w:rPr>
                <w:sz w:val="2"/>
                <w:szCs w:val="2"/>
                <w:color w:val="auto"/>
              </w:rPr>
            </w:pPr>
          </w:p>
        </w:tc>
        <w:tc>
          <w:tcPr>
            <w:tcW w:w="120" w:type="dxa"/>
            <w:vAlign w:val="bottom"/>
            <w:tcBorders>
              <w:bottom w:val="single" w:sz="8" w:color="CFF0FC"/>
            </w:tcBorders>
            <w:shd w:val="clear" w:color="auto" w:fill="CFF0FC"/>
          </w:tcPr>
          <w:p>
            <w:pPr>
              <w:spacing w:after="0"/>
              <w:rPr>
                <w:sz w:val="2"/>
                <w:szCs w:val="2"/>
                <w:color w:val="auto"/>
              </w:rPr>
            </w:pPr>
          </w:p>
        </w:tc>
        <w:tc>
          <w:tcPr>
            <w:tcW w:w="2420" w:type="dxa"/>
            <w:vAlign w:val="bottom"/>
            <w:tcBorders>
              <w:bottom w:val="single" w:sz="8" w:color="CFF0FC"/>
            </w:tcBorders>
            <w:shd w:val="clear" w:color="auto" w:fill="CFF0FC"/>
          </w:tcPr>
          <w:p>
            <w:pPr>
              <w:spacing w:after="0"/>
              <w:rPr>
                <w:sz w:val="2"/>
                <w:szCs w:val="2"/>
                <w:color w:val="auto"/>
              </w:rPr>
            </w:pPr>
          </w:p>
        </w:tc>
        <w:tc>
          <w:tcPr>
            <w:tcW w:w="120" w:type="dxa"/>
            <w:vAlign w:val="bottom"/>
            <w:tcBorders>
              <w:bottom w:val="single" w:sz="8" w:color="CFF0FC"/>
            </w:tcBorders>
            <w:shd w:val="clear" w:color="auto" w:fill="CFF0FC"/>
          </w:tcPr>
          <w:p>
            <w:pPr>
              <w:spacing w:after="0"/>
              <w:rPr>
                <w:sz w:val="2"/>
                <w:szCs w:val="2"/>
                <w:color w:val="auto"/>
              </w:rPr>
            </w:pPr>
          </w:p>
        </w:tc>
        <w:tc>
          <w:tcPr>
            <w:tcW w:w="160" w:type="dxa"/>
            <w:vAlign w:val="bottom"/>
            <w:tcBorders>
              <w:bottom w:val="single" w:sz="8" w:color="CFF0FC"/>
            </w:tcBorders>
            <w:shd w:val="clear" w:color="auto" w:fill="CFF0FC"/>
          </w:tcPr>
          <w:p>
            <w:pPr>
              <w:spacing w:after="0"/>
              <w:rPr>
                <w:sz w:val="2"/>
                <w:szCs w:val="2"/>
                <w:color w:val="auto"/>
              </w:rPr>
            </w:pPr>
          </w:p>
        </w:tc>
        <w:tc>
          <w:tcPr>
            <w:tcW w:w="340" w:type="dxa"/>
            <w:vAlign w:val="bottom"/>
            <w:tcBorders>
              <w:bottom w:val="single" w:sz="8" w:color="CFF0FC"/>
            </w:tcBorders>
            <w:shd w:val="clear" w:color="auto" w:fill="CFF0FC"/>
          </w:tcPr>
          <w:p>
            <w:pPr>
              <w:spacing w:after="0"/>
              <w:rPr>
                <w:sz w:val="2"/>
                <w:szCs w:val="2"/>
                <w:color w:val="auto"/>
              </w:rPr>
            </w:pPr>
          </w:p>
        </w:tc>
        <w:tc>
          <w:tcPr>
            <w:tcW w:w="240" w:type="dxa"/>
            <w:vAlign w:val="bottom"/>
            <w:tcBorders>
              <w:bottom w:val="single" w:sz="8" w:color="CFF0FC"/>
            </w:tcBorders>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700" w:type="dxa"/>
            <w:vAlign w:val="bottom"/>
            <w:tcBorders>
              <w:bottom w:val="single" w:sz="8" w:color="CFF0FC"/>
            </w:tcBorders>
            <w:shd w:val="clear" w:color="auto" w:fill="CFF0FC"/>
          </w:tcPr>
          <w:p>
            <w:pPr>
              <w:spacing w:after="0"/>
              <w:rPr>
                <w:sz w:val="2"/>
                <w:szCs w:val="2"/>
                <w:color w:val="auto"/>
              </w:rPr>
            </w:pPr>
          </w:p>
        </w:tc>
        <w:tc>
          <w:tcPr>
            <w:tcW w:w="220" w:type="dxa"/>
            <w:vAlign w:val="bottom"/>
            <w:tcBorders>
              <w:bottom w:val="single" w:sz="8" w:color="CFF0FC"/>
            </w:tcBorders>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620" w:type="dxa"/>
            <w:vAlign w:val="bottom"/>
            <w:tcBorders>
              <w:bottom w:val="single" w:sz="8" w:color="CFF0FC"/>
            </w:tcBorders>
            <w:shd w:val="clear" w:color="auto" w:fill="CFF0FC"/>
          </w:tcPr>
          <w:p>
            <w:pPr>
              <w:spacing w:after="0"/>
              <w:rPr>
                <w:sz w:val="2"/>
                <w:szCs w:val="2"/>
                <w:color w:val="auto"/>
              </w:rPr>
            </w:pPr>
          </w:p>
        </w:tc>
        <w:tc>
          <w:tcPr>
            <w:tcW w:w="220" w:type="dxa"/>
            <w:vAlign w:val="bottom"/>
            <w:tcBorders>
              <w:bottom w:val="single" w:sz="8" w:color="CFF0FC"/>
            </w:tcBorders>
            <w:shd w:val="clear" w:color="auto" w:fill="CFF0FC"/>
          </w:tcPr>
          <w:p>
            <w:pPr>
              <w:spacing w:after="0"/>
              <w:rPr>
                <w:sz w:val="2"/>
                <w:szCs w:val="2"/>
                <w:color w:val="auto"/>
              </w:rPr>
            </w:pPr>
          </w:p>
        </w:tc>
        <w:tc>
          <w:tcPr>
            <w:tcW w:w="120" w:type="dxa"/>
            <w:vAlign w:val="bottom"/>
            <w:tcBorders>
              <w:bottom w:val="single" w:sz="8" w:color="CFF0FC"/>
            </w:tcBorders>
            <w:shd w:val="clear" w:color="auto" w:fill="CFF0FC"/>
          </w:tcPr>
          <w:p>
            <w:pPr>
              <w:spacing w:after="0"/>
              <w:rPr>
                <w:sz w:val="2"/>
                <w:szCs w:val="2"/>
                <w:color w:val="auto"/>
              </w:rPr>
            </w:pPr>
          </w:p>
        </w:tc>
        <w:tc>
          <w:tcPr>
            <w:tcW w:w="520" w:type="dxa"/>
            <w:vAlign w:val="bottom"/>
            <w:tcBorders>
              <w:bottom w:val="single" w:sz="8" w:color="CFF0FC"/>
            </w:tcBorders>
            <w:shd w:val="clear" w:color="auto" w:fill="CFF0FC"/>
          </w:tcPr>
          <w:p>
            <w:pPr>
              <w:spacing w:after="0"/>
              <w:rPr>
                <w:sz w:val="2"/>
                <w:szCs w:val="2"/>
                <w:color w:val="auto"/>
              </w:rPr>
            </w:pPr>
          </w:p>
        </w:tc>
        <w:tc>
          <w:tcPr>
            <w:tcW w:w="200" w:type="dxa"/>
            <w:vAlign w:val="bottom"/>
            <w:tcBorders>
              <w:bottom w:val="single" w:sz="8" w:color="CFF0FC"/>
            </w:tcBorders>
            <w:shd w:val="clear" w:color="auto" w:fill="CFF0FC"/>
          </w:tcPr>
          <w:p>
            <w:pPr>
              <w:spacing w:after="0"/>
              <w:rPr>
                <w:sz w:val="2"/>
                <w:szCs w:val="2"/>
                <w:color w:val="auto"/>
              </w:rPr>
            </w:pPr>
          </w:p>
        </w:tc>
        <w:tc>
          <w:tcPr>
            <w:tcW w:w="140" w:type="dxa"/>
            <w:vAlign w:val="bottom"/>
            <w:tcBorders>
              <w:bottom w:val="single" w:sz="8" w:color="CFF0FC"/>
            </w:tcBorders>
            <w:shd w:val="clear" w:color="auto" w:fill="CFF0FC"/>
          </w:tcPr>
          <w:p>
            <w:pPr>
              <w:spacing w:after="0"/>
              <w:rPr>
                <w:sz w:val="2"/>
                <w:szCs w:val="2"/>
                <w:color w:val="auto"/>
              </w:rPr>
            </w:pPr>
          </w:p>
        </w:tc>
        <w:tc>
          <w:tcPr>
            <w:tcW w:w="560" w:type="dxa"/>
            <w:vAlign w:val="bottom"/>
            <w:tcBorders>
              <w:bottom w:val="single" w:sz="8" w:color="CFF0FC"/>
            </w:tcBorders>
            <w:shd w:val="clear" w:color="auto" w:fill="CFF0FC"/>
          </w:tcPr>
          <w:p>
            <w:pPr>
              <w:spacing w:after="0"/>
              <w:rPr>
                <w:sz w:val="2"/>
                <w:szCs w:val="2"/>
                <w:color w:val="auto"/>
              </w:rPr>
            </w:pPr>
          </w:p>
        </w:tc>
        <w:tc>
          <w:tcPr>
            <w:tcW w:w="220" w:type="dxa"/>
            <w:vAlign w:val="bottom"/>
            <w:tcBorders>
              <w:bottom w:val="single" w:sz="8" w:color="CFF0FC"/>
            </w:tcBorders>
            <w:shd w:val="clear" w:color="auto" w:fill="CFF0FC"/>
          </w:tcPr>
          <w:p>
            <w:pPr>
              <w:spacing w:after="0"/>
              <w:rPr>
                <w:sz w:val="2"/>
                <w:szCs w:val="2"/>
                <w:color w:val="auto"/>
              </w:rPr>
            </w:pPr>
          </w:p>
        </w:tc>
        <w:tc>
          <w:tcPr>
            <w:tcW w:w="80" w:type="dxa"/>
            <w:vAlign w:val="bottom"/>
            <w:tcBorders>
              <w:bottom w:val="single" w:sz="8" w:color="CFF0FC"/>
            </w:tcBorders>
            <w:shd w:val="clear" w:color="auto" w:fill="CFF0FC"/>
          </w:tcPr>
          <w:p>
            <w:pPr>
              <w:spacing w:after="0"/>
              <w:rPr>
                <w:sz w:val="2"/>
                <w:szCs w:val="2"/>
                <w:color w:val="auto"/>
              </w:rPr>
            </w:pPr>
          </w:p>
        </w:tc>
        <w:tc>
          <w:tcPr>
            <w:tcW w:w="520" w:type="dxa"/>
            <w:vAlign w:val="bottom"/>
            <w:tcBorders>
              <w:bottom w:val="single" w:sz="8" w:color="CFF0FC"/>
            </w:tcBorders>
            <w:shd w:val="clear" w:color="auto" w:fill="CFF0FC"/>
          </w:tcPr>
          <w:p>
            <w:pPr>
              <w:spacing w:after="0"/>
              <w:rPr>
                <w:sz w:val="2"/>
                <w:szCs w:val="2"/>
                <w:color w:val="auto"/>
              </w:rPr>
            </w:pPr>
          </w:p>
        </w:tc>
        <w:tc>
          <w:tcPr>
            <w:tcW w:w="220" w:type="dxa"/>
            <w:vAlign w:val="bottom"/>
            <w:tcBorders>
              <w:bottom w:val="single" w:sz="8" w:color="CFF0FC"/>
            </w:tcBorders>
            <w:shd w:val="clear" w:color="auto" w:fill="CFF0FC"/>
          </w:tcPr>
          <w:p>
            <w:pPr>
              <w:spacing w:after="0"/>
              <w:rPr>
                <w:sz w:val="2"/>
                <w:szCs w:val="2"/>
                <w:color w:val="auto"/>
              </w:rPr>
            </w:pPr>
          </w:p>
        </w:tc>
        <w:tc>
          <w:tcPr>
            <w:tcW w:w="60" w:type="dxa"/>
            <w:vAlign w:val="bottom"/>
            <w:tcBorders>
              <w:bottom w:val="single" w:sz="8" w:color="CFF0FC"/>
            </w:tcBorders>
            <w:shd w:val="clear" w:color="auto" w:fill="CFF0FC"/>
          </w:tcPr>
          <w:p>
            <w:pPr>
              <w:spacing w:after="0"/>
              <w:rPr>
                <w:sz w:val="2"/>
                <w:szCs w:val="2"/>
                <w:color w:val="auto"/>
              </w:rPr>
            </w:pPr>
          </w:p>
        </w:tc>
        <w:tc>
          <w:tcPr>
            <w:tcW w:w="740" w:type="dxa"/>
            <w:vAlign w:val="bottom"/>
            <w:tcBorders>
              <w:bottom w:val="single" w:sz="8" w:color="CFF0FC"/>
            </w:tcBorders>
            <w:shd w:val="clear" w:color="auto" w:fill="CFF0FC"/>
          </w:tcPr>
          <w:p>
            <w:pPr>
              <w:spacing w:after="0"/>
              <w:rPr>
                <w:sz w:val="2"/>
                <w:szCs w:val="2"/>
                <w:color w:val="auto"/>
              </w:rPr>
            </w:pPr>
          </w:p>
        </w:tc>
        <w:tc>
          <w:tcPr>
            <w:tcW w:w="200" w:type="dxa"/>
            <w:vAlign w:val="bottom"/>
            <w:tcBorders>
              <w:bottom w:val="single" w:sz="8" w:color="CFF0FC"/>
            </w:tcBorders>
            <w:shd w:val="clear" w:color="auto" w:fill="CFF0FC"/>
          </w:tcPr>
          <w:p>
            <w:pPr>
              <w:spacing w:after="0"/>
              <w:rPr>
                <w:sz w:val="2"/>
                <w:szCs w:val="2"/>
                <w:color w:val="auto"/>
              </w:rPr>
            </w:pPr>
          </w:p>
        </w:tc>
        <w:tc>
          <w:tcPr>
            <w:tcW w:w="120" w:type="dxa"/>
            <w:vAlign w:val="bottom"/>
            <w:tcBorders>
              <w:bottom w:val="single" w:sz="8" w:color="CFF0FC"/>
            </w:tcBorders>
            <w:shd w:val="clear" w:color="auto" w:fill="CFF0FC"/>
          </w:tcPr>
          <w:p>
            <w:pPr>
              <w:spacing w:after="0"/>
              <w:rPr>
                <w:sz w:val="2"/>
                <w:szCs w:val="2"/>
                <w:color w:val="auto"/>
              </w:rPr>
            </w:pPr>
          </w:p>
        </w:tc>
        <w:tc>
          <w:tcPr>
            <w:tcW w:w="680" w:type="dxa"/>
            <w:vAlign w:val="bottom"/>
            <w:tcBorders>
              <w:bottom w:val="single" w:sz="8" w:color="CFF0FC"/>
            </w:tcBorders>
            <w:shd w:val="clear" w:color="auto" w:fill="CFF0FC"/>
          </w:tcPr>
          <w:p>
            <w:pPr>
              <w:spacing w:after="0"/>
              <w:rPr>
                <w:sz w:val="2"/>
                <w:szCs w:val="2"/>
                <w:color w:val="auto"/>
              </w:rPr>
            </w:pPr>
          </w:p>
        </w:tc>
        <w:tc>
          <w:tcPr>
            <w:tcW w:w="100" w:type="dxa"/>
            <w:vAlign w:val="bottom"/>
            <w:tcBorders>
              <w:bottom w:val="single" w:sz="8" w:color="CFF0FC"/>
            </w:tcBorders>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Common Stock Class B (1,085,073 shares)</w:t>
            </w:r>
          </w:p>
        </w:tc>
        <w:tc>
          <w:tcPr>
            <w:tcW w:w="280" w:type="dxa"/>
            <w:vAlign w:val="bottom"/>
            <w:gridSpan w:val="2"/>
          </w:tcPr>
          <w:p>
            <w:pPr>
              <w:ind w:left="14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1,528</w:t>
            </w:r>
          </w:p>
        </w:tc>
        <w:tc>
          <w:tcPr>
            <w:tcW w:w="340" w:type="dxa"/>
            <w:vAlign w:val="bottom"/>
            <w:gridSpan w:val="2"/>
          </w:tcPr>
          <w:p>
            <w:pPr>
              <w:jc w:val="right"/>
              <w:ind w:right="9"/>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1,377</w:t>
            </w:r>
          </w:p>
        </w:tc>
        <w:tc>
          <w:tcPr>
            <w:tcW w:w="2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2,905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Common Stock Class A (1,253,198 shares)</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1,193</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721</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1,914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2,098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shd w:val="clear" w:color="auto" w:fill="CFF0FC"/>
          </w:tcPr>
          <w:p>
            <w:pPr>
              <w:spacing w:after="0"/>
              <w:rPr>
                <w:sz w:val="11"/>
                <w:szCs w:val="11"/>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Series A-1 Preferred Stock (1,998 shares)</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4,394</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(571</w:t>
            </w:r>
          </w:p>
        </w:tc>
        <w:tc>
          <w:tcPr>
            <w:tcW w:w="200" w:type="dxa"/>
            <w:vAlign w:val="bottom"/>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Series B-1 Common Stock (200,000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1"/>
                <w:szCs w:val="11"/>
                <w:color w:val="auto"/>
              </w:rPr>
              <w:t>(185 )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4,579</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(756</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3,823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Great Lakes II Funding LLC</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Series 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1"/>
                <w:szCs w:val="11"/>
                <w:color w:val="auto"/>
              </w:rPr>
              <w:t>(7 )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277</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40" w:type="dxa"/>
            <w:vAlign w:val="bottom"/>
            <w:gridSpan w:val="7"/>
          </w:tcPr>
          <w:p>
            <w:pPr>
              <w:ind w:left="20"/>
              <w:spacing w:after="0"/>
              <w:rPr>
                <w:sz w:val="20"/>
                <w:szCs w:val="20"/>
                <w:color w:val="auto"/>
              </w:rPr>
            </w:pPr>
            <w:r>
              <w:rPr>
                <w:rFonts w:ascii="Arial" w:cs="Arial" w:eastAsia="Arial" w:hAnsi="Arial"/>
                <w:sz w:val="11"/>
                <w:szCs w:val="11"/>
                <w:color w:val="auto"/>
                <w:w w:val="94"/>
              </w:rPr>
              <w:t>GreenPark Infrastructure, LLC</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Series A (400 Units)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w w:val="94"/>
              </w:rPr>
              <w:t>GreenPark Infrastructure, LLC</w:t>
            </w: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Series M-1 (200 Units)</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269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40" w:type="dxa"/>
            <w:vAlign w:val="bottom"/>
            <w:gridSpan w:val="7"/>
          </w:tcPr>
          <w:p>
            <w:pPr>
              <w:ind w:left="20"/>
              <w:spacing w:after="0" w:line="120" w:lineRule="exact"/>
              <w:rPr>
                <w:sz w:val="20"/>
                <w:szCs w:val="20"/>
                <w:color w:val="auto"/>
              </w:rPr>
            </w:pPr>
            <w:r>
              <w:rPr>
                <w:rFonts w:ascii="Arial" w:cs="Arial" w:eastAsia="Arial" w:hAnsi="Arial"/>
                <w:sz w:val="11"/>
                <w:szCs w:val="11"/>
                <w:color w:val="auto"/>
              </w:rPr>
              <w:t>LJS Partners, LLC</w:t>
            </w:r>
          </w:p>
        </w:tc>
        <w:tc>
          <w:tcPr>
            <w:tcW w:w="120" w:type="dxa"/>
            <w:vAlign w:val="bottom"/>
          </w:tcPr>
          <w:p>
            <w:pPr>
              <w:spacing w:after="0"/>
              <w:rPr>
                <w:sz w:val="11"/>
                <w:szCs w:val="11"/>
                <w:color w:val="auto"/>
              </w:rPr>
            </w:pPr>
          </w:p>
        </w:tc>
        <w:tc>
          <w:tcPr>
            <w:tcW w:w="2420" w:type="dxa"/>
            <w:vAlign w:val="bottom"/>
          </w:tcPr>
          <w:p>
            <w:pPr>
              <w:ind w:left="20"/>
              <w:spacing w:after="0" w:line="120" w:lineRule="exact"/>
              <w:rPr>
                <w:sz w:val="20"/>
                <w:szCs w:val="20"/>
                <w:color w:val="auto"/>
              </w:rPr>
            </w:pPr>
            <w:r>
              <w:rPr>
                <w:rFonts w:ascii="Arial" w:cs="Arial" w:eastAsia="Arial" w:hAnsi="Arial"/>
                <w:sz w:val="11"/>
                <w:szCs w:val="11"/>
                <w:color w:val="auto"/>
              </w:rPr>
              <w:t>Preferred Units (202,336 units)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843</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shd w:val="clear" w:color="auto" w:fill="CFF0FC"/>
          </w:tcPr>
          <w:p>
            <w:pPr>
              <w:spacing w:after="0"/>
              <w:rPr>
                <w:sz w:val="11"/>
                <w:szCs w:val="11"/>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Common Membership Units (2,593,234 units)</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7,164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(4,472 )</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1"/>
                <w:szCs w:val="11"/>
                <w:color w:val="auto"/>
              </w:rPr>
              <w:t>(4,381 )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3,626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1"/>
                <w:szCs w:val="11"/>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First Lien Debt (12.0% Cash, Due 4/1/22)</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229</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Second Lien Debt (6.0% Cash, Due 4/1/22)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7"/>
            <w:shd w:val="clear" w:color="auto" w:fill="CFF0FC"/>
          </w:tcPr>
          <w:p>
            <w:pPr>
              <w:ind w:left="20"/>
              <w:spacing w:after="0" w:line="135" w:lineRule="exact"/>
              <w:rPr>
                <w:sz w:val="20"/>
                <w:szCs w:val="20"/>
                <w:color w:val="auto"/>
              </w:rPr>
            </w:pPr>
            <w:r>
              <w:rPr>
                <w:rFonts w:ascii="Arial" w:cs="Arial" w:eastAsia="Arial" w:hAnsi="Arial"/>
                <w:sz w:val="11"/>
                <w:szCs w:val="11"/>
                <w:color w:val="auto"/>
              </w:rPr>
              <w:t xml:space="preserve">MMI Holdings, LLC </w:t>
            </w:r>
            <w:r>
              <w:rPr>
                <w:rFonts w:ascii="Arial" w:cs="Arial" w:eastAsia="Arial" w:hAnsi="Arial"/>
                <w:sz w:val="14"/>
                <w:szCs w:val="14"/>
                <w:color w:val="auto"/>
                <w:vertAlign w:val="superscript"/>
              </w:rPr>
              <w:t>(5)</w:t>
            </w:r>
          </w:p>
        </w:tc>
        <w:tc>
          <w:tcPr>
            <w:tcW w:w="120" w:type="dxa"/>
            <w:vAlign w:val="bottom"/>
            <w:shd w:val="clear" w:color="auto" w:fill="CFF0FC"/>
          </w:tcPr>
          <w:p>
            <w:pPr>
              <w:spacing w:after="0"/>
              <w:rPr>
                <w:sz w:val="11"/>
                <w:szCs w:val="11"/>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1"/>
                <w:szCs w:val="11"/>
                <w:color w:val="auto"/>
              </w:rPr>
              <w:t>Preferred Units (1,000 units, 6.0% PIK Dividend)</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(136 )</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Common Membership Units (45 units)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1"/>
                <w:szCs w:val="11"/>
                <w:color w:val="auto"/>
              </w:rPr>
              <w:t>(63 )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336</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4,961</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89</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(199</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4,851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40" w:type="dxa"/>
            <w:vAlign w:val="bottom"/>
            <w:gridSpan w:val="7"/>
          </w:tcPr>
          <w:p>
            <w:pPr>
              <w:ind w:left="20"/>
              <w:spacing w:after="0" w:line="105" w:lineRule="exact"/>
              <w:rPr>
                <w:sz w:val="20"/>
                <w:szCs w:val="20"/>
                <w:color w:val="auto"/>
              </w:rPr>
            </w:pPr>
            <w:r>
              <w:rPr>
                <w:rFonts w:ascii="Arial" w:cs="Arial" w:eastAsia="Arial" w:hAnsi="Arial"/>
                <w:sz w:val="11"/>
                <w:szCs w:val="11"/>
                <w:color w:val="auto"/>
                <w:w w:val="93"/>
              </w:rPr>
              <w:t>Nth Degree Investment Group,</w:t>
            </w:r>
          </w:p>
        </w:tc>
        <w:tc>
          <w:tcPr>
            <w:tcW w:w="120" w:type="dxa"/>
            <w:vAlign w:val="bottom"/>
          </w:tcPr>
          <w:p>
            <w:pPr>
              <w:spacing w:after="0"/>
              <w:rPr>
                <w:sz w:val="9"/>
                <w:szCs w:val="9"/>
                <w:color w:val="auto"/>
              </w:rPr>
            </w:pPr>
          </w:p>
        </w:tc>
        <w:tc>
          <w:tcPr>
            <w:tcW w:w="2420" w:type="dxa"/>
            <w:vAlign w:val="bottom"/>
          </w:tcPr>
          <w:p>
            <w:pPr>
              <w:ind w:left="20"/>
              <w:spacing w:after="0" w:line="105" w:lineRule="exact"/>
              <w:rPr>
                <w:sz w:val="20"/>
                <w:szCs w:val="20"/>
                <w:color w:val="auto"/>
              </w:rPr>
            </w:pPr>
            <w:r>
              <w:rPr>
                <w:rFonts w:ascii="Arial" w:cs="Arial" w:eastAsia="Arial" w:hAnsi="Arial"/>
                <w:sz w:val="11"/>
                <w:szCs w:val="11"/>
                <w:color w:val="auto"/>
              </w:rPr>
              <w:t>Membership Units (6,088,000 Units)</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1,937</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1,937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LLC</w:t>
            </w: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1,937</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1,937</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40" w:type="dxa"/>
            <w:vAlign w:val="bottom"/>
            <w:gridSpan w:val="7"/>
          </w:tcPr>
          <w:p>
            <w:pPr>
              <w:ind w:left="20"/>
              <w:spacing w:after="0" w:line="105" w:lineRule="exact"/>
              <w:rPr>
                <w:sz w:val="20"/>
                <w:szCs w:val="20"/>
                <w:color w:val="auto"/>
              </w:rPr>
            </w:pPr>
            <w:r>
              <w:rPr>
                <w:rFonts w:ascii="Arial" w:cs="Arial" w:eastAsia="Arial" w:hAnsi="Arial"/>
                <w:sz w:val="11"/>
                <w:szCs w:val="11"/>
                <w:color w:val="auto"/>
              </w:rPr>
              <w:t>RAM Payment, LLC</w:t>
            </w:r>
          </w:p>
        </w:tc>
        <w:tc>
          <w:tcPr>
            <w:tcW w:w="120" w:type="dxa"/>
            <w:vAlign w:val="bottom"/>
          </w:tcPr>
          <w:p>
            <w:pPr>
              <w:spacing w:after="0"/>
              <w:rPr>
                <w:sz w:val="9"/>
                <w:szCs w:val="9"/>
                <w:color w:val="auto"/>
              </w:rPr>
            </w:pPr>
          </w:p>
        </w:tc>
        <w:tc>
          <w:tcPr>
            <w:tcW w:w="2420" w:type="dxa"/>
            <w:vAlign w:val="bottom"/>
          </w:tcPr>
          <w:p>
            <w:pPr>
              <w:ind w:left="20"/>
              <w:spacing w:after="0" w:line="105" w:lineRule="exact"/>
              <w:rPr>
                <w:sz w:val="20"/>
                <w:szCs w:val="20"/>
                <w:color w:val="auto"/>
              </w:rPr>
            </w:pPr>
            <w:r>
              <w:rPr>
                <w:rFonts w:ascii="Arial" w:cs="Arial" w:eastAsia="Arial" w:hAnsi="Arial"/>
                <w:sz w:val="11"/>
                <w:szCs w:val="11"/>
                <w:color w:val="auto"/>
                <w:w w:val="91"/>
              </w:rPr>
              <w:t>First Lien Debt (6.5% Cash (1 month LIBOR + 5.0%),</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1.5% Floor), Due 1/4/24)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42"/>
              <w:spacing w:after="0"/>
              <w:rPr>
                <w:sz w:val="20"/>
                <w:szCs w:val="20"/>
                <w:color w:val="auto"/>
              </w:rPr>
            </w:pPr>
            <w:r>
              <w:rPr>
                <w:rFonts w:ascii="Arial" w:cs="Arial" w:eastAsia="Arial" w:hAnsi="Arial"/>
                <w:sz w:val="11"/>
                <w:szCs w:val="11"/>
                <w:color w:val="auto"/>
              </w:rPr>
              <w:t>(44 )</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1"/>
                <w:szCs w:val="11"/>
                <w:color w:val="auto"/>
              </w:rPr>
              <w:t>(2 )</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RAM Payment, LLC</w:t>
            </w:r>
          </w:p>
        </w:tc>
        <w:tc>
          <w:tcPr>
            <w:tcW w:w="120" w:type="dxa"/>
            <w:vAlign w:val="bottom"/>
            <w:shd w:val="clear" w:color="auto" w:fill="CFF0FC"/>
          </w:tcPr>
          <w:p>
            <w:pPr>
              <w:spacing w:after="0"/>
              <w:rPr>
                <w:sz w:val="12"/>
                <w:szCs w:val="12"/>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1"/>
                <w:szCs w:val="11"/>
                <w:color w:val="auto"/>
              </w:rPr>
              <w:t>First Lien Debt (9.8% Cash, Due 1/4/24)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2,706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(118 )</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(1 )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ind w:left="20"/>
              <w:spacing w:after="0" w:line="135" w:lineRule="exact"/>
              <w:rPr>
                <w:sz w:val="20"/>
                <w:szCs w:val="20"/>
                <w:color w:val="auto"/>
              </w:rPr>
            </w:pPr>
            <w:r>
              <w:rPr>
                <w:rFonts w:ascii="Arial" w:cs="Arial" w:eastAsia="Arial" w:hAnsi="Arial"/>
                <w:sz w:val="11"/>
                <w:szCs w:val="11"/>
                <w:color w:val="auto"/>
              </w:rPr>
              <w:t xml:space="preserve">RAM Payment, LLC </w:t>
            </w:r>
            <w:r>
              <w:rPr>
                <w:rFonts w:ascii="Arial" w:cs="Arial" w:eastAsia="Arial" w:hAnsi="Arial"/>
                <w:sz w:val="14"/>
                <w:szCs w:val="14"/>
                <w:color w:val="auto"/>
                <w:vertAlign w:val="superscript"/>
              </w:rPr>
              <w:t>(5)</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w w:val="98"/>
              </w:rPr>
              <w:t>Preferred Units (86,000 units, 8.0% PIK Dividend)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3,726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1"/>
                <w:szCs w:val="11"/>
                <w:color w:val="auto"/>
              </w:rPr>
              <w:t>(908 )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2,869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324</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7,430</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(162</w:t>
            </w:r>
          </w:p>
        </w:tc>
        <w:tc>
          <w:tcPr>
            <w:tcW w:w="220" w:type="dxa"/>
            <w:vAlign w:val="bottom"/>
            <w:tcBorders>
              <w:bottom w:val="single" w:sz="8" w:color="CFF0FC"/>
            </w:tcBorders>
            <w:shd w:val="clear" w:color="auto" w:fill="CFF0FC"/>
          </w:tcPr>
          <w:p>
            <w:pPr>
              <w:jc w:val="right"/>
              <w:ind w:right="142"/>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(911</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6,408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40" w:type="dxa"/>
            <w:vAlign w:val="bottom"/>
            <w:gridSpan w:val="7"/>
          </w:tcPr>
          <w:p>
            <w:pPr>
              <w:ind w:left="20"/>
              <w:spacing w:after="0" w:line="105" w:lineRule="exact"/>
              <w:rPr>
                <w:sz w:val="20"/>
                <w:szCs w:val="20"/>
                <w:color w:val="auto"/>
              </w:rPr>
            </w:pPr>
            <w:r>
              <w:rPr>
                <w:rFonts w:ascii="Arial" w:cs="Arial" w:eastAsia="Arial" w:hAnsi="Arial"/>
                <w:sz w:val="11"/>
                <w:szCs w:val="11"/>
                <w:color w:val="auto"/>
              </w:rPr>
              <w:t>Sierra Hamilton Holdings</w:t>
            </w:r>
          </w:p>
        </w:tc>
        <w:tc>
          <w:tcPr>
            <w:tcW w:w="120" w:type="dxa"/>
            <w:vAlign w:val="bottom"/>
          </w:tcPr>
          <w:p>
            <w:pPr>
              <w:spacing w:after="0"/>
              <w:rPr>
                <w:sz w:val="9"/>
                <w:szCs w:val="9"/>
                <w:color w:val="auto"/>
              </w:rPr>
            </w:pPr>
          </w:p>
        </w:tc>
        <w:tc>
          <w:tcPr>
            <w:tcW w:w="2420" w:type="dxa"/>
            <w:vAlign w:val="bottom"/>
          </w:tcPr>
          <w:p>
            <w:pPr>
              <w:ind w:left="20"/>
              <w:spacing w:after="0" w:line="105" w:lineRule="exact"/>
              <w:rPr>
                <w:sz w:val="20"/>
                <w:szCs w:val="20"/>
                <w:color w:val="auto"/>
              </w:rPr>
            </w:pPr>
            <w:r>
              <w:rPr>
                <w:rFonts w:ascii="Arial" w:cs="Arial" w:eastAsia="Arial" w:hAnsi="Arial"/>
                <w:sz w:val="11"/>
                <w:szCs w:val="11"/>
                <w:color w:val="auto"/>
              </w:rPr>
              <w:t>Second Lien Debt (15.0%, Due 9/12/23)</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440" w:type="dxa"/>
            <w:vAlign w:val="bottom"/>
            <w:gridSpan w:val="7"/>
            <w:shd w:val="clear" w:color="auto" w:fill="CFF0FC"/>
          </w:tcPr>
          <w:p>
            <w:pPr>
              <w:ind w:left="20"/>
              <w:spacing w:after="0" w:line="116" w:lineRule="exact"/>
              <w:rPr>
                <w:sz w:val="20"/>
                <w:szCs w:val="20"/>
                <w:color w:val="auto"/>
              </w:rPr>
            </w:pPr>
            <w:r>
              <w:rPr>
                <w:rFonts w:ascii="Arial" w:cs="Arial" w:eastAsia="Arial" w:hAnsi="Arial"/>
                <w:sz w:val="11"/>
                <w:szCs w:val="11"/>
                <w:color w:val="auto"/>
              </w:rPr>
              <w:t>Sierra Hamilton Holdings</w:t>
            </w:r>
          </w:p>
        </w:tc>
        <w:tc>
          <w:tcPr>
            <w:tcW w:w="120" w:type="dxa"/>
            <w:vAlign w:val="bottom"/>
            <w:shd w:val="clear" w:color="auto" w:fill="CFF0FC"/>
          </w:tcPr>
          <w:p>
            <w:pPr>
              <w:spacing w:after="0"/>
              <w:rPr>
                <w:sz w:val="10"/>
                <w:szCs w:val="10"/>
                <w:color w:val="auto"/>
              </w:rPr>
            </w:pPr>
          </w:p>
        </w:tc>
        <w:tc>
          <w:tcPr>
            <w:tcW w:w="2420" w:type="dxa"/>
            <w:vAlign w:val="bottom"/>
            <w:shd w:val="clear" w:color="auto" w:fill="CFF0FC"/>
          </w:tcPr>
          <w:p>
            <w:pPr>
              <w:ind w:left="20"/>
              <w:spacing w:after="0" w:line="116" w:lineRule="exact"/>
              <w:rPr>
                <w:sz w:val="20"/>
                <w:szCs w:val="20"/>
                <w:color w:val="auto"/>
              </w:rPr>
            </w:pPr>
            <w:r>
              <w:rPr>
                <w:rFonts w:ascii="Arial" w:cs="Arial" w:eastAsia="Arial" w:hAnsi="Arial"/>
                <w:sz w:val="11"/>
                <w:szCs w:val="11"/>
                <w:color w:val="auto"/>
              </w:rPr>
              <w:t>Common Stock (15,068,000 shares)</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22"/>
              <w:spacing w:after="0"/>
              <w:rPr>
                <w:sz w:val="20"/>
                <w:szCs w:val="20"/>
                <w:color w:val="auto"/>
              </w:rPr>
            </w:pPr>
            <w:r>
              <w:rPr>
                <w:rFonts w:ascii="Arial" w:cs="Arial" w:eastAsia="Arial" w:hAnsi="Arial"/>
                <w:sz w:val="11"/>
                <w:szCs w:val="11"/>
                <w:color w:val="auto"/>
              </w:rPr>
              <w:t>(129 )</w:t>
            </w: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440" w:type="dxa"/>
            <w:vAlign w:val="bottom"/>
            <w:gridSpan w:val="7"/>
            <w:shd w:val="clear" w:color="auto" w:fill="CFF0FC"/>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shd w:val="clear" w:color="auto" w:fill="CFF0FC"/>
          </w:tcPr>
          <w:p>
            <w:pPr>
              <w:spacing w:after="0"/>
              <w:rPr>
                <w:sz w:val="11"/>
                <w:szCs w:val="11"/>
                <w:color w:val="auto"/>
              </w:rPr>
            </w:pPr>
          </w:p>
        </w:tc>
        <w:tc>
          <w:tcPr>
            <w:tcW w:w="2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220" w:type="dxa"/>
            <w:vAlign w:val="bottom"/>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1"/>
                <w:szCs w:val="11"/>
                <w:color w:val="auto"/>
              </w:rPr>
              <w:t>(129 )</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4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Second Lien Debt</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gridSpan w:val="6"/>
            <w:shd w:val="clear" w:color="auto" w:fill="CFF0FC"/>
          </w:tcPr>
          <w:p>
            <w:pPr>
              <w:spacing w:after="0"/>
              <w:rPr>
                <w:sz w:val="20"/>
                <w:szCs w:val="20"/>
                <w:color w:val="auto"/>
              </w:rPr>
            </w:pPr>
            <w:r>
              <w:rPr>
                <w:rFonts w:ascii="Arial" w:cs="Arial" w:eastAsia="Arial" w:hAnsi="Arial"/>
                <w:sz w:val="11"/>
                <w:szCs w:val="11"/>
                <w:b w:val="1"/>
                <w:bCs w:val="1"/>
                <w:i w:val="1"/>
                <w:iCs w:val="1"/>
                <w:color w:val="auto"/>
              </w:rPr>
              <w:t>Total Affiliate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24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661</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28,540</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(162</w:t>
            </w:r>
          </w:p>
        </w:tc>
        <w:tc>
          <w:tcPr>
            <w:tcW w:w="220" w:type="dxa"/>
            <w:vAlign w:val="bottom"/>
            <w:tcBorders>
              <w:bottom w:val="single" w:sz="8" w:color="CFF0FC"/>
            </w:tcBorders>
            <w:shd w:val="clear" w:color="auto" w:fill="CFF0FC"/>
          </w:tcPr>
          <w:p>
            <w:pPr>
              <w:jc w:val="right"/>
              <w:ind w:right="142"/>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(2,348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26,716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top w:val="single" w:sz="8" w:color="CFF0FC"/>
            </w:tcBorders>
          </w:tcPr>
          <w:p>
            <w:pPr>
              <w:spacing w:after="0"/>
              <w:rPr>
                <w:sz w:val="7"/>
                <w:szCs w:val="7"/>
                <w:color w:val="auto"/>
              </w:rPr>
            </w:pPr>
          </w:p>
        </w:tc>
        <w:tc>
          <w:tcPr>
            <w:tcW w:w="90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b w:val="1"/>
                <w:bCs w:val="1"/>
                <w:i w:val="1"/>
                <w:iCs w:val="1"/>
                <w:color w:val="auto"/>
              </w:rPr>
              <w:t>Control investments</w:t>
            </w:r>
          </w:p>
        </w:tc>
        <w:tc>
          <w:tcPr>
            <w:tcW w:w="260" w:type="dxa"/>
            <w:vAlign w:val="bottom"/>
            <w:tcBorders>
              <w:top w:val="single" w:sz="8" w:color="auto"/>
            </w:tcBorders>
            <w:gridSpan w:val="4"/>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42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340" w:type="dxa"/>
            <w:vAlign w:val="bottom"/>
            <w:tcBorders>
              <w:top w:val="single" w:sz="8" w:color="CFF0FC"/>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440" w:type="dxa"/>
            <w:vAlign w:val="bottom"/>
            <w:gridSpan w:val="7"/>
            <w:shd w:val="clear" w:color="auto" w:fill="CFF0FC"/>
          </w:tcPr>
          <w:p>
            <w:pPr>
              <w:ind w:left="20"/>
              <w:spacing w:after="0" w:line="112" w:lineRule="exact"/>
              <w:rPr>
                <w:sz w:val="20"/>
                <w:szCs w:val="20"/>
                <w:color w:val="auto"/>
              </w:rPr>
            </w:pPr>
            <w:r>
              <w:rPr>
                <w:rFonts w:ascii="Arial" w:cs="Arial" w:eastAsia="Arial" w:hAnsi="Arial"/>
                <w:sz w:val="11"/>
                <w:szCs w:val="11"/>
                <w:color w:val="auto"/>
              </w:rPr>
              <w:t>Vology, Inc.</w:t>
            </w:r>
          </w:p>
        </w:tc>
        <w:tc>
          <w:tcPr>
            <w:tcW w:w="120" w:type="dxa"/>
            <w:vAlign w:val="bottom"/>
            <w:shd w:val="clear" w:color="auto" w:fill="CFF0FC"/>
          </w:tcPr>
          <w:p>
            <w:pPr>
              <w:spacing w:after="0"/>
              <w:rPr>
                <w:sz w:val="9"/>
                <w:szCs w:val="9"/>
                <w:color w:val="auto"/>
              </w:rPr>
            </w:pPr>
          </w:p>
        </w:tc>
        <w:tc>
          <w:tcPr>
            <w:tcW w:w="2420" w:type="dxa"/>
            <w:vAlign w:val="bottom"/>
            <w:shd w:val="clear" w:color="auto" w:fill="CFF0FC"/>
          </w:tcPr>
          <w:p>
            <w:pPr>
              <w:ind w:left="20"/>
              <w:spacing w:after="0" w:line="112" w:lineRule="exact"/>
              <w:rPr>
                <w:sz w:val="20"/>
                <w:szCs w:val="20"/>
                <w:color w:val="auto"/>
              </w:rPr>
            </w:pPr>
            <w:r>
              <w:rPr>
                <w:rFonts w:ascii="Arial" w:cs="Arial" w:eastAsia="Arial" w:hAnsi="Arial"/>
                <w:sz w:val="11"/>
                <w:szCs w:val="11"/>
                <w:color w:val="auto"/>
                <w:w w:val="91"/>
              </w:rPr>
              <w:t>First Lien Debt (10.5% Cash (1 month LIBOR + 8.5%,</w:t>
            </w: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20" w:type="dxa"/>
            <w:vAlign w:val="bottom"/>
            <w:shd w:val="clear" w:color="auto" w:fill="CFF0FC"/>
          </w:tcPr>
          <w:p>
            <w:pPr>
              <w:ind w:left="20"/>
              <w:spacing w:after="0"/>
              <w:rPr>
                <w:sz w:val="20"/>
                <w:szCs w:val="20"/>
                <w:color w:val="auto"/>
              </w:rPr>
            </w:pPr>
            <w:r>
              <w:rPr>
                <w:rFonts w:ascii="Arial" w:cs="Arial" w:eastAsia="Arial" w:hAnsi="Arial"/>
                <w:sz w:val="11"/>
                <w:szCs w:val="11"/>
                <w:color w:val="auto"/>
              </w:rPr>
              <w:t>2.0% Floor), Due 3/31/22)</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w:t>
            </w:r>
          </w:p>
        </w:tc>
        <w:tc>
          <w:tcPr>
            <w:tcW w:w="300" w:type="dxa"/>
            <w:vAlign w:val="bottom"/>
            <w:gridSpan w:val="2"/>
            <w:shd w:val="clear" w:color="auto" w:fill="CFF0FC"/>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1"/>
                <w:szCs w:val="11"/>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FF0FC"/>
          </w:tcPr>
          <w:p>
            <w:pPr>
              <w:jc w:val="right"/>
              <w:ind w:right="142"/>
              <w:spacing w:after="0"/>
              <w:rPr>
                <w:sz w:val="20"/>
                <w:szCs w:val="20"/>
                <w:color w:val="auto"/>
              </w:rPr>
            </w:pPr>
            <w:r>
              <w:rPr>
                <w:rFonts w:ascii="Arial" w:cs="Arial" w:eastAsia="Arial" w:hAnsi="Arial"/>
                <w:sz w:val="11"/>
                <w:szCs w:val="11"/>
                <w:color w:val="auto"/>
              </w:rPr>
              <w:t>(3,635 )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182"/>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gridSpan w:val="7"/>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Pr>
          <w:p>
            <w:pPr>
              <w:spacing w:after="0"/>
              <w:rPr>
                <w:sz w:val="11"/>
                <w:szCs w:val="11"/>
                <w:color w:val="auto"/>
              </w:rPr>
            </w:pPr>
          </w:p>
        </w:tc>
        <w:tc>
          <w:tcPr>
            <w:tcW w:w="2420" w:type="dxa"/>
            <w:vAlign w:val="bottom"/>
          </w:tcPr>
          <w:p>
            <w:pPr>
              <w:ind w:left="20"/>
              <w:spacing w:after="0"/>
              <w:rPr>
                <w:sz w:val="20"/>
                <w:szCs w:val="20"/>
                <w:color w:val="auto"/>
              </w:rPr>
            </w:pPr>
            <w:r>
              <w:rPr>
                <w:rFonts w:ascii="Arial" w:cs="Arial" w:eastAsia="Arial" w:hAnsi="Arial"/>
                <w:sz w:val="11"/>
                <w:szCs w:val="11"/>
                <w:color w:val="auto"/>
              </w:rPr>
              <w:t>Class A Preferred Units (9,041,810 Units)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3,204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02"/>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(5,215 )</w:t>
            </w:r>
          </w:p>
        </w:tc>
        <w:tc>
          <w:tcPr>
            <w:tcW w:w="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2,011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Borders>
              <w:bottom w:val="single" w:sz="8" w:color="CFF0FC"/>
            </w:tcBorders>
            <w:gridSpan w:val="7"/>
            <w:shd w:val="clear" w:color="auto" w:fill="CFF0FC"/>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Borders>
              <w:bottom w:val="single" w:sz="8" w:color="CFF0FC"/>
            </w:tcBorders>
            <w:shd w:val="clear" w:color="auto" w:fill="CFF0FC"/>
          </w:tcPr>
          <w:p>
            <w:pPr>
              <w:spacing w:after="0"/>
              <w:rPr>
                <w:sz w:val="11"/>
                <w:szCs w:val="11"/>
                <w:color w:val="auto"/>
              </w:rPr>
            </w:pPr>
          </w:p>
        </w:tc>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Membership Units (5,363,982 Units)</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gridSpan w:val="6"/>
          </w:tcPr>
          <w:p>
            <w:pPr>
              <w:spacing w:after="0"/>
              <w:rPr>
                <w:sz w:val="20"/>
                <w:szCs w:val="20"/>
                <w:color w:val="auto"/>
              </w:rPr>
            </w:pPr>
            <w:r>
              <w:rPr>
                <w:rFonts w:ascii="Arial" w:cs="Arial" w:eastAsia="Arial" w:hAnsi="Arial"/>
                <w:sz w:val="11"/>
                <w:szCs w:val="11"/>
                <w:b w:val="1"/>
                <w:bCs w:val="1"/>
                <w:i w:val="1"/>
                <w:iCs w:val="1"/>
                <w:color w:val="auto"/>
              </w:rPr>
              <w:t>Total Control investments</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228</w:t>
            </w:r>
          </w:p>
        </w:tc>
        <w:tc>
          <w:tcPr>
            <w:tcW w:w="300" w:type="dxa"/>
            <w:vAlign w:val="bottom"/>
            <w:gridSpan w:val="2"/>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6,839</w:t>
            </w:r>
          </w:p>
        </w:tc>
        <w:tc>
          <w:tcPr>
            <w:tcW w:w="340" w:type="dxa"/>
            <w:vAlign w:val="bottom"/>
            <w:gridSpan w:val="2"/>
          </w:tcPr>
          <w:p>
            <w:pPr>
              <w:jc w:val="right"/>
              <w:ind w:right="9"/>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2"/>
              <w:spacing w:after="0"/>
              <w:rPr>
                <w:sz w:val="20"/>
                <w:szCs w:val="20"/>
                <w:color w:val="auto"/>
              </w:rPr>
            </w:pPr>
            <w:r>
              <w:rPr>
                <w:rFonts w:ascii="Arial" w:cs="Arial" w:eastAsia="Arial" w:hAnsi="Arial"/>
                <w:sz w:val="11"/>
                <w:szCs w:val="11"/>
                <w:color w:val="auto"/>
              </w:rPr>
              <w:t>(3,635 )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(5,215 )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2,011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-3514090</wp:posOffset>
            </wp:positionV>
            <wp:extent cx="7747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-3514090</wp:posOffset>
            </wp:positionV>
            <wp:extent cx="6858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-3514090</wp:posOffset>
            </wp:positionV>
            <wp:extent cx="6858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-3514090</wp:posOffset>
            </wp:positionV>
            <wp:extent cx="6858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-3514090</wp:posOffset>
            </wp:positionV>
            <wp:extent cx="6858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-3514090</wp:posOffset>
            </wp:positionV>
            <wp:extent cx="6858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-3145155</wp:posOffset>
            </wp:positionV>
            <wp:extent cx="7747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-3145155</wp:posOffset>
            </wp:positionV>
            <wp:extent cx="6858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-3145155</wp:posOffset>
            </wp:positionV>
            <wp:extent cx="6858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-3145155</wp:posOffset>
            </wp:positionV>
            <wp:extent cx="6858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-3145155</wp:posOffset>
            </wp:positionV>
            <wp:extent cx="6858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-3145155</wp:posOffset>
            </wp:positionV>
            <wp:extent cx="6858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-2956560</wp:posOffset>
            </wp:positionV>
            <wp:extent cx="7747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-2956560</wp:posOffset>
            </wp:positionV>
            <wp:extent cx="68580" cy="939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-2956560</wp:posOffset>
            </wp:positionV>
            <wp:extent cx="68580"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-2956560</wp:posOffset>
            </wp:positionV>
            <wp:extent cx="68580" cy="939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-2956560</wp:posOffset>
            </wp:positionV>
            <wp:extent cx="68580" cy="939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-2956560</wp:posOffset>
            </wp:positionV>
            <wp:extent cx="68580" cy="93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-2776855</wp:posOffset>
            </wp:positionV>
            <wp:extent cx="7747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-2776855</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-2776855</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-2776855</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-2776855</wp:posOffset>
            </wp:positionV>
            <wp:extent cx="6858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-2776855</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-2502535</wp:posOffset>
            </wp:positionV>
            <wp:extent cx="77470"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-2502535</wp:posOffset>
            </wp:positionV>
            <wp:extent cx="68580"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-2502535</wp:posOffset>
            </wp:positionV>
            <wp:extent cx="68580" cy="1028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-2502535</wp:posOffset>
            </wp:positionV>
            <wp:extent cx="68580" cy="1028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-2502535</wp:posOffset>
            </wp:positionV>
            <wp:extent cx="6858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-2502535</wp:posOffset>
            </wp:positionV>
            <wp:extent cx="68580"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1028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-1962150</wp:posOffset>
            </wp:positionV>
            <wp:extent cx="7747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-1962150</wp:posOffset>
            </wp:positionV>
            <wp:extent cx="685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-1962150</wp:posOffset>
            </wp:positionV>
            <wp:extent cx="685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-1962150</wp:posOffset>
            </wp:positionV>
            <wp:extent cx="685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-1962150</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-1962150</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-1704975</wp:posOffset>
            </wp:positionV>
            <wp:extent cx="7747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-1704975</wp:posOffset>
            </wp:positionV>
            <wp:extent cx="6858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-1704975</wp:posOffset>
            </wp:positionV>
            <wp:extent cx="685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-1704975</wp:posOffset>
            </wp:positionV>
            <wp:extent cx="6858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-1704975</wp:posOffset>
            </wp:positionV>
            <wp:extent cx="6858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-1704975</wp:posOffset>
            </wp:positionV>
            <wp:extent cx="6858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-1268095</wp:posOffset>
            </wp:positionV>
            <wp:extent cx="7747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-1268095</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-1268095</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-1268095</wp:posOffset>
            </wp:positionV>
            <wp:extent cx="6858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-1268095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-1268095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-942340</wp:posOffset>
            </wp:positionV>
            <wp:extent cx="7747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-942340</wp:posOffset>
            </wp:positionV>
            <wp:extent cx="68580"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-942340</wp:posOffset>
            </wp:positionV>
            <wp:extent cx="68580"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-942340</wp:posOffset>
            </wp:positionV>
            <wp:extent cx="68580"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-942340</wp:posOffset>
            </wp:positionV>
            <wp:extent cx="6858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-942340</wp:posOffset>
            </wp:positionV>
            <wp:extent cx="6858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-753745</wp:posOffset>
            </wp:positionV>
            <wp:extent cx="77470" cy="1028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-753745</wp:posOffset>
            </wp:positionV>
            <wp:extent cx="6858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-753745</wp:posOffset>
            </wp:positionV>
            <wp:extent cx="6858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-753745</wp:posOffset>
            </wp:positionV>
            <wp:extent cx="6858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-753745</wp:posOffset>
            </wp:positionV>
            <wp:extent cx="68580"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-753745</wp:posOffset>
            </wp:positionV>
            <wp:extent cx="6858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-565150</wp:posOffset>
            </wp:positionV>
            <wp:extent cx="3574415" cy="1111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74415" cy="11112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-119380</wp:posOffset>
            </wp:positionV>
            <wp:extent cx="77470" cy="1200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-119380</wp:posOffset>
            </wp:positionV>
            <wp:extent cx="68580" cy="1200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-119380</wp:posOffset>
            </wp:positionV>
            <wp:extent cx="68580" cy="1200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-119380</wp:posOffset>
            </wp:positionV>
            <wp:extent cx="68580" cy="1200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-119380</wp:posOffset>
            </wp:positionV>
            <wp:extent cx="6858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-119380</wp:posOffset>
            </wp:positionV>
            <wp:extent cx="68580" cy="120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Represents the total amount of interest, original issue discount, fees and dividends credited to income for the portion of the year an investment was included in Affiliate or Control</w:t>
      </w:r>
    </w:p>
    <w:p>
      <w:pPr>
        <w:spacing w:after="0" w:line="1" w:lineRule="exact"/>
        <w:rPr>
          <w:sz w:val="20"/>
          <w:szCs w:val="20"/>
          <w:color w:val="auto"/>
        </w:rPr>
      </w:pPr>
    </w:p>
    <w:p>
      <w:pPr>
        <w:sectPr>
          <w:pgSz w:w="11900" w:h="16838" w:orient="portrait"/>
          <w:cols w:equalWidth="0" w:num="2">
            <w:col w:w="140" w:space="320"/>
            <w:col w:w="10780"/>
          </w:cols>
          <w:pgMar w:left="320" w:top="319" w:right="339" w:bottom="1440" w:gutter="0" w:footer="0" w:header="0"/>
        </w:sectPr>
      </w:pPr>
    </w:p>
    <w:p>
      <w:pPr>
        <w:ind w:left="460" w:hanging="439"/>
        <w:spacing w:after="0" w:line="199" w:lineRule="auto"/>
        <w:tabs>
          <w:tab w:leader="none" w:pos="460" w:val="left"/>
        </w:tabs>
        <w:numPr>
          <w:ilvl w:val="0"/>
          <w:numId w:val="18"/>
        </w:numPr>
        <w:rPr>
          <w:rFonts w:ascii="Arial" w:cs="Arial" w:eastAsia="Arial" w:hAnsi="Arial"/>
          <w:sz w:val="19"/>
          <w:szCs w:val="19"/>
          <w:color w:val="auto"/>
          <w:vertAlign w:val="subscript"/>
        </w:rPr>
      </w:pPr>
      <w:r>
        <w:rPr>
          <w:rFonts w:ascii="Arial" w:cs="Arial" w:eastAsia="Arial" w:hAnsi="Arial"/>
          <w:sz w:val="14"/>
          <w:szCs w:val="14"/>
          <w:color w:val="auto"/>
        </w:rPr>
        <w:t>categories, respectively.</w:t>
      </w:r>
    </w:p>
    <w:p>
      <w:pPr>
        <w:spacing w:after="0" w:line="5" w:lineRule="exact"/>
        <w:rPr>
          <w:rFonts w:ascii="Arial" w:cs="Arial" w:eastAsia="Arial" w:hAnsi="Arial"/>
          <w:sz w:val="19"/>
          <w:szCs w:val="19"/>
          <w:color w:val="auto"/>
          <w:vertAlign w:val="subscript"/>
        </w:rPr>
      </w:pPr>
    </w:p>
    <w:p>
      <w:pPr>
        <w:ind w:left="460"/>
        <w:spacing w:after="0"/>
        <w:rPr>
          <w:rFonts w:ascii="Arial" w:cs="Arial" w:eastAsia="Arial" w:hAnsi="Arial"/>
          <w:sz w:val="19"/>
          <w:szCs w:val="19"/>
          <w:color w:val="auto"/>
          <w:vertAlign w:val="subscript"/>
        </w:rPr>
      </w:pPr>
      <w:r>
        <w:rPr>
          <w:rFonts w:ascii="Arial" w:cs="Arial" w:eastAsia="Arial" w:hAnsi="Arial"/>
          <w:sz w:val="13"/>
          <w:szCs w:val="13"/>
          <w:color w:val="auto"/>
        </w:rPr>
        <w:t>Gross additions include increases in the cost basis of investments resulting from new portfolio investments, follow-on investments, accrued PIK and accretion of original issue discount.</w:t>
      </w:r>
    </w:p>
    <w:p>
      <w:pPr>
        <w:ind w:left="460" w:hanging="439"/>
        <w:spacing w:after="0" w:line="186" w:lineRule="auto"/>
        <w:tabs>
          <w:tab w:leader="none" w:pos="460" w:val="left"/>
        </w:tabs>
        <w:numPr>
          <w:ilvl w:val="0"/>
          <w:numId w:val="18"/>
        </w:numPr>
        <w:rPr>
          <w:rFonts w:ascii="Arial" w:cs="Arial" w:eastAsia="Arial" w:hAnsi="Arial"/>
          <w:sz w:val="19"/>
          <w:szCs w:val="19"/>
          <w:color w:val="auto"/>
          <w:vertAlign w:val="subscript"/>
        </w:rPr>
      </w:pPr>
      <w:r>
        <w:rPr>
          <w:rFonts w:ascii="Arial" w:cs="Arial" w:eastAsia="Arial" w:hAnsi="Arial"/>
          <w:sz w:val="14"/>
          <w:szCs w:val="14"/>
          <w:color w:val="auto"/>
        </w:rPr>
        <w:t>Gross additions also include transfers into Affiliate or Control classification.</w:t>
      </w:r>
    </w:p>
    <w:p>
      <w:pPr>
        <w:spacing w:after="0" w:line="6" w:lineRule="exact"/>
        <w:rPr>
          <w:rFonts w:ascii="Arial" w:cs="Arial" w:eastAsia="Arial" w:hAnsi="Arial"/>
          <w:sz w:val="19"/>
          <w:szCs w:val="19"/>
          <w:color w:val="auto"/>
          <w:vertAlign w:val="subscript"/>
        </w:rPr>
      </w:pPr>
    </w:p>
    <w:p>
      <w:pPr>
        <w:ind w:left="460"/>
        <w:spacing w:after="0"/>
        <w:rPr>
          <w:rFonts w:ascii="Arial" w:cs="Arial" w:eastAsia="Arial" w:hAnsi="Arial"/>
          <w:sz w:val="19"/>
          <w:szCs w:val="19"/>
          <w:color w:val="auto"/>
          <w:vertAlign w:val="subscript"/>
        </w:rPr>
      </w:pPr>
      <w:r>
        <w:rPr>
          <w:rFonts w:ascii="Arial" w:cs="Arial" w:eastAsia="Arial" w:hAnsi="Arial"/>
          <w:sz w:val="13"/>
          <w:szCs w:val="13"/>
          <w:color w:val="auto"/>
        </w:rPr>
        <w:t>Gross reductions include decreases in the cost basis of investments resulting from principal repayments and sales. Gross reductions also include transfers out of Affiliate or Control</w:t>
      </w:r>
    </w:p>
    <w:p>
      <w:pPr>
        <w:ind w:left="460" w:hanging="439"/>
        <w:spacing w:after="0" w:line="186" w:lineRule="auto"/>
        <w:tabs>
          <w:tab w:leader="none" w:pos="460" w:val="left"/>
        </w:tabs>
        <w:numPr>
          <w:ilvl w:val="0"/>
          <w:numId w:val="18"/>
        </w:numPr>
        <w:rPr>
          <w:rFonts w:ascii="Arial" w:cs="Arial" w:eastAsia="Arial" w:hAnsi="Arial"/>
          <w:sz w:val="19"/>
          <w:szCs w:val="19"/>
          <w:color w:val="auto"/>
          <w:vertAlign w:val="subscript"/>
        </w:rPr>
      </w:pPr>
      <w:r>
        <w:rPr>
          <w:rFonts w:ascii="Arial" w:cs="Arial" w:eastAsia="Arial" w:hAnsi="Arial"/>
          <w:sz w:val="14"/>
          <w:szCs w:val="14"/>
          <w:color w:val="auto"/>
        </w:rPr>
        <w:t>classification.</w:t>
      </w:r>
    </w:p>
    <w:p>
      <w:pPr>
        <w:spacing w:after="0" w:line="6" w:lineRule="exact"/>
        <w:rPr>
          <w:rFonts w:ascii="Arial" w:cs="Arial" w:eastAsia="Arial" w:hAnsi="Arial"/>
          <w:sz w:val="19"/>
          <w:szCs w:val="19"/>
          <w:color w:val="auto"/>
          <w:vertAlign w:val="subscript"/>
        </w:rPr>
      </w:pPr>
    </w:p>
    <w:p>
      <w:pPr>
        <w:ind w:left="460" w:hanging="439"/>
        <w:spacing w:after="0" w:line="186" w:lineRule="auto"/>
        <w:tabs>
          <w:tab w:leader="none" w:pos="460" w:val="left"/>
        </w:tabs>
        <w:numPr>
          <w:ilvl w:val="0"/>
          <w:numId w:val="18"/>
        </w:numPr>
        <w:rPr>
          <w:rFonts w:ascii="Arial" w:cs="Arial" w:eastAsia="Arial" w:hAnsi="Arial"/>
          <w:sz w:val="19"/>
          <w:szCs w:val="19"/>
          <w:color w:val="auto"/>
          <w:vertAlign w:val="subscript"/>
        </w:rPr>
      </w:pPr>
      <w:r>
        <w:rPr>
          <w:rFonts w:ascii="Arial" w:cs="Arial" w:eastAsia="Arial" w:hAnsi="Arial"/>
          <w:sz w:val="14"/>
          <w:szCs w:val="14"/>
          <w:color w:val="auto"/>
        </w:rPr>
        <w:t>All debt investments are income producing. Equity and warrant investments are non-income producing, unless otherwise noted.</w:t>
      </w:r>
    </w:p>
    <w:p>
      <w:pPr>
        <w:spacing w:after="0" w:line="6" w:lineRule="exact"/>
        <w:rPr>
          <w:rFonts w:ascii="Arial" w:cs="Arial" w:eastAsia="Arial" w:hAnsi="Arial"/>
          <w:sz w:val="19"/>
          <w:szCs w:val="19"/>
          <w:color w:val="auto"/>
          <w:vertAlign w:val="subscript"/>
        </w:rPr>
      </w:pPr>
    </w:p>
    <w:p>
      <w:pPr>
        <w:ind w:left="460" w:hanging="439"/>
        <w:spacing w:after="0" w:line="186" w:lineRule="auto"/>
        <w:tabs>
          <w:tab w:leader="none" w:pos="460" w:val="left"/>
        </w:tabs>
        <w:numPr>
          <w:ilvl w:val="0"/>
          <w:numId w:val="18"/>
        </w:numPr>
        <w:rPr>
          <w:rFonts w:ascii="Arial" w:cs="Arial" w:eastAsia="Arial" w:hAnsi="Arial"/>
          <w:sz w:val="19"/>
          <w:szCs w:val="19"/>
          <w:color w:val="auto"/>
          <w:vertAlign w:val="subscript"/>
        </w:rPr>
      </w:pPr>
      <w:r>
        <w:rPr>
          <w:rFonts w:ascii="Arial" w:cs="Arial" w:eastAsia="Arial" w:hAnsi="Arial"/>
          <w:sz w:val="14"/>
          <w:szCs w:val="14"/>
          <w:color w:val="auto"/>
        </w:rPr>
        <w:t>The equity investment is income producing, based on rate disclosed.</w:t>
      </w:r>
    </w:p>
    <w:p>
      <w:pPr>
        <w:spacing w:after="0" w:line="6" w:lineRule="exact"/>
        <w:rPr>
          <w:rFonts w:ascii="Arial" w:cs="Arial" w:eastAsia="Arial" w:hAnsi="Arial"/>
          <w:sz w:val="19"/>
          <w:szCs w:val="19"/>
          <w:color w:val="auto"/>
          <w:vertAlign w:val="subscript"/>
        </w:rPr>
      </w:pPr>
    </w:p>
    <w:p>
      <w:pPr>
        <w:jc w:val="both"/>
        <w:ind w:left="460" w:right="20"/>
        <w:spacing w:after="0" w:line="232" w:lineRule="auto"/>
        <w:rPr>
          <w:rFonts w:ascii="Arial" w:cs="Arial" w:eastAsia="Arial" w:hAnsi="Arial"/>
          <w:sz w:val="19"/>
          <w:szCs w:val="19"/>
          <w:color w:val="auto"/>
          <w:vertAlign w:val="subscript"/>
        </w:rPr>
      </w:pPr>
      <w:r>
        <w:rPr>
          <w:rFonts w:ascii="Arial" w:cs="Arial" w:eastAsia="Arial" w:hAnsi="Arial"/>
          <w:sz w:val="14"/>
          <w:szCs w:val="14"/>
          <w:color w:val="auto"/>
        </w:rPr>
        <w:t>During the second quarter of 2022, Eastport Holdings, LLC completed a refinancing and recapitalization transaction. Logan Ridge received $16.5 million in cash and $19.3 million in principal of a new debt security in exchange for all of its previous debt and equity securities, which resulted in a realized gain of approximately $16.0 million on the Company's equity interest. As a result of this transaction, Eastport Holdings, LLC is no longer an affiliate of the Company.</w:t>
      </w:r>
    </w:p>
    <w:p>
      <w:pPr>
        <w:spacing w:after="0" w:line="102" w:lineRule="exact"/>
        <w:rPr>
          <w:sz w:val="20"/>
          <w:szCs w:val="20"/>
          <w:color w:val="auto"/>
        </w:rPr>
      </w:pPr>
    </w:p>
    <w:p>
      <w:pPr>
        <w:ind w:firstLine="749"/>
        <w:spacing w:after="0" w:line="273" w:lineRule="auto"/>
        <w:rPr>
          <w:sz w:val="20"/>
          <w:szCs w:val="20"/>
          <w:color w:val="auto"/>
        </w:rPr>
      </w:pPr>
      <w:r>
        <w:rPr>
          <w:rFonts w:ascii="Arial" w:cs="Arial" w:eastAsia="Arial" w:hAnsi="Arial"/>
          <w:sz w:val="14"/>
          <w:szCs w:val="14"/>
          <w:color w:val="auto"/>
        </w:rPr>
        <w:t>During the year ended December 31, 2021, the Company had investments in portfolio companies designated as affiliates under the 1940 Act. Transactions with affiliates were as follows (dollars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auto"/>
                <w:w w:val="90"/>
              </w:rPr>
              <w:t>Amount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87"/>
              </w:rPr>
              <w:t>Interest, Fees</w:t>
            </w:r>
          </w:p>
        </w:tc>
        <w:tc>
          <w:tcPr>
            <w:tcW w:w="240" w:type="dxa"/>
            <w:vAlign w:val="bottom"/>
          </w:tcPr>
          <w:p>
            <w:pPr>
              <w:spacing w:after="0"/>
              <w:rPr>
                <w:sz w:val="9"/>
                <w:szCs w:val="9"/>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6"/>
              </w:rPr>
              <w:t>December 31,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62"/>
              <w:spacing w:after="0"/>
              <w:rPr>
                <w:sz w:val="20"/>
                <w:szCs w:val="20"/>
                <w:color w:val="auto"/>
              </w:rPr>
            </w:pPr>
            <w:r>
              <w:rPr>
                <w:rFonts w:ascii="Arial" w:cs="Arial" w:eastAsia="Arial" w:hAnsi="Arial"/>
                <w:sz w:val="11"/>
                <w:szCs w:val="11"/>
                <w:b w:val="1"/>
                <w:bCs w:val="1"/>
                <w:color w:val="auto"/>
                <w:w w:val="89"/>
              </w:rPr>
              <w:t>Unrealized</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6"/>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89"/>
              </w:rPr>
              <w:t>or Dividends</w:t>
            </w:r>
          </w:p>
        </w:tc>
        <w:tc>
          <w:tcPr>
            <w:tcW w:w="2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560" w:type="dxa"/>
            <w:vAlign w:val="bottom"/>
            <w:gridSpan w:val="5"/>
            <w:vMerge w:val="restart"/>
          </w:tcPr>
          <w:p>
            <w:pPr>
              <w:ind w:left="500"/>
              <w:spacing w:after="0"/>
              <w:rPr>
                <w:sz w:val="20"/>
                <w:szCs w:val="20"/>
                <w:color w:val="auto"/>
              </w:rPr>
            </w:pPr>
            <w:r>
              <w:rPr>
                <w:rFonts w:ascii="Arial" w:cs="Arial" w:eastAsia="Arial" w:hAnsi="Arial"/>
                <w:sz w:val="11"/>
                <w:szCs w:val="11"/>
                <w:b w:val="1"/>
                <w:bCs w:val="1"/>
                <w:color w:val="auto"/>
              </w:rPr>
              <w:t xml:space="preserve">Company </w:t>
            </w:r>
            <w:r>
              <w:rPr>
                <w:rFonts w:ascii="Arial" w:cs="Arial" w:eastAsia="Arial" w:hAnsi="Arial"/>
                <w:sz w:val="14"/>
                <w:szCs w:val="14"/>
                <w:b w:val="1"/>
                <w:bCs w:val="1"/>
                <w:color w:val="auto"/>
                <w:vertAlign w:val="superscript"/>
              </w:rPr>
              <w:t>(4)</w:t>
            </w:r>
          </w:p>
        </w:tc>
        <w:tc>
          <w:tcPr>
            <w:tcW w:w="120" w:type="dxa"/>
            <w:vAlign w:val="bottom"/>
          </w:tcPr>
          <w:p>
            <w:pPr>
              <w:spacing w:after="0"/>
              <w:rPr>
                <w:sz w:val="10"/>
                <w:szCs w:val="10"/>
                <w:color w:val="auto"/>
              </w:rPr>
            </w:pPr>
          </w:p>
        </w:tc>
        <w:tc>
          <w:tcPr>
            <w:tcW w:w="2120" w:type="dxa"/>
            <w:vAlign w:val="bottom"/>
            <w:vMerge w:val="restart"/>
          </w:tcPr>
          <w:p>
            <w:pPr>
              <w:ind w:left="620"/>
              <w:spacing w:after="0"/>
              <w:rPr>
                <w:sz w:val="20"/>
                <w:szCs w:val="20"/>
                <w:color w:val="auto"/>
              </w:rPr>
            </w:pPr>
            <w:r>
              <w:rPr>
                <w:rFonts w:ascii="Arial" w:cs="Arial" w:eastAsia="Arial" w:hAnsi="Arial"/>
                <w:sz w:val="11"/>
                <w:szCs w:val="11"/>
                <w:b w:val="1"/>
                <w:bCs w:val="1"/>
                <w:color w:val="auto"/>
              </w:rPr>
              <w:t>Type of Investment</w:t>
            </w:r>
          </w:p>
        </w:tc>
        <w:tc>
          <w:tcPr>
            <w:tcW w:w="120" w:type="dxa"/>
            <w:vAlign w:val="bottom"/>
          </w:tcPr>
          <w:p>
            <w:pPr>
              <w:spacing w:after="0"/>
              <w:rPr>
                <w:sz w:val="10"/>
                <w:szCs w:val="10"/>
                <w:color w:val="auto"/>
              </w:rPr>
            </w:pPr>
          </w:p>
        </w:tc>
        <w:tc>
          <w:tcPr>
            <w:tcW w:w="54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auto"/>
                <w:w w:val="98"/>
              </w:rPr>
              <w:t>Principal</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9"/>
              </w:rPr>
              <w:t>Credited to</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9"/>
              </w:rPr>
              <w:t>2020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w w:val="94"/>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jc w:val="center"/>
              <w:ind w:right="380"/>
              <w:spacing w:after="0" w:line="122" w:lineRule="exact"/>
              <w:rPr>
                <w:sz w:val="20"/>
                <w:szCs w:val="20"/>
                <w:color w:val="auto"/>
              </w:rPr>
            </w:pPr>
            <w:r>
              <w:rPr>
                <w:rFonts w:ascii="Arial" w:cs="Arial" w:eastAsia="Arial" w:hAnsi="Arial"/>
                <w:sz w:val="11"/>
                <w:szCs w:val="11"/>
                <w:b w:val="1"/>
                <w:bCs w:val="1"/>
                <w:color w:val="auto"/>
                <w:w w:val="87"/>
              </w:rPr>
              <w:t>Gross</w:t>
            </w:r>
          </w:p>
        </w:tc>
        <w:tc>
          <w:tcPr>
            <w:tcW w:w="100" w:type="dxa"/>
            <w:vAlign w:val="bottom"/>
          </w:tcPr>
          <w:p>
            <w:pPr>
              <w:spacing w:after="0"/>
              <w:rPr>
                <w:sz w:val="10"/>
                <w:szCs w:val="10"/>
                <w:color w:val="auto"/>
              </w:rPr>
            </w:pPr>
          </w:p>
        </w:tc>
        <w:tc>
          <w:tcPr>
            <w:tcW w:w="56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w w:val="89"/>
              </w:rPr>
              <w:t>Realized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62"/>
              <w:spacing w:after="0" w:line="122" w:lineRule="exact"/>
              <w:rPr>
                <w:sz w:val="20"/>
                <w:szCs w:val="20"/>
                <w:color w:val="auto"/>
              </w:rPr>
            </w:pPr>
            <w:r>
              <w:rPr>
                <w:rFonts w:ascii="Arial" w:cs="Arial" w:eastAsia="Arial" w:hAnsi="Arial"/>
                <w:sz w:val="11"/>
                <w:szCs w:val="11"/>
                <w:b w:val="1"/>
                <w:bCs w:val="1"/>
                <w:color w:val="auto"/>
                <w:w w:val="92"/>
              </w:rPr>
              <w:t>Appreciation</w:t>
            </w:r>
          </w:p>
        </w:tc>
        <w:tc>
          <w:tcPr>
            <w:tcW w:w="10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86"/>
              </w:rPr>
              <w:t>Amount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ind w:right="6"/>
              <w:spacing w:after="0" w:line="149" w:lineRule="exact"/>
              <w:rPr>
                <w:sz w:val="20"/>
                <w:szCs w:val="20"/>
                <w:color w:val="auto"/>
              </w:rPr>
            </w:pPr>
            <w:r>
              <w:rPr>
                <w:rFonts w:ascii="Arial" w:cs="Arial" w:eastAsia="Arial" w:hAnsi="Arial"/>
                <w:sz w:val="11"/>
                <w:szCs w:val="11"/>
                <w:b w:val="1"/>
                <w:bCs w:val="1"/>
                <w:color w:val="auto"/>
                <w:w w:val="82"/>
              </w:rPr>
              <w:t xml:space="preserve">Income </w:t>
            </w:r>
            <w:r>
              <w:rPr>
                <w:rFonts w:ascii="Arial" w:cs="Arial" w:eastAsia="Arial" w:hAnsi="Arial"/>
                <w:sz w:val="14"/>
                <w:szCs w:val="14"/>
                <w:b w:val="1"/>
                <w:bCs w:val="1"/>
                <w:color w:val="auto"/>
                <w:w w:val="82"/>
                <w:vertAlign w:val="superscript"/>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Fair Value</w:t>
            </w:r>
          </w:p>
        </w:tc>
        <w:tc>
          <w:tcPr>
            <w:tcW w:w="220" w:type="dxa"/>
            <w:vAlign w:val="bottom"/>
          </w:tcPr>
          <w:p>
            <w:pPr>
              <w:spacing w:after="0"/>
              <w:rPr>
                <w:sz w:val="12"/>
                <w:szCs w:val="12"/>
                <w:color w:val="auto"/>
              </w:rPr>
            </w:pPr>
          </w:p>
        </w:tc>
        <w:tc>
          <w:tcPr>
            <w:tcW w:w="680" w:type="dxa"/>
            <w:vAlign w:val="bottom"/>
            <w:gridSpan w:val="2"/>
          </w:tcPr>
          <w:p>
            <w:pPr>
              <w:jc w:val="right"/>
              <w:ind w:right="6"/>
              <w:spacing w:after="0" w:line="149" w:lineRule="exact"/>
              <w:rPr>
                <w:sz w:val="20"/>
                <w:szCs w:val="20"/>
                <w:color w:val="auto"/>
              </w:rPr>
            </w:pPr>
            <w:r>
              <w:rPr>
                <w:rFonts w:ascii="Arial" w:cs="Arial" w:eastAsia="Arial" w:hAnsi="Arial"/>
                <w:sz w:val="11"/>
                <w:szCs w:val="11"/>
                <w:b w:val="1"/>
                <w:bCs w:val="1"/>
                <w:color w:val="auto"/>
                <w:w w:val="91"/>
              </w:rPr>
              <w:t xml:space="preserve">Additions </w:t>
            </w:r>
            <w:r>
              <w:rPr>
                <w:rFonts w:ascii="Arial" w:cs="Arial" w:eastAsia="Arial" w:hAnsi="Arial"/>
                <w:sz w:val="14"/>
                <w:szCs w:val="14"/>
                <w:b w:val="1"/>
                <w:bCs w:val="1"/>
                <w:color w:val="auto"/>
                <w:w w:val="91"/>
                <w:vertAlign w:val="superscript"/>
              </w:rPr>
              <w:t>(2)</w:t>
            </w:r>
          </w:p>
        </w:tc>
        <w:tc>
          <w:tcPr>
            <w:tcW w:w="220" w:type="dxa"/>
            <w:vAlign w:val="bottom"/>
          </w:tcPr>
          <w:p>
            <w:pPr>
              <w:spacing w:after="0"/>
              <w:rPr>
                <w:sz w:val="12"/>
                <w:szCs w:val="12"/>
                <w:color w:val="auto"/>
              </w:rPr>
            </w:pPr>
          </w:p>
        </w:tc>
        <w:tc>
          <w:tcPr>
            <w:tcW w:w="920" w:type="dxa"/>
            <w:vAlign w:val="bottom"/>
            <w:gridSpan w:val="4"/>
          </w:tcPr>
          <w:p>
            <w:pPr>
              <w:jc w:val="center"/>
              <w:ind w:right="220"/>
              <w:spacing w:after="0" w:line="149" w:lineRule="exact"/>
              <w:rPr>
                <w:sz w:val="20"/>
                <w:szCs w:val="20"/>
                <w:color w:val="auto"/>
              </w:rPr>
            </w:pPr>
            <w:r>
              <w:rPr>
                <w:rFonts w:ascii="Arial" w:cs="Arial" w:eastAsia="Arial" w:hAnsi="Arial"/>
                <w:sz w:val="11"/>
                <w:szCs w:val="11"/>
                <w:b w:val="1"/>
                <w:bCs w:val="1"/>
                <w:color w:val="auto"/>
                <w:w w:val="83"/>
              </w:rPr>
              <w:t xml:space="preserve">Reductions </w:t>
            </w:r>
            <w:r>
              <w:rPr>
                <w:rFonts w:ascii="Arial" w:cs="Arial" w:eastAsia="Arial" w:hAnsi="Arial"/>
                <w:sz w:val="14"/>
                <w:szCs w:val="14"/>
                <w:b w:val="1"/>
                <w:bCs w:val="1"/>
                <w:color w:val="auto"/>
                <w:w w:val="83"/>
                <w:vertAlign w:val="superscript"/>
              </w:rPr>
              <w:t>(3)</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5"/>
              </w:rPr>
              <w:t>Gain/(Loss)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42"/>
              <w:spacing w:after="0"/>
              <w:rPr>
                <w:sz w:val="20"/>
                <w:szCs w:val="20"/>
                <w:color w:val="auto"/>
              </w:rPr>
            </w:pPr>
            <w:r>
              <w:rPr>
                <w:rFonts w:ascii="Arial" w:cs="Arial" w:eastAsia="Arial" w:hAnsi="Arial"/>
                <w:sz w:val="11"/>
                <w:szCs w:val="11"/>
                <w:b w:val="1"/>
                <w:bCs w:val="1"/>
                <w:color w:val="auto"/>
                <w:w w:val="91"/>
              </w:rPr>
              <w:t>(Depreciation)</w:t>
            </w:r>
          </w:p>
        </w:tc>
        <w:tc>
          <w:tcPr>
            <w:tcW w:w="100" w:type="dxa"/>
            <w:vAlign w:val="bottom"/>
          </w:tcPr>
          <w:p>
            <w:pPr>
              <w:spacing w:after="0"/>
              <w:rPr>
                <w:sz w:val="12"/>
                <w:szCs w:val="12"/>
                <w:color w:val="auto"/>
              </w:rPr>
            </w:pPr>
          </w:p>
        </w:tc>
        <w:tc>
          <w:tcPr>
            <w:tcW w:w="66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Borders>
              <w:top w:val="single" w:sz="8" w:color="auto"/>
              <w:bottom w:val="single" w:sz="8" w:color="CFF0FC"/>
            </w:tcBorders>
            <w:shd w:val="clear" w:color="auto" w:fill="CFF0FC"/>
          </w:tcPr>
          <w:p>
            <w:pPr>
              <w:spacing w:after="0"/>
              <w:rPr>
                <w:sz w:val="9"/>
                <w:szCs w:val="9"/>
                <w:color w:val="auto"/>
              </w:rPr>
            </w:pPr>
          </w:p>
        </w:tc>
        <w:tc>
          <w:tcPr>
            <w:tcW w:w="920" w:type="dxa"/>
            <w:vAlign w:val="bottom"/>
            <w:tcBorders>
              <w:top w:val="single" w:sz="8" w:color="auto"/>
              <w:bottom w:val="single" w:sz="8" w:color="auto"/>
            </w:tcBorders>
            <w:gridSpan w:val="2"/>
            <w:shd w:val="clear" w:color="auto" w:fill="CFF0FC"/>
          </w:tcPr>
          <w:p>
            <w:pPr>
              <w:spacing w:after="0" w:line="102" w:lineRule="exact"/>
              <w:rPr>
                <w:sz w:val="20"/>
                <w:szCs w:val="20"/>
                <w:color w:val="auto"/>
              </w:rPr>
            </w:pPr>
            <w:r>
              <w:rPr>
                <w:rFonts w:ascii="Arial" w:cs="Arial" w:eastAsia="Arial" w:hAnsi="Arial"/>
                <w:sz w:val="11"/>
                <w:szCs w:val="11"/>
                <w:b w:val="1"/>
                <w:bCs w:val="1"/>
                <w:i w:val="1"/>
                <w:iCs w:val="1"/>
                <w:color w:val="auto"/>
                <w:w w:val="83"/>
              </w:rPr>
              <w:t>Affiliate investments</w:t>
            </w:r>
          </w:p>
        </w:tc>
        <w:tc>
          <w:tcPr>
            <w:tcW w:w="640" w:type="dxa"/>
            <w:vAlign w:val="bottom"/>
            <w:tcBorders>
              <w:top w:val="single" w:sz="8" w:color="auto"/>
              <w:bottom w:val="single" w:sz="8" w:color="CFF0FC"/>
            </w:tcBorders>
            <w:gridSpan w:val="3"/>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12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460" w:type="dxa"/>
            <w:vAlign w:val="bottom"/>
            <w:tcBorders>
              <w:top w:val="single" w:sz="8" w:color="auto"/>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CFF0FC"/>
            </w:tcBorders>
            <w:shd w:val="clear" w:color="auto" w:fill="CFF0FC"/>
          </w:tcPr>
          <w:p>
            <w:pPr>
              <w:spacing w:after="0"/>
              <w:rPr>
                <w:sz w:val="9"/>
                <w:szCs w:val="9"/>
                <w:color w:val="auto"/>
              </w:rPr>
            </w:pPr>
          </w:p>
        </w:tc>
        <w:tc>
          <w:tcPr>
            <w:tcW w:w="700" w:type="dxa"/>
            <w:vAlign w:val="bottom"/>
            <w:tcBorders>
              <w:top w:val="single" w:sz="8" w:color="auto"/>
              <w:bottom w:val="single" w:sz="8" w:color="CFF0FC"/>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620" w:type="dxa"/>
            <w:vAlign w:val="bottom"/>
            <w:tcBorders>
              <w:top w:val="single" w:sz="8" w:color="auto"/>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CFF0FC"/>
            </w:tcBorders>
            <w:shd w:val="clear" w:color="auto" w:fill="CFF0FC"/>
          </w:tcPr>
          <w:p>
            <w:pPr>
              <w:spacing w:after="0"/>
              <w:rPr>
                <w:sz w:val="9"/>
                <w:szCs w:val="9"/>
                <w:color w:val="auto"/>
              </w:rPr>
            </w:pPr>
          </w:p>
        </w:tc>
        <w:tc>
          <w:tcPr>
            <w:tcW w:w="540" w:type="dxa"/>
            <w:vAlign w:val="bottom"/>
            <w:tcBorders>
              <w:top w:val="single" w:sz="8" w:color="auto"/>
              <w:bottom w:val="single" w:sz="8" w:color="CFF0FC"/>
            </w:tcBorders>
            <w:shd w:val="clear" w:color="auto" w:fill="CFF0FC"/>
          </w:tcPr>
          <w:p>
            <w:pPr>
              <w:spacing w:after="0"/>
              <w:rPr>
                <w:sz w:val="9"/>
                <w:szCs w:val="9"/>
                <w:color w:val="auto"/>
              </w:rPr>
            </w:pPr>
          </w:p>
        </w:tc>
        <w:tc>
          <w:tcPr>
            <w:tcW w:w="220" w:type="dxa"/>
            <w:vAlign w:val="bottom"/>
            <w:tcBorders>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CFF0FC"/>
            </w:tcBorders>
            <w:shd w:val="clear" w:color="auto" w:fill="CFF0FC"/>
          </w:tcPr>
          <w:p>
            <w:pPr>
              <w:spacing w:after="0"/>
              <w:rPr>
                <w:sz w:val="9"/>
                <w:szCs w:val="9"/>
                <w:color w:val="auto"/>
              </w:rPr>
            </w:pPr>
          </w:p>
        </w:tc>
        <w:tc>
          <w:tcPr>
            <w:tcW w:w="56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560" w:type="dxa"/>
            <w:vAlign w:val="bottom"/>
            <w:tcBorders>
              <w:top w:val="single" w:sz="8" w:color="auto"/>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760" w:type="dxa"/>
            <w:vAlign w:val="bottom"/>
            <w:tcBorders>
              <w:top w:val="single" w:sz="8" w:color="auto"/>
              <w:bottom w:val="single" w:sz="8" w:color="CFF0FC"/>
            </w:tcBorders>
            <w:shd w:val="clear" w:color="auto" w:fill="CFF0FC"/>
          </w:tcPr>
          <w:p>
            <w:pPr>
              <w:spacing w:after="0"/>
              <w:rPr>
                <w:sz w:val="9"/>
                <w:szCs w:val="9"/>
                <w:color w:val="auto"/>
              </w:rPr>
            </w:pPr>
          </w:p>
        </w:tc>
        <w:tc>
          <w:tcPr>
            <w:tcW w:w="2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66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80" w:type="dxa"/>
            <w:vAlign w:val="bottom"/>
            <w:gridSpan w:val="6"/>
          </w:tcPr>
          <w:p>
            <w:pPr>
              <w:ind w:left="20"/>
              <w:spacing w:after="0" w:line="112" w:lineRule="exact"/>
              <w:rPr>
                <w:sz w:val="20"/>
                <w:szCs w:val="20"/>
                <w:color w:val="auto"/>
              </w:rPr>
            </w:pPr>
            <w:r>
              <w:rPr>
                <w:rFonts w:ascii="Arial" w:cs="Arial" w:eastAsia="Arial" w:hAnsi="Arial"/>
                <w:sz w:val="11"/>
                <w:szCs w:val="11"/>
                <w:color w:val="auto"/>
              </w:rPr>
              <w:t>Burgaflex Holdings, LLC</w:t>
            </w:r>
          </w:p>
        </w:tc>
        <w:tc>
          <w:tcPr>
            <w:tcW w:w="120" w:type="dxa"/>
            <w:vAlign w:val="bottom"/>
          </w:tcPr>
          <w:p>
            <w:pPr>
              <w:spacing w:after="0"/>
              <w:rPr>
                <w:sz w:val="9"/>
                <w:szCs w:val="9"/>
                <w:color w:val="auto"/>
              </w:rPr>
            </w:pPr>
          </w:p>
        </w:tc>
        <w:tc>
          <w:tcPr>
            <w:tcW w:w="2120" w:type="dxa"/>
            <w:vAlign w:val="bottom"/>
          </w:tcPr>
          <w:p>
            <w:pPr>
              <w:spacing w:after="0" w:line="112" w:lineRule="exact"/>
              <w:rPr>
                <w:sz w:val="20"/>
                <w:szCs w:val="20"/>
                <w:color w:val="auto"/>
              </w:rPr>
            </w:pPr>
            <w:r>
              <w:rPr>
                <w:rFonts w:ascii="Arial" w:cs="Arial" w:eastAsia="Arial" w:hAnsi="Arial"/>
                <w:sz w:val="11"/>
                <w:szCs w:val="11"/>
                <w:color w:val="auto"/>
                <w:w w:val="97"/>
              </w:rPr>
              <w:t>First Lien Debt (12.0% Cash, 3.0% PIK, Due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2"/>
          </w:tcPr>
          <w:p>
            <w:pPr>
              <w:ind w:left="120"/>
              <w:spacing w:after="0"/>
              <w:rPr>
                <w:sz w:val="20"/>
                <w:szCs w:val="20"/>
                <w:color w:val="auto"/>
              </w:rPr>
            </w:pPr>
            <w:r>
              <w:rPr>
                <w:rFonts w:ascii="Arial" w:cs="Arial" w:eastAsia="Arial" w:hAnsi="Arial"/>
                <w:sz w:val="11"/>
                <w:szCs w:val="11"/>
                <w:color w:val="auto"/>
              </w:rPr>
              <w:t>3/23/21)</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152</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13,597</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(13,597 )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w w:val="99"/>
              </w:rPr>
              <w:t>Common Stock Class B (1,085,073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Burgaflex Holdings, LLC</w:t>
            </w: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w w:val="99"/>
              </w:rPr>
              <w:t>Common Stock Class A (1,253,198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1,193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152</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14,935</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(13,597</w:t>
            </w:r>
          </w:p>
        </w:tc>
        <w:tc>
          <w:tcPr>
            <w:tcW w:w="1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1,383</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2,721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City Gear, LLC</w:t>
            </w: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Membership Unit Warrants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2,011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(2,215 )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2,215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(2,011 )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2,011</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(2,215</w:t>
            </w:r>
          </w:p>
        </w:tc>
        <w:tc>
          <w:tcPr>
            <w:tcW w:w="1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2,215</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(2,011</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gridSpan w:val="6"/>
          </w:tcPr>
          <w:p>
            <w:pPr>
              <w:ind w:left="20"/>
              <w:spacing w:after="0" w:line="105" w:lineRule="exact"/>
              <w:rPr>
                <w:sz w:val="20"/>
                <w:szCs w:val="20"/>
                <w:color w:val="auto"/>
              </w:rPr>
            </w:pPr>
            <w:r>
              <w:rPr>
                <w:rFonts w:ascii="Arial" w:cs="Arial" w:eastAsia="Arial" w:hAnsi="Arial"/>
                <w:sz w:val="11"/>
                <w:szCs w:val="11"/>
                <w:color w:val="auto"/>
              </w:rPr>
              <w:t>Eastport Holdings, LLC</w:t>
            </w:r>
          </w:p>
        </w:tc>
        <w:tc>
          <w:tcPr>
            <w:tcW w:w="120" w:type="dxa"/>
            <w:vAlign w:val="bottom"/>
          </w:tcPr>
          <w:p>
            <w:pPr>
              <w:spacing w:after="0"/>
              <w:rPr>
                <w:sz w:val="9"/>
                <w:szCs w:val="9"/>
                <w:color w:val="auto"/>
              </w:rPr>
            </w:pPr>
          </w:p>
        </w:tc>
        <w:tc>
          <w:tcPr>
            <w:tcW w:w="2120" w:type="dxa"/>
            <w:vAlign w:val="bottom"/>
          </w:tcPr>
          <w:p>
            <w:pPr>
              <w:spacing w:after="0" w:line="105" w:lineRule="exact"/>
              <w:rPr>
                <w:sz w:val="20"/>
                <w:szCs w:val="20"/>
                <w:color w:val="auto"/>
              </w:rPr>
            </w:pPr>
            <w:r>
              <w:rPr>
                <w:rFonts w:ascii="Arial" w:cs="Arial" w:eastAsia="Arial" w:hAnsi="Arial"/>
                <w:sz w:val="11"/>
                <w:szCs w:val="11"/>
                <w:color w:val="auto"/>
              </w:rPr>
              <w:t>Second Lien Debt (13.5% Cash (3 month</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LIBOR + 13.0%, 0.5% Floor), Due 4/30/22)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16,500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2,402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16,500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(123 )</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Eastport Holdings, LLC</w:t>
            </w:r>
          </w:p>
        </w:tc>
        <w:tc>
          <w:tcPr>
            <w:tcW w:w="12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Membership Units (22.9% ownership)</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20,294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22"/>
              <w:spacing w:after="0"/>
              <w:rPr>
                <w:sz w:val="20"/>
                <w:szCs w:val="20"/>
                <w:color w:val="auto"/>
              </w:rPr>
            </w:pPr>
            <w:r>
              <w:rPr>
                <w:rFonts w:ascii="Arial" w:cs="Arial" w:eastAsia="Arial" w:hAnsi="Arial"/>
                <w:sz w:val="11"/>
                <w:szCs w:val="11"/>
                <w:color w:val="auto"/>
              </w:rPr>
              <w:t>(3,975 )</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16,319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36,794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(4,098 )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shd w:val="clear" w:color="auto" w:fill="CFF0FC"/>
          </w:tcPr>
          <w:p>
            <w:pPr>
              <w:spacing w:after="0"/>
              <w:rPr>
                <w:sz w:val="11"/>
                <w:szCs w:val="1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Series A-1 Preferred Stock (1,998 shares)</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4,066</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328</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4,394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GA Communications, Inc.</w:t>
            </w: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w w:val="97"/>
              </w:rPr>
              <w:t>Series B-1 Common Stock (200,000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4,212</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367</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4,579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Preferred Units (202,336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756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LJS Partners, LLC</w:t>
            </w: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w w:val="94"/>
              </w:rPr>
              <w:t>Common Membership Units (2,593,234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3,951</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3,213</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7,164</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4,707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3,300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shd w:val="clear" w:color="auto" w:fill="CFF0FC"/>
          </w:tcPr>
          <w:p>
            <w:pPr>
              <w:spacing w:after="0"/>
              <w:rPr>
                <w:sz w:val="11"/>
                <w:szCs w:val="11"/>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First Lien Debt (12.0% Cash, Due 1/31/22)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316</w:t>
            </w: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gridSpan w:val="6"/>
          </w:tcPr>
          <w:p>
            <w:pPr>
              <w:ind w:left="20"/>
              <w:spacing w:after="0" w:line="105" w:lineRule="exact"/>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9"/>
                <w:szCs w:val="9"/>
                <w:color w:val="auto"/>
              </w:rPr>
            </w:pPr>
          </w:p>
        </w:tc>
        <w:tc>
          <w:tcPr>
            <w:tcW w:w="2120" w:type="dxa"/>
            <w:vAlign w:val="bottom"/>
          </w:tcPr>
          <w:p>
            <w:pPr>
              <w:spacing w:after="0" w:line="105" w:lineRule="exact"/>
              <w:rPr>
                <w:sz w:val="20"/>
                <w:szCs w:val="20"/>
                <w:color w:val="auto"/>
              </w:rPr>
            </w:pPr>
            <w:r>
              <w:rPr>
                <w:rFonts w:ascii="Arial" w:cs="Arial" w:eastAsia="Arial" w:hAnsi="Arial"/>
                <w:sz w:val="11"/>
                <w:szCs w:val="11"/>
                <w:color w:val="auto"/>
                <w:w w:val="96"/>
              </w:rPr>
              <w:t>Second Lien Debt (6.0% Cash, Due 1/31/22)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1"/>
                <w:szCs w:val="11"/>
                <w:color w:val="auto"/>
              </w:rPr>
              <w:t>400</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05" w:lineRule="exact"/>
              <w:rPr>
                <w:sz w:val="20"/>
                <w:szCs w:val="20"/>
                <w:color w:val="auto"/>
              </w:rPr>
            </w:pPr>
            <w:r>
              <w:rPr>
                <w:rFonts w:ascii="Arial" w:cs="Arial" w:eastAsia="Arial" w:hAnsi="Arial"/>
                <w:sz w:val="11"/>
                <w:szCs w:val="11"/>
                <w:color w:val="auto"/>
              </w:rPr>
              <w:t>24</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1"/>
                <w:szCs w:val="11"/>
                <w:color w:val="auto"/>
              </w:rPr>
              <w:t>400</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tcPr>
          <w:p>
            <w:pPr>
              <w:jc w:val="right"/>
              <w:ind w:right="220"/>
              <w:spacing w:after="0" w:line="10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right"/>
              <w:ind w:right="182"/>
              <w:spacing w:after="0" w:line="10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60" w:type="dxa"/>
            <w:vAlign w:val="bottom"/>
          </w:tcPr>
          <w:p>
            <w:pPr>
              <w:jc w:val="right"/>
              <w:spacing w:after="0" w:line="105" w:lineRule="exact"/>
              <w:rPr>
                <w:sz w:val="20"/>
                <w:szCs w:val="20"/>
                <w:color w:val="auto"/>
              </w:rPr>
            </w:pPr>
            <w:r>
              <w:rPr>
                <w:rFonts w:ascii="Arial" w:cs="Arial" w:eastAsia="Arial" w:hAnsi="Arial"/>
                <w:sz w:val="11"/>
                <w:szCs w:val="11"/>
                <w:color w:val="auto"/>
              </w:rPr>
              <w:t>400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gridSpan w:val="6"/>
          </w:tcPr>
          <w:p>
            <w:pPr>
              <w:ind w:left="20"/>
              <w:spacing w:after="0" w:line="142" w:lineRule="exact"/>
              <w:rPr>
                <w:sz w:val="20"/>
                <w:szCs w:val="20"/>
                <w:color w:val="auto"/>
              </w:rPr>
            </w:pPr>
            <w:r>
              <w:rPr>
                <w:rFonts w:ascii="Arial" w:cs="Arial" w:eastAsia="Arial" w:hAnsi="Arial"/>
                <w:sz w:val="11"/>
                <w:szCs w:val="11"/>
                <w:color w:val="auto"/>
              </w:rPr>
              <w:t xml:space="preserve">MMI Holdings, LLC </w:t>
            </w:r>
            <w:r>
              <w:rPr>
                <w:rFonts w:ascii="Arial" w:cs="Arial" w:eastAsia="Arial" w:hAnsi="Arial"/>
                <w:sz w:val="14"/>
                <w:szCs w:val="14"/>
                <w:color w:val="auto"/>
                <w:vertAlign w:val="superscript"/>
              </w:rPr>
              <w:t>(5)</w:t>
            </w:r>
          </w:p>
        </w:tc>
        <w:tc>
          <w:tcPr>
            <w:tcW w:w="1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Preferred Units (1,000 units, 6.0% PIK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1,815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(27 )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MMI Holdings, LLC</w:t>
            </w:r>
          </w:p>
        </w:tc>
        <w:tc>
          <w:tcPr>
            <w:tcW w:w="1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Common Membership Units (45 units)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(141 )</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450</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5,019</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110</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4,961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gridSpan w:val="6"/>
          </w:tcPr>
          <w:p>
            <w:pPr>
              <w:ind w:left="20"/>
              <w:spacing w:after="0" w:line="105" w:lineRule="exact"/>
              <w:rPr>
                <w:sz w:val="20"/>
                <w:szCs w:val="20"/>
                <w:color w:val="auto"/>
              </w:rPr>
            </w:pPr>
            <w:r>
              <w:rPr>
                <w:rFonts w:ascii="Arial" w:cs="Arial" w:eastAsia="Arial" w:hAnsi="Arial"/>
                <w:sz w:val="11"/>
                <w:szCs w:val="11"/>
                <w:color w:val="auto"/>
              </w:rPr>
              <w:t>Navis Holdings, Inc.</w:t>
            </w:r>
          </w:p>
        </w:tc>
        <w:tc>
          <w:tcPr>
            <w:tcW w:w="120" w:type="dxa"/>
            <w:vAlign w:val="bottom"/>
          </w:tcPr>
          <w:p>
            <w:pPr>
              <w:spacing w:after="0"/>
              <w:rPr>
                <w:sz w:val="9"/>
                <w:szCs w:val="9"/>
                <w:color w:val="auto"/>
              </w:rPr>
            </w:pPr>
          </w:p>
        </w:tc>
        <w:tc>
          <w:tcPr>
            <w:tcW w:w="2120" w:type="dxa"/>
            <w:vAlign w:val="bottom"/>
          </w:tcPr>
          <w:p>
            <w:pPr>
              <w:spacing w:after="0" w:line="105" w:lineRule="exact"/>
              <w:rPr>
                <w:sz w:val="20"/>
                <w:szCs w:val="20"/>
                <w:color w:val="auto"/>
              </w:rPr>
            </w:pPr>
            <w:r>
              <w:rPr>
                <w:rFonts w:ascii="Arial" w:cs="Arial" w:eastAsia="Arial" w:hAnsi="Arial"/>
                <w:sz w:val="11"/>
                <w:szCs w:val="11"/>
                <w:color w:val="auto"/>
                <w:w w:val="99"/>
              </w:rPr>
              <w:t>First Lien Debt (9.0% Cash, 2.0% PIK, Due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gridSpan w:val="2"/>
          </w:tcPr>
          <w:p>
            <w:pPr>
              <w:ind w:left="120"/>
              <w:spacing w:after="0"/>
              <w:rPr>
                <w:sz w:val="20"/>
                <w:szCs w:val="20"/>
                <w:color w:val="auto"/>
              </w:rPr>
            </w:pPr>
            <w:r>
              <w:rPr>
                <w:rFonts w:ascii="Arial" w:cs="Arial" w:eastAsia="Arial" w:hAnsi="Arial"/>
                <w:sz w:val="11"/>
                <w:szCs w:val="11"/>
                <w:color w:val="auto"/>
              </w:rPr>
              <w:t>6/30/23)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10,882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(11,212 )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Navis Holdings, Inc.</w:t>
            </w:r>
          </w:p>
        </w:tc>
        <w:tc>
          <w:tcPr>
            <w:tcW w:w="12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Class A Preferred Stock (1,000 shares)</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986</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(1,000 )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Navis Holdings, Inc.</w:t>
            </w: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Common Stock (60,000 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(260 )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1,093</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11,868</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181</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(12,472</w:t>
            </w:r>
          </w:p>
        </w:tc>
        <w:tc>
          <w:tcPr>
            <w:tcW w:w="1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260</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163</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gridSpan w:val="6"/>
          </w:tcPr>
          <w:p>
            <w:pPr>
              <w:ind w:left="20"/>
              <w:spacing w:after="0" w:line="105" w:lineRule="exact"/>
              <w:rPr>
                <w:sz w:val="20"/>
                <w:szCs w:val="20"/>
                <w:color w:val="auto"/>
              </w:rPr>
            </w:pPr>
            <w:r>
              <w:rPr>
                <w:rFonts w:ascii="Arial" w:cs="Arial" w:eastAsia="Arial" w:hAnsi="Arial"/>
                <w:sz w:val="11"/>
                <w:szCs w:val="11"/>
                <w:color w:val="auto"/>
              </w:rPr>
              <w:t>Nth Degree Investment Group,</w:t>
            </w:r>
          </w:p>
        </w:tc>
        <w:tc>
          <w:tcPr>
            <w:tcW w:w="120" w:type="dxa"/>
            <w:vAlign w:val="bottom"/>
          </w:tcPr>
          <w:p>
            <w:pPr>
              <w:spacing w:after="0"/>
              <w:rPr>
                <w:sz w:val="9"/>
                <w:szCs w:val="9"/>
                <w:color w:val="auto"/>
              </w:rPr>
            </w:pPr>
          </w:p>
        </w:tc>
        <w:tc>
          <w:tcPr>
            <w:tcW w:w="2120" w:type="dxa"/>
            <w:vAlign w:val="bottom"/>
          </w:tcPr>
          <w:p>
            <w:pPr>
              <w:spacing w:after="0" w:line="105" w:lineRule="exact"/>
              <w:rPr>
                <w:sz w:val="20"/>
                <w:szCs w:val="20"/>
                <w:color w:val="auto"/>
              </w:rPr>
            </w:pPr>
            <w:r>
              <w:rPr>
                <w:rFonts w:ascii="Arial" w:cs="Arial" w:eastAsia="Arial" w:hAnsi="Arial"/>
                <w:sz w:val="11"/>
                <w:szCs w:val="11"/>
                <w:color w:val="auto"/>
              </w:rPr>
              <w:t>Membership Units (6,088,000 Units)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right"/>
              <w:ind w:right="18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LLC</w:t>
            </w: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gridSpan w:val="6"/>
          </w:tcPr>
          <w:p>
            <w:pPr>
              <w:ind w:left="20"/>
              <w:spacing w:after="0" w:line="105" w:lineRule="exact"/>
              <w:rPr>
                <w:sz w:val="20"/>
                <w:szCs w:val="20"/>
                <w:color w:val="auto"/>
              </w:rPr>
            </w:pPr>
            <w:r>
              <w:rPr>
                <w:rFonts w:ascii="Arial" w:cs="Arial" w:eastAsia="Arial" w:hAnsi="Arial"/>
                <w:sz w:val="11"/>
                <w:szCs w:val="11"/>
                <w:color w:val="auto"/>
              </w:rPr>
              <w:t>RAM Payment, LLC</w:t>
            </w:r>
          </w:p>
        </w:tc>
        <w:tc>
          <w:tcPr>
            <w:tcW w:w="120" w:type="dxa"/>
            <w:vAlign w:val="bottom"/>
          </w:tcPr>
          <w:p>
            <w:pPr>
              <w:spacing w:after="0"/>
              <w:rPr>
                <w:sz w:val="9"/>
                <w:szCs w:val="9"/>
                <w:color w:val="auto"/>
              </w:rPr>
            </w:pPr>
          </w:p>
        </w:tc>
        <w:tc>
          <w:tcPr>
            <w:tcW w:w="2120" w:type="dxa"/>
            <w:vAlign w:val="bottom"/>
          </w:tcPr>
          <w:p>
            <w:pPr>
              <w:spacing w:after="0" w:line="105" w:lineRule="exact"/>
              <w:rPr>
                <w:sz w:val="20"/>
                <w:szCs w:val="20"/>
                <w:color w:val="auto"/>
              </w:rPr>
            </w:pPr>
            <w:r>
              <w:rPr>
                <w:rFonts w:ascii="Arial" w:cs="Arial" w:eastAsia="Arial" w:hAnsi="Arial"/>
                <w:sz w:val="11"/>
                <w:szCs w:val="11"/>
                <w:color w:val="auto"/>
                <w:w w:val="93"/>
              </w:rPr>
              <w:t>First Lien Debt (6.5% Cash (1 month LIBOR +</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5.0%), 1.5% Floor), Due 1/4/24)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983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2,451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(1,455 )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gridSpan w:val="6"/>
          </w:tcPr>
          <w:p>
            <w:pPr>
              <w:ind w:left="20"/>
              <w:spacing w:after="0" w:line="115" w:lineRule="exact"/>
              <w:rPr>
                <w:sz w:val="20"/>
                <w:szCs w:val="20"/>
                <w:color w:val="auto"/>
              </w:rPr>
            </w:pPr>
            <w:r>
              <w:rPr>
                <w:rFonts w:ascii="Arial" w:cs="Arial" w:eastAsia="Arial" w:hAnsi="Arial"/>
                <w:sz w:val="11"/>
                <w:szCs w:val="11"/>
                <w:color w:val="auto"/>
              </w:rPr>
              <w:t>RAM Payment, LLC</w:t>
            </w:r>
          </w:p>
        </w:tc>
        <w:tc>
          <w:tcPr>
            <w:tcW w:w="120" w:type="dxa"/>
            <w:vAlign w:val="bottom"/>
          </w:tcPr>
          <w:p>
            <w:pPr>
              <w:spacing w:after="0"/>
              <w:rPr>
                <w:sz w:val="9"/>
                <w:szCs w:val="9"/>
                <w:color w:val="auto"/>
              </w:rPr>
            </w:pPr>
          </w:p>
        </w:tc>
        <w:tc>
          <w:tcPr>
            <w:tcW w:w="2120" w:type="dxa"/>
            <w:vAlign w:val="bottom"/>
          </w:tcPr>
          <w:p>
            <w:pPr>
              <w:spacing w:after="0" w:line="115" w:lineRule="exact"/>
              <w:rPr>
                <w:sz w:val="20"/>
                <w:szCs w:val="20"/>
                <w:color w:val="auto"/>
              </w:rPr>
            </w:pPr>
            <w:r>
              <w:rPr>
                <w:rFonts w:ascii="Arial" w:cs="Arial" w:eastAsia="Arial" w:hAnsi="Arial"/>
                <w:sz w:val="11"/>
                <w:szCs w:val="11"/>
                <w:color w:val="auto"/>
              </w:rPr>
              <w:t>First Lien Debt (9.8% Cash, Due 1/4/24)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2,666</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517</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6,646</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(3,939 )</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right"/>
              <w:ind w:right="122"/>
              <w:spacing w:after="0" w:line="115" w:lineRule="exact"/>
              <w:rPr>
                <w:sz w:val="20"/>
                <w:szCs w:val="20"/>
                <w:color w:val="auto"/>
              </w:rPr>
            </w:pPr>
            <w:r>
              <w:rPr>
                <w:rFonts w:ascii="Arial" w:cs="Arial" w:eastAsia="Arial" w:hAnsi="Arial"/>
                <w:sz w:val="11"/>
                <w:szCs w:val="11"/>
                <w:color w:val="auto"/>
              </w:rPr>
              <w:t>(1 )</w:t>
            </w:r>
          </w:p>
        </w:tc>
        <w:tc>
          <w:tcPr>
            <w:tcW w:w="10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2,706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gridSpan w:val="6"/>
          </w:tcPr>
          <w:p>
            <w:pPr>
              <w:ind w:left="20"/>
              <w:spacing w:after="0" w:line="142" w:lineRule="exact"/>
              <w:rPr>
                <w:sz w:val="20"/>
                <w:szCs w:val="20"/>
                <w:color w:val="auto"/>
              </w:rPr>
            </w:pPr>
            <w:r>
              <w:rPr>
                <w:rFonts w:ascii="Arial" w:cs="Arial" w:eastAsia="Arial" w:hAnsi="Arial"/>
                <w:sz w:val="11"/>
                <w:szCs w:val="11"/>
                <w:color w:val="auto"/>
              </w:rPr>
              <w:t xml:space="preserve">RAM Payment, LLC </w:t>
            </w:r>
            <w:r>
              <w:rPr>
                <w:rFonts w:ascii="Arial" w:cs="Arial" w:eastAsia="Arial" w:hAnsi="Arial"/>
                <w:sz w:val="14"/>
                <w:szCs w:val="14"/>
                <w:color w:val="auto"/>
                <w:vertAlign w:val="superscript"/>
              </w:rPr>
              <w:t>(5)</w:t>
            </w:r>
          </w:p>
        </w:tc>
        <w:tc>
          <w:tcPr>
            <w:tcW w:w="1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Preferred Units (86,000 units, 8.0% PIK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2,874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783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3,726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Dividend)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767</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11,971</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(5,394</w:t>
            </w:r>
          </w:p>
        </w:tc>
        <w:tc>
          <w:tcPr>
            <w:tcW w:w="1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784</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7,430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580" w:type="dxa"/>
            <w:vAlign w:val="bottom"/>
            <w:gridSpan w:val="6"/>
          </w:tcPr>
          <w:p>
            <w:pPr>
              <w:ind w:left="20"/>
              <w:spacing w:after="0" w:line="105" w:lineRule="exact"/>
              <w:rPr>
                <w:sz w:val="20"/>
                <w:szCs w:val="20"/>
                <w:color w:val="auto"/>
              </w:rPr>
            </w:pPr>
            <w:r>
              <w:rPr>
                <w:rFonts w:ascii="Arial" w:cs="Arial" w:eastAsia="Arial" w:hAnsi="Arial"/>
                <w:sz w:val="11"/>
                <w:szCs w:val="11"/>
                <w:color w:val="auto"/>
              </w:rPr>
              <w:t>Sierra Hamilton Holdings</w:t>
            </w:r>
          </w:p>
        </w:tc>
        <w:tc>
          <w:tcPr>
            <w:tcW w:w="120" w:type="dxa"/>
            <w:vAlign w:val="bottom"/>
          </w:tcPr>
          <w:p>
            <w:pPr>
              <w:spacing w:after="0"/>
              <w:rPr>
                <w:sz w:val="9"/>
                <w:szCs w:val="9"/>
                <w:color w:val="auto"/>
              </w:rPr>
            </w:pPr>
          </w:p>
        </w:tc>
        <w:tc>
          <w:tcPr>
            <w:tcW w:w="2120" w:type="dxa"/>
            <w:vAlign w:val="bottom"/>
          </w:tcPr>
          <w:p>
            <w:pPr>
              <w:spacing w:after="0" w:line="105" w:lineRule="exact"/>
              <w:rPr>
                <w:sz w:val="20"/>
                <w:szCs w:val="20"/>
                <w:color w:val="auto"/>
              </w:rPr>
            </w:pPr>
            <w:r>
              <w:rPr>
                <w:rFonts w:ascii="Arial" w:cs="Arial" w:eastAsia="Arial" w:hAnsi="Arial"/>
                <w:sz w:val="11"/>
                <w:szCs w:val="11"/>
                <w:color w:val="auto"/>
              </w:rPr>
              <w:t>Second Lien Debt (15.0%, Due 9/12/23)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441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(450 )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2"/>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580" w:type="dxa"/>
            <w:vAlign w:val="bottom"/>
            <w:gridSpan w:val="6"/>
            <w:shd w:val="clear" w:color="auto" w:fill="CFF0FC"/>
          </w:tcPr>
          <w:p>
            <w:pPr>
              <w:ind w:left="20"/>
              <w:spacing w:after="0" w:line="116" w:lineRule="exact"/>
              <w:rPr>
                <w:sz w:val="20"/>
                <w:szCs w:val="20"/>
                <w:color w:val="auto"/>
              </w:rPr>
            </w:pPr>
            <w:r>
              <w:rPr>
                <w:rFonts w:ascii="Arial" w:cs="Arial" w:eastAsia="Arial" w:hAnsi="Arial"/>
                <w:sz w:val="11"/>
                <w:szCs w:val="11"/>
                <w:color w:val="auto"/>
              </w:rPr>
              <w:t>Sierra Hamilton Holdings</w:t>
            </w:r>
          </w:p>
        </w:tc>
        <w:tc>
          <w:tcPr>
            <w:tcW w:w="120" w:type="dxa"/>
            <w:vAlign w:val="bottom"/>
            <w:shd w:val="clear" w:color="auto" w:fill="CFF0FC"/>
          </w:tcPr>
          <w:p>
            <w:pPr>
              <w:spacing w:after="0"/>
              <w:rPr>
                <w:sz w:val="10"/>
                <w:szCs w:val="10"/>
                <w:color w:val="auto"/>
              </w:rPr>
            </w:pPr>
          </w:p>
        </w:tc>
        <w:tc>
          <w:tcPr>
            <w:tcW w:w="2120" w:type="dxa"/>
            <w:vAlign w:val="bottom"/>
            <w:shd w:val="clear" w:color="auto" w:fill="CFF0FC"/>
          </w:tcPr>
          <w:p>
            <w:pPr>
              <w:spacing w:after="0" w:line="116" w:lineRule="exact"/>
              <w:rPr>
                <w:sz w:val="20"/>
                <w:szCs w:val="20"/>
                <w:color w:val="auto"/>
              </w:rPr>
            </w:pPr>
            <w:r>
              <w:rPr>
                <w:rFonts w:ascii="Arial" w:cs="Arial" w:eastAsia="Arial" w:hAnsi="Arial"/>
                <w:sz w:val="11"/>
                <w:szCs w:val="11"/>
                <w:color w:val="auto"/>
              </w:rPr>
              <w:t>Common Stock (15,068,000 shares)</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977</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22"/>
              <w:spacing w:after="0"/>
              <w:rPr>
                <w:sz w:val="20"/>
                <w:szCs w:val="20"/>
                <w:color w:val="auto"/>
              </w:rPr>
            </w:pPr>
            <w:r>
              <w:rPr>
                <w:rFonts w:ascii="Arial" w:cs="Arial" w:eastAsia="Arial" w:hAnsi="Arial"/>
                <w:sz w:val="11"/>
                <w:szCs w:val="11"/>
                <w:color w:val="auto"/>
              </w:rPr>
              <w:t>(647 )</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330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80" w:type="dxa"/>
            <w:vAlign w:val="bottom"/>
            <w:gridSpan w:val="6"/>
            <w:shd w:val="clear" w:color="auto" w:fill="CFF0FC"/>
          </w:tcPr>
          <w:p>
            <w:pPr>
              <w:ind w:left="20"/>
              <w:spacing w:after="0"/>
              <w:rPr>
                <w:sz w:val="20"/>
                <w:szCs w:val="20"/>
                <w:color w:val="auto"/>
              </w:rPr>
            </w:pPr>
            <w:r>
              <w:rPr>
                <w:rFonts w:ascii="Arial" w:cs="Arial" w:eastAsia="Arial" w:hAnsi="Arial"/>
                <w:sz w:val="11"/>
                <w:szCs w:val="11"/>
                <w:color w:val="auto"/>
              </w:rPr>
              <w:t>Corporation</w:t>
            </w:r>
          </w:p>
        </w:tc>
        <w:tc>
          <w:tcPr>
            <w:tcW w:w="120" w:type="dxa"/>
            <w:vAlign w:val="bottom"/>
            <w:shd w:val="clear" w:color="auto" w:fill="CFF0FC"/>
          </w:tcPr>
          <w:p>
            <w:pPr>
              <w:spacing w:after="0"/>
              <w:rPr>
                <w:sz w:val="11"/>
                <w:szCs w:val="11"/>
                <w:color w:val="auto"/>
              </w:rPr>
            </w:pPr>
          </w:p>
        </w:tc>
        <w:tc>
          <w:tcPr>
            <w:tcW w:w="2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22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1,418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(450 )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(647 )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V12 Holdings, Inc.</w:t>
            </w: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Second Lien Debt</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490</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FF0FC"/>
            </w:tcBorders>
            <w:shd w:val="clear" w:color="auto" w:fill="CFF0FC"/>
          </w:tcPr>
          <w:p>
            <w:pPr>
              <w:spacing w:after="0"/>
              <w:rPr>
                <w:sz w:val="15"/>
                <w:szCs w:val="15"/>
                <w:color w:val="auto"/>
              </w:rPr>
            </w:pPr>
          </w:p>
        </w:tc>
        <w:tc>
          <w:tcPr>
            <w:tcW w:w="156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1"/>
                <w:szCs w:val="11"/>
                <w:b w:val="1"/>
                <w:bCs w:val="1"/>
                <w:i w:val="1"/>
                <w:iCs w:val="1"/>
                <w:color w:val="auto"/>
              </w:rPr>
              <w:t>Total Affiliate investments</w:t>
            </w:r>
          </w:p>
        </w:tc>
        <w:tc>
          <w:tcPr>
            <w:tcW w:w="120" w:type="dxa"/>
            <w:vAlign w:val="bottom"/>
            <w:tcBorders>
              <w:bottom w:val="single" w:sz="8" w:color="CFF0FC"/>
            </w:tcBorders>
            <w:shd w:val="clear" w:color="auto" w:fill="CFF0FC"/>
          </w:tcPr>
          <w:p>
            <w:pPr>
              <w:spacing w:after="0"/>
              <w:rPr>
                <w:sz w:val="15"/>
                <w:szCs w:val="15"/>
                <w:color w:val="auto"/>
              </w:rPr>
            </w:pPr>
          </w:p>
        </w:tc>
        <w:tc>
          <w:tcPr>
            <w:tcW w:w="2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4,996</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93,425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(34,128</w:t>
            </w:r>
          </w:p>
        </w:tc>
        <w:tc>
          <w:tcPr>
            <w:tcW w:w="1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2,475</w:t>
            </w: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(908</w:t>
            </w:r>
          </w:p>
        </w:tc>
        <w:tc>
          <w:tcPr>
            <w:tcW w:w="2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61,359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Borders>
              <w:top w:val="single" w:sz="8" w:color="CFF0FC"/>
            </w:tcBorders>
          </w:tcPr>
          <w:p>
            <w:pPr>
              <w:spacing w:after="0"/>
              <w:rPr>
                <w:sz w:val="7"/>
                <w:szCs w:val="7"/>
                <w:color w:val="auto"/>
              </w:rPr>
            </w:pPr>
          </w:p>
        </w:tc>
        <w:tc>
          <w:tcPr>
            <w:tcW w:w="90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b w:val="1"/>
                <w:bCs w:val="1"/>
                <w:i w:val="1"/>
                <w:iCs w:val="1"/>
                <w:color w:val="auto"/>
              </w:rPr>
              <w:t>Control investments</w:t>
            </w:r>
          </w:p>
        </w:tc>
        <w:tc>
          <w:tcPr>
            <w:tcW w:w="260" w:type="dxa"/>
            <w:vAlign w:val="bottom"/>
            <w:tcBorders>
              <w:top w:val="single" w:sz="8" w:color="auto"/>
            </w:tcBorders>
            <w:gridSpan w:val="3"/>
          </w:tcPr>
          <w:p>
            <w:pPr>
              <w:spacing w:after="0"/>
              <w:rPr>
                <w:sz w:val="7"/>
                <w:szCs w:val="7"/>
                <w:color w:val="auto"/>
              </w:rPr>
            </w:pPr>
          </w:p>
        </w:tc>
        <w:tc>
          <w:tcPr>
            <w:tcW w:w="40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12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460" w:type="dxa"/>
            <w:vAlign w:val="bottom"/>
            <w:tcBorders>
              <w:top w:val="single" w:sz="8" w:color="CFF0FC"/>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580" w:type="dxa"/>
            <w:vAlign w:val="bottom"/>
            <w:gridSpan w:val="6"/>
            <w:shd w:val="clear" w:color="auto" w:fill="CFF0FC"/>
          </w:tcPr>
          <w:p>
            <w:pPr>
              <w:ind w:left="20"/>
              <w:spacing w:after="0" w:line="112" w:lineRule="exact"/>
              <w:rPr>
                <w:sz w:val="20"/>
                <w:szCs w:val="20"/>
                <w:color w:val="auto"/>
              </w:rPr>
            </w:pPr>
            <w:r>
              <w:rPr>
                <w:rFonts w:ascii="Arial" w:cs="Arial" w:eastAsia="Arial" w:hAnsi="Arial"/>
                <w:sz w:val="11"/>
                <w:szCs w:val="11"/>
                <w:color w:val="auto"/>
              </w:rPr>
              <w:t>Vology, Inc.</w:t>
            </w:r>
          </w:p>
        </w:tc>
        <w:tc>
          <w:tcPr>
            <w:tcW w:w="120" w:type="dxa"/>
            <w:vAlign w:val="bottom"/>
            <w:shd w:val="clear" w:color="auto" w:fill="CFF0FC"/>
          </w:tcPr>
          <w:p>
            <w:pPr>
              <w:spacing w:after="0"/>
              <w:rPr>
                <w:sz w:val="9"/>
                <w:szCs w:val="9"/>
                <w:color w:val="auto"/>
              </w:rPr>
            </w:pPr>
          </w:p>
        </w:tc>
        <w:tc>
          <w:tcPr>
            <w:tcW w:w="2120" w:type="dxa"/>
            <w:vAlign w:val="bottom"/>
            <w:shd w:val="clear" w:color="auto" w:fill="CFF0FC"/>
          </w:tcPr>
          <w:p>
            <w:pPr>
              <w:spacing w:after="0" w:line="112" w:lineRule="exact"/>
              <w:rPr>
                <w:sz w:val="20"/>
                <w:szCs w:val="20"/>
                <w:color w:val="auto"/>
              </w:rPr>
            </w:pPr>
            <w:r>
              <w:rPr>
                <w:rFonts w:ascii="Arial" w:cs="Arial" w:eastAsia="Arial" w:hAnsi="Arial"/>
                <w:sz w:val="11"/>
                <w:szCs w:val="11"/>
                <w:color w:val="auto"/>
                <w:w w:val="91"/>
              </w:rPr>
              <w:t>First Lien Debt (10.5% Cash (1 month LIBOR +</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8.5%, 2.0% Floor), Due 3/31/22)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3,586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3,732</w:t>
            </w:r>
          </w:p>
        </w:tc>
        <w:tc>
          <w:tcPr>
            <w:tcW w:w="36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FF0FC"/>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(97 )</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FF0FC"/>
          </w:tcPr>
          <w:p>
            <w:pPr>
              <w:jc w:val="right"/>
              <w:ind w:right="182"/>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gridSpan w:val="6"/>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Pr>
          <w:p>
            <w:pPr>
              <w:spacing w:after="0"/>
              <w:rPr>
                <w:sz w:val="11"/>
                <w:szCs w:val="11"/>
                <w:color w:val="auto"/>
              </w:rPr>
            </w:pPr>
          </w:p>
        </w:tc>
        <w:tc>
          <w:tcPr>
            <w:tcW w:w="2120" w:type="dxa"/>
            <w:vAlign w:val="bottom"/>
          </w:tcPr>
          <w:p>
            <w:pPr>
              <w:spacing w:after="0"/>
              <w:rPr>
                <w:sz w:val="20"/>
                <w:szCs w:val="20"/>
                <w:color w:val="auto"/>
              </w:rPr>
            </w:pPr>
            <w:r>
              <w:rPr>
                <w:rFonts w:ascii="Arial" w:cs="Arial" w:eastAsia="Arial" w:hAnsi="Arial"/>
                <w:sz w:val="11"/>
                <w:szCs w:val="11"/>
                <w:color w:val="auto"/>
              </w:rPr>
              <w:t>Class A Preferred Units (9,041,810 Units)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4,687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(1,483 )</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3,204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1"/>
                <w:szCs w:val="11"/>
                <w:color w:val="auto"/>
              </w:rPr>
              <w:t>Vology, Inc.</w:t>
            </w:r>
          </w:p>
        </w:tc>
        <w:tc>
          <w:tcPr>
            <w:tcW w:w="120" w:type="dxa"/>
            <w:vAlign w:val="bottom"/>
            <w:tcBorders>
              <w:bottom w:val="single" w:sz="8" w:color="CFF0FC"/>
            </w:tcBorders>
            <w:shd w:val="clear" w:color="auto" w:fill="CFF0FC"/>
          </w:tcPr>
          <w:p>
            <w:pPr>
              <w:spacing w:after="0"/>
              <w:rPr>
                <w:sz w:val="11"/>
                <w:szCs w:val="11"/>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1"/>
                <w:szCs w:val="11"/>
                <w:color w:val="auto"/>
              </w:rPr>
              <w:t>Membership Units (5,363,982 Units)</w:t>
            </w: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60" w:type="dxa"/>
            <w:vAlign w:val="bottom"/>
            <w:gridSpan w:val="5"/>
          </w:tcPr>
          <w:p>
            <w:pPr>
              <w:spacing w:after="0"/>
              <w:rPr>
                <w:sz w:val="20"/>
                <w:szCs w:val="20"/>
                <w:color w:val="auto"/>
              </w:rPr>
            </w:pPr>
            <w:r>
              <w:rPr>
                <w:rFonts w:ascii="Arial" w:cs="Arial" w:eastAsia="Arial" w:hAnsi="Arial"/>
                <w:sz w:val="11"/>
                <w:szCs w:val="11"/>
                <w:b w:val="1"/>
                <w:bCs w:val="1"/>
                <w:i w:val="1"/>
                <w:iCs w:val="1"/>
                <w:color w:val="auto"/>
              </w:rPr>
              <w:t>Total Control investments</w:t>
            </w: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293</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8,419</w:t>
            </w:r>
          </w:p>
        </w:tc>
        <w:tc>
          <w:tcPr>
            <w:tcW w:w="3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
              <w:spacing w:after="0"/>
              <w:rPr>
                <w:sz w:val="20"/>
                <w:szCs w:val="20"/>
                <w:color w:val="auto"/>
              </w:rPr>
            </w:pPr>
            <w:r>
              <w:rPr>
                <w:rFonts w:ascii="Arial" w:cs="Arial" w:eastAsia="Arial" w:hAnsi="Arial"/>
                <w:sz w:val="11"/>
                <w:szCs w:val="11"/>
                <w:color w:val="auto"/>
              </w:rPr>
              <w:t>(97 )</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22"/>
              <w:spacing w:after="0"/>
              <w:rPr>
                <w:sz w:val="20"/>
                <w:szCs w:val="20"/>
                <w:color w:val="auto"/>
              </w:rPr>
            </w:pPr>
            <w:r>
              <w:rPr>
                <w:rFonts w:ascii="Arial" w:cs="Arial" w:eastAsia="Arial" w:hAnsi="Arial"/>
                <w:sz w:val="11"/>
                <w:szCs w:val="11"/>
                <w:color w:val="auto"/>
              </w:rPr>
              <w:t>(1,483 )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-4079875</wp:posOffset>
            </wp:positionV>
            <wp:extent cx="77470" cy="1028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-4079875</wp:posOffset>
            </wp:positionV>
            <wp:extent cx="68580" cy="1028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-4079875</wp:posOffset>
            </wp:positionV>
            <wp:extent cx="68580" cy="1028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-4079875</wp:posOffset>
            </wp:positionV>
            <wp:extent cx="68580" cy="1028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-4079875</wp:posOffset>
            </wp:positionV>
            <wp:extent cx="68580" cy="1028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-4079875</wp:posOffset>
            </wp:positionV>
            <wp:extent cx="68580"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1028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-3891280</wp:posOffset>
            </wp:positionV>
            <wp:extent cx="7747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-3891280</wp:posOffset>
            </wp:positionV>
            <wp:extent cx="685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-3891280</wp:posOffset>
            </wp:positionV>
            <wp:extent cx="685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-3891280</wp:posOffset>
            </wp:positionV>
            <wp:extent cx="685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-3891280</wp:posOffset>
            </wp:positionV>
            <wp:extent cx="685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-3891280</wp:posOffset>
            </wp:positionV>
            <wp:extent cx="685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-3634105</wp:posOffset>
            </wp:positionV>
            <wp:extent cx="77470" cy="1028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-3634105</wp:posOffset>
            </wp:positionV>
            <wp:extent cx="68580" cy="1028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-3634105</wp:posOffset>
            </wp:positionV>
            <wp:extent cx="6858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-3634105</wp:posOffset>
            </wp:positionV>
            <wp:extent cx="6858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-3634105</wp:posOffset>
            </wp:positionV>
            <wp:extent cx="6858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-3634105</wp:posOffset>
            </wp:positionV>
            <wp:extent cx="68580"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1028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-3265170</wp:posOffset>
            </wp:positionV>
            <wp:extent cx="77470" cy="939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-3265170</wp:posOffset>
            </wp:positionV>
            <wp:extent cx="68580" cy="939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-3265170</wp:posOffset>
            </wp:positionV>
            <wp:extent cx="68580" cy="939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-3265170</wp:posOffset>
            </wp:positionV>
            <wp:extent cx="68580" cy="939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-3265170</wp:posOffset>
            </wp:positionV>
            <wp:extent cx="68580" cy="939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-3265170</wp:posOffset>
            </wp:positionV>
            <wp:extent cx="68580" cy="939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939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-3085465</wp:posOffset>
            </wp:positionV>
            <wp:extent cx="77470" cy="1028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-3085465</wp:posOffset>
            </wp:positionV>
            <wp:extent cx="6858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-3085465</wp:posOffset>
            </wp:positionV>
            <wp:extent cx="68580" cy="1028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-3085465</wp:posOffset>
            </wp:positionV>
            <wp:extent cx="68580" cy="1028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-3085465</wp:posOffset>
            </wp:positionV>
            <wp:extent cx="68580" cy="1028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-3085465</wp:posOffset>
            </wp:positionV>
            <wp:extent cx="68580" cy="1028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132320" cy="1631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-2468245</wp:posOffset>
            </wp:positionV>
            <wp:extent cx="7747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-2468245</wp:posOffset>
            </wp:positionV>
            <wp:extent cx="68580" cy="1714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-2468245</wp:posOffset>
            </wp:positionV>
            <wp:extent cx="68580"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-2468245</wp:posOffset>
            </wp:positionV>
            <wp:extent cx="6858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-2468245</wp:posOffset>
            </wp:positionV>
            <wp:extent cx="6858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-2468245</wp:posOffset>
            </wp:positionV>
            <wp:extent cx="6858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-2030730</wp:posOffset>
            </wp:positionV>
            <wp:extent cx="7747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-2030730</wp:posOffset>
            </wp:positionV>
            <wp:extent cx="6858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-2030730</wp:posOffset>
            </wp:positionV>
            <wp:extent cx="6858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-2030730</wp:posOffset>
            </wp:positionV>
            <wp:extent cx="6858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-2030730</wp:posOffset>
            </wp:positionV>
            <wp:extent cx="6858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-2030730</wp:posOffset>
            </wp:positionV>
            <wp:extent cx="6858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2571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-1268095</wp:posOffset>
            </wp:positionV>
            <wp:extent cx="77470"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-1268095</wp:posOffset>
            </wp:positionV>
            <wp:extent cx="68580"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-1268095</wp:posOffset>
            </wp:positionV>
            <wp:extent cx="6858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-1268095</wp:posOffset>
            </wp:positionV>
            <wp:extent cx="6858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-1268095</wp:posOffset>
            </wp:positionV>
            <wp:extent cx="6858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-1268095</wp:posOffset>
            </wp:positionV>
            <wp:extent cx="68580"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-942340</wp:posOffset>
            </wp:positionV>
            <wp:extent cx="77470" cy="1028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-942340</wp:posOffset>
            </wp:positionV>
            <wp:extent cx="68580" cy="1028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-942340</wp:posOffset>
            </wp:positionV>
            <wp:extent cx="68580" cy="1028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-942340</wp:posOffset>
            </wp:positionV>
            <wp:extent cx="68580" cy="1028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-942340</wp:posOffset>
            </wp:positionV>
            <wp:extent cx="68580" cy="1028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-942340</wp:posOffset>
            </wp:positionV>
            <wp:extent cx="68580" cy="1028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1028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-753745</wp:posOffset>
            </wp:positionV>
            <wp:extent cx="77470" cy="1028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-753745</wp:posOffset>
            </wp:positionV>
            <wp:extent cx="68580" cy="1028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-753745</wp:posOffset>
            </wp:positionV>
            <wp:extent cx="68580" cy="1028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-753745</wp:posOffset>
            </wp:positionV>
            <wp:extent cx="68580" cy="1028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-753745</wp:posOffset>
            </wp:positionV>
            <wp:extent cx="68580" cy="1028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-753745</wp:posOffset>
            </wp:positionV>
            <wp:extent cx="68580" cy="1028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028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-565150</wp:posOffset>
            </wp:positionV>
            <wp:extent cx="3660140" cy="1111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660140" cy="11112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-119380</wp:posOffset>
            </wp:positionV>
            <wp:extent cx="77470" cy="1200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-119380</wp:posOffset>
            </wp:positionV>
            <wp:extent cx="68580" cy="1200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-119380</wp:posOffset>
            </wp:positionV>
            <wp:extent cx="68580" cy="1200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-119380</wp:posOffset>
            </wp:positionV>
            <wp:extent cx="68580" cy="1200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-119380</wp:posOffset>
            </wp:positionV>
            <wp:extent cx="68580"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-119380</wp:posOffset>
            </wp:positionV>
            <wp:extent cx="68580" cy="1200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1200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(Unaudited)</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Represents the total amount of interest, original issue discount, fees and dividends credited to income for the portion of the year an investment was included in Affiliate or Control</w:t>
      </w:r>
    </w:p>
    <w:p>
      <w:pPr>
        <w:spacing w:after="0" w:line="1" w:lineRule="exact"/>
        <w:rPr>
          <w:sz w:val="20"/>
          <w:szCs w:val="20"/>
          <w:color w:val="auto"/>
        </w:rPr>
      </w:pPr>
    </w:p>
    <w:p>
      <w:pPr>
        <w:sectPr>
          <w:pgSz w:w="11900" w:h="16838" w:orient="portrait"/>
          <w:cols w:equalWidth="0" w:num="2">
            <w:col w:w="120" w:space="320"/>
            <w:col w:w="10760"/>
          </w:cols>
          <w:pgMar w:left="340" w:top="319" w:right="359" w:bottom="1440" w:gutter="0" w:footer="0" w:header="0"/>
        </w:sectPr>
      </w:pPr>
    </w:p>
    <w:p>
      <w:pPr>
        <w:ind w:left="440" w:hanging="439"/>
        <w:spacing w:after="0" w:line="199" w:lineRule="auto"/>
        <w:tabs>
          <w:tab w:leader="none" w:pos="440" w:val="left"/>
        </w:tabs>
        <w:numPr>
          <w:ilvl w:val="0"/>
          <w:numId w:val="19"/>
        </w:numPr>
        <w:rPr>
          <w:rFonts w:ascii="Arial" w:cs="Arial" w:eastAsia="Arial" w:hAnsi="Arial"/>
          <w:sz w:val="19"/>
          <w:szCs w:val="19"/>
          <w:color w:val="auto"/>
          <w:vertAlign w:val="subscript"/>
        </w:rPr>
      </w:pPr>
      <w:r>
        <w:rPr>
          <w:rFonts w:ascii="Arial" w:cs="Arial" w:eastAsia="Arial" w:hAnsi="Arial"/>
          <w:sz w:val="14"/>
          <w:szCs w:val="14"/>
          <w:color w:val="auto"/>
        </w:rPr>
        <w:t>categories, respectively.</w:t>
      </w:r>
    </w:p>
    <w:p>
      <w:pPr>
        <w:spacing w:after="0" w:line="5" w:lineRule="exact"/>
        <w:rPr>
          <w:rFonts w:ascii="Arial" w:cs="Arial" w:eastAsia="Arial" w:hAnsi="Arial"/>
          <w:sz w:val="19"/>
          <w:szCs w:val="19"/>
          <w:color w:val="auto"/>
          <w:vertAlign w:val="subscript"/>
        </w:rPr>
      </w:pPr>
    </w:p>
    <w:p>
      <w:pPr>
        <w:ind w:left="440"/>
        <w:spacing w:after="0"/>
        <w:rPr>
          <w:rFonts w:ascii="Arial" w:cs="Arial" w:eastAsia="Arial" w:hAnsi="Arial"/>
          <w:sz w:val="19"/>
          <w:szCs w:val="19"/>
          <w:color w:val="auto"/>
          <w:vertAlign w:val="subscript"/>
        </w:rPr>
      </w:pPr>
      <w:r>
        <w:rPr>
          <w:rFonts w:ascii="Arial" w:cs="Arial" w:eastAsia="Arial" w:hAnsi="Arial"/>
          <w:sz w:val="13"/>
          <w:szCs w:val="13"/>
          <w:color w:val="auto"/>
        </w:rPr>
        <w:t>Gross additions include increases in the cost basis of investments resulting from new portfolio investments, follow-on investments, accrued PIK and accretion of original issue discount.</w:t>
      </w:r>
    </w:p>
    <w:p>
      <w:pPr>
        <w:ind w:left="440" w:hanging="439"/>
        <w:spacing w:after="0" w:line="186" w:lineRule="auto"/>
        <w:tabs>
          <w:tab w:leader="none" w:pos="440" w:val="left"/>
        </w:tabs>
        <w:numPr>
          <w:ilvl w:val="0"/>
          <w:numId w:val="19"/>
        </w:numPr>
        <w:rPr>
          <w:rFonts w:ascii="Arial" w:cs="Arial" w:eastAsia="Arial" w:hAnsi="Arial"/>
          <w:sz w:val="19"/>
          <w:szCs w:val="19"/>
          <w:color w:val="auto"/>
          <w:vertAlign w:val="subscript"/>
        </w:rPr>
      </w:pPr>
      <w:r>
        <w:rPr>
          <w:rFonts w:ascii="Arial" w:cs="Arial" w:eastAsia="Arial" w:hAnsi="Arial"/>
          <w:sz w:val="14"/>
          <w:szCs w:val="14"/>
          <w:color w:val="auto"/>
        </w:rPr>
        <w:t>Gross additions also include transfers into Affiliate or Control classification.</w:t>
      </w:r>
    </w:p>
    <w:p>
      <w:pPr>
        <w:spacing w:after="0" w:line="6" w:lineRule="exact"/>
        <w:rPr>
          <w:rFonts w:ascii="Arial" w:cs="Arial" w:eastAsia="Arial" w:hAnsi="Arial"/>
          <w:sz w:val="19"/>
          <w:szCs w:val="19"/>
          <w:color w:val="auto"/>
          <w:vertAlign w:val="subscript"/>
        </w:rPr>
      </w:pPr>
    </w:p>
    <w:p>
      <w:pPr>
        <w:ind w:left="440"/>
        <w:spacing w:after="0"/>
        <w:rPr>
          <w:rFonts w:ascii="Arial" w:cs="Arial" w:eastAsia="Arial" w:hAnsi="Arial"/>
          <w:sz w:val="19"/>
          <w:szCs w:val="19"/>
          <w:color w:val="auto"/>
          <w:vertAlign w:val="subscript"/>
        </w:rPr>
      </w:pPr>
      <w:r>
        <w:rPr>
          <w:rFonts w:ascii="Arial" w:cs="Arial" w:eastAsia="Arial" w:hAnsi="Arial"/>
          <w:sz w:val="13"/>
          <w:szCs w:val="13"/>
          <w:color w:val="auto"/>
        </w:rPr>
        <w:t>Gross reductions include decreases in the cost basis of investments resulting from principal repayments and sales. Gross reductions also include transfers out of Affiliate or Control</w:t>
      </w:r>
    </w:p>
    <w:p>
      <w:pPr>
        <w:ind w:left="440" w:hanging="439"/>
        <w:spacing w:after="0" w:line="186" w:lineRule="auto"/>
        <w:tabs>
          <w:tab w:leader="none" w:pos="440" w:val="left"/>
        </w:tabs>
        <w:numPr>
          <w:ilvl w:val="0"/>
          <w:numId w:val="19"/>
        </w:numPr>
        <w:rPr>
          <w:rFonts w:ascii="Arial" w:cs="Arial" w:eastAsia="Arial" w:hAnsi="Arial"/>
          <w:sz w:val="19"/>
          <w:szCs w:val="19"/>
          <w:color w:val="auto"/>
          <w:vertAlign w:val="subscript"/>
        </w:rPr>
      </w:pPr>
      <w:r>
        <w:rPr>
          <w:rFonts w:ascii="Arial" w:cs="Arial" w:eastAsia="Arial" w:hAnsi="Arial"/>
          <w:sz w:val="14"/>
          <w:szCs w:val="14"/>
          <w:color w:val="auto"/>
        </w:rPr>
        <w:t>classification.</w:t>
      </w:r>
    </w:p>
    <w:p>
      <w:pPr>
        <w:spacing w:after="0" w:line="6" w:lineRule="exact"/>
        <w:rPr>
          <w:rFonts w:ascii="Arial" w:cs="Arial" w:eastAsia="Arial" w:hAnsi="Arial"/>
          <w:sz w:val="19"/>
          <w:szCs w:val="19"/>
          <w:color w:val="auto"/>
          <w:vertAlign w:val="subscript"/>
        </w:rPr>
      </w:pPr>
    </w:p>
    <w:p>
      <w:pPr>
        <w:ind w:left="440" w:right="3420" w:hanging="439"/>
        <w:spacing w:after="0" w:line="218" w:lineRule="auto"/>
        <w:tabs>
          <w:tab w:leader="none" w:pos="440" w:val="left"/>
        </w:tabs>
        <w:numPr>
          <w:ilvl w:val="0"/>
          <w:numId w:val="19"/>
        </w:numPr>
        <w:rPr>
          <w:rFonts w:ascii="Arial" w:cs="Arial" w:eastAsia="Arial" w:hAnsi="Arial"/>
          <w:sz w:val="19"/>
          <w:szCs w:val="19"/>
          <w:color w:val="auto"/>
          <w:vertAlign w:val="subscript"/>
        </w:rPr>
      </w:pPr>
      <w:r>
        <w:rPr>
          <w:rFonts w:ascii="Arial" w:cs="Arial" w:eastAsia="Arial" w:hAnsi="Arial"/>
          <w:sz w:val="14"/>
          <w:szCs w:val="14"/>
          <w:color w:val="auto"/>
        </w:rPr>
        <w:t>All debt investments are income producing. Equity and warrant investments are non-income producing, unless otherwise noted. The equity investment is income producing, based on rate disclosed.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9" w:right="3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Agreements</w:t>
      </w:r>
    </w:p>
    <w:p>
      <w:pPr>
        <w:spacing w:after="0" w:line="11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83" w:lineRule="exact"/>
        <w:rPr>
          <w:sz w:val="20"/>
          <w:szCs w:val="20"/>
          <w:color w:val="auto"/>
        </w:rPr>
      </w:pPr>
    </w:p>
    <w:p>
      <w:pPr>
        <w:ind w:left="880" w:hanging="123"/>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22" w:lineRule="exact"/>
        <w:rPr>
          <w:rFonts w:ascii="Arial" w:cs="Arial" w:eastAsia="Arial" w:hAnsi="Arial"/>
          <w:sz w:val="14"/>
          <w:szCs w:val="14"/>
          <w:color w:val="auto"/>
        </w:rPr>
      </w:pPr>
    </w:p>
    <w:p>
      <w:pPr>
        <w:ind w:left="880" w:hanging="123"/>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09" w:lineRule="exact"/>
        <w:rPr>
          <w:rFonts w:ascii="Arial" w:cs="Arial" w:eastAsia="Arial" w:hAnsi="Arial"/>
          <w:sz w:val="14"/>
          <w:szCs w:val="14"/>
          <w:color w:val="auto"/>
        </w:rPr>
      </w:pPr>
    </w:p>
    <w:p>
      <w:pPr>
        <w:ind w:left="880" w:hanging="123"/>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09" w:lineRule="exact"/>
        <w:rPr>
          <w:rFonts w:ascii="Arial" w:cs="Arial" w:eastAsia="Arial" w:hAnsi="Arial"/>
          <w:sz w:val="14"/>
          <w:szCs w:val="14"/>
          <w:color w:val="auto"/>
        </w:rPr>
      </w:pPr>
    </w:p>
    <w:p>
      <w:pPr>
        <w:ind w:left="880" w:hanging="123"/>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provides us with other investment advisory, research, and related services as we may from time to time require.</w:t>
      </w:r>
    </w:p>
    <w:p>
      <w:pPr>
        <w:spacing w:after="0" w:line="109"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4"/>
          <w:szCs w:val="14"/>
          <w:color w:val="auto"/>
        </w:rPr>
        <w:t>The Investment Advisor’s services under the Investment Advisory Agreement are not exclusive, and it is free to furnish similar services to other entities so long as its services to us are not impaired.</w:t>
      </w:r>
    </w:p>
    <w:p>
      <w:pPr>
        <w:spacing w:after="0" w:line="5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7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6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incentive fee consists of the following two parts:</w:t>
      </w:r>
    </w:p>
    <w:p>
      <w:pPr>
        <w:spacing w:after="0" w:line="10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3"/>
          <w:szCs w:val="13"/>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68" w:lineRule="exact"/>
        <w:rPr>
          <w:sz w:val="20"/>
          <w:szCs w:val="20"/>
          <w:color w:val="auto"/>
        </w:rPr>
      </w:pPr>
    </w:p>
    <w:p>
      <w:pPr>
        <w:ind w:left="880" w:hanging="123"/>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 incentive fee in any calendar quarter in which the pre-incentive fee net investment income does not exceed the hurdle of 2.0%;</w:t>
      </w:r>
    </w:p>
    <w:p>
      <w:pPr>
        <w:spacing w:after="0" w:line="109" w:lineRule="exact"/>
        <w:rPr>
          <w:rFonts w:ascii="Arial" w:cs="Arial" w:eastAsia="Arial" w:hAnsi="Arial"/>
          <w:sz w:val="14"/>
          <w:szCs w:val="14"/>
          <w:color w:val="auto"/>
        </w:rPr>
      </w:pPr>
    </w:p>
    <w:p>
      <w:pPr>
        <w:jc w:val="both"/>
        <w:ind w:firstLine="757"/>
        <w:spacing w:after="0" w:line="258" w:lineRule="auto"/>
        <w:tabs>
          <w:tab w:leader="none" w:pos="887" w:val="left"/>
        </w:tabs>
        <w:numPr>
          <w:ilvl w:val="0"/>
          <w:numId w:val="21"/>
        </w:numPr>
        <w:rPr>
          <w:rFonts w:ascii="Arial" w:cs="Arial" w:eastAsia="Arial" w:hAnsi="Arial"/>
          <w:sz w:val="14"/>
          <w:szCs w:val="14"/>
          <w:color w:val="auto"/>
        </w:rPr>
      </w:pPr>
      <w:r>
        <w:rPr>
          <w:rFonts w:ascii="Arial" w:cs="Arial" w:eastAsia="Arial" w:hAnsi="Arial"/>
          <w:sz w:val="14"/>
          <w:szCs w:val="14"/>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77" w:lineRule="exact"/>
        <w:rPr>
          <w:rFonts w:ascii="Arial" w:cs="Arial" w:eastAsia="Arial" w:hAnsi="Arial"/>
          <w:sz w:val="14"/>
          <w:szCs w:val="14"/>
          <w:color w:val="auto"/>
        </w:rPr>
      </w:pPr>
    </w:p>
    <w:p>
      <w:pPr>
        <w:ind w:firstLine="757"/>
        <w:spacing w:after="0" w:line="293" w:lineRule="auto"/>
        <w:tabs>
          <w:tab w:leader="none" w:pos="872" w:val="left"/>
        </w:tabs>
        <w:numPr>
          <w:ilvl w:val="0"/>
          <w:numId w:val="21"/>
        </w:numPr>
        <w:rPr>
          <w:rFonts w:ascii="Arial" w:cs="Arial" w:eastAsia="Arial" w:hAnsi="Arial"/>
          <w:sz w:val="14"/>
          <w:szCs w:val="14"/>
          <w:color w:val="auto"/>
        </w:rPr>
      </w:pPr>
      <w:r>
        <w:rPr>
          <w:rFonts w:ascii="Arial" w:cs="Arial" w:eastAsia="Arial" w:hAnsi="Arial"/>
          <w:sz w:val="14"/>
          <w:szCs w:val="14"/>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5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shall be treated as though it were a calendar year end for purposes of calculating and paying a capital gains fee.</w:t>
      </w:r>
    </w:p>
    <w:p>
      <w:pPr>
        <w:spacing w:after="0" w:line="8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such payment is payable under the Investment Advisory Agreement. As of September 30, 2022 and December 31, 2021, the Company had incentive fees payable to the Investment Advisor of zero and zero related to fees earned in prior years but deferred under the incentive fee deferral mechanism.</w:t>
      </w:r>
    </w:p>
    <w:p>
      <w:pPr>
        <w:spacing w:after="0" w:line="66"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3"/>
          <w:szCs w:val="13"/>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5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For the three months ended September 30, 2022 and 2021, the Company incurred $0.9 million and $1.1 million in base management fees, respectively. The Company did not earn an incentive fee related to pre-incentive fee net investment income or capital gains for both the three months ended September 30, 2022 and 2021.</w:t>
      </w:r>
    </w:p>
    <w:p>
      <w:pPr>
        <w:spacing w:after="0" w:line="6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For the nine months ended September 30, 2022 and 2021, the Company incurred $2.9 million and $3.8 million in base management fees, respectively. The Company did not earn an incentive fee related to pre-incentive fee net investment income or capital gains for both the nine months ended September 30, 2022 and 2021.</w:t>
      </w:r>
    </w:p>
    <w:p>
      <w:pPr>
        <w:spacing w:after="0" w:line="79"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3"/>
          <w:szCs w:val="13"/>
          <w:color w:val="auto"/>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6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4"/>
          <w:szCs w:val="14"/>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until July 1, 2021, a period of two years from the date it first became effective and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9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For the three months ended September 30, 2022 and 2021, the Company accrued $0.2 million and $0.2 million, respectively, for the Company’s allocable portion of the Administrator’s overhead.</w:t>
      </w:r>
    </w:p>
    <w:p>
      <w:pPr>
        <w:spacing w:after="0" w:line="6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For the nine months ended September 30, 2022 and 2021, the Company accrued $0.4 million and $0.9 million, respectively, for the Company’s allocable portion of the Administrator’s overhead.</w:t>
      </w:r>
    </w:p>
    <w:p>
      <w:pPr>
        <w:spacing w:after="0" w:line="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Related Party Transactions</w:t>
      </w:r>
    </w:p>
    <w:p>
      <w:pPr>
        <w:spacing w:after="0" w:line="11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As of September 30, 2022 and December 31, 2021, the Company had $0.9 million and $1.1 million of management and incentive fees payable. These amounts are reflected in the accompanying consolidated statements of assets and liabilities under the caption “Management and incentive fees payable."</w:t>
      </w:r>
    </w:p>
    <w:p>
      <w:pPr>
        <w:spacing w:after="0" w:line="6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3"/>
          <w:szCs w:val="13"/>
          <w:color w:val="auto"/>
        </w:rPr>
        <w:t>During the three months ended September 30, 2022, there were no transactions subject to Rule 17a-7 under the 1940 Act. During the nine months ended September 30, 2022, the Company sold $7.9 million in total investments to an affiliated fund in accordance with, and pursuant to procedures adopted under, Rule 17a-7 of the 1940 Act. Realized losses on those sales for the same period amounted to less than $0.1 million. There were no transactions subject to Rule 17a-7 under the 1940 Act during the three and nine months ended September 30, 2021.</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Borrowings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SBA-guaranteed Debentures</w:t>
      </w:r>
    </w:p>
    <w:p>
      <w:pPr>
        <w:spacing w:after="0" w:line="12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3"/>
          <w:szCs w:val="13"/>
          <w:color w:val="auto"/>
        </w:rPr>
        <w:t>The Company, through its wholly owned subsidiary Fund III, historically used debenture leverage provided through the SBA to fund a portion of its investment portfolio. On June 10, 2021, Fund III repaid all of its remaining SBA-guaranteed debentures. On June 10, 2014, the Company received an exemptive order from the SEC exempting the Company, Fund II, and Fund</w:t>
      </w:r>
    </w:p>
    <w:p>
      <w:pPr>
        <w:spacing w:after="0" w:line="1" w:lineRule="exact"/>
        <w:rPr>
          <w:sz w:val="20"/>
          <w:szCs w:val="20"/>
          <w:color w:val="auto"/>
        </w:rPr>
      </w:pPr>
    </w:p>
    <w:p>
      <w:pPr>
        <w:ind w:firstLine="8"/>
        <w:spacing w:after="0" w:line="255" w:lineRule="auto"/>
        <w:tabs>
          <w:tab w:leader="none" w:pos="184" w:val="left"/>
        </w:tabs>
        <w:numPr>
          <w:ilvl w:val="0"/>
          <w:numId w:val="22"/>
        </w:numPr>
        <w:rPr>
          <w:rFonts w:ascii="Arial" w:cs="Arial" w:eastAsia="Arial" w:hAnsi="Arial"/>
          <w:sz w:val="14"/>
          <w:szCs w:val="14"/>
          <w:color w:val="auto"/>
        </w:rPr>
      </w:pPr>
      <w:r>
        <w:rPr>
          <w:rFonts w:ascii="Arial" w:cs="Arial" w:eastAsia="Arial" w:hAnsi="Arial"/>
          <w:sz w:val="14"/>
          <w:szCs w:val="14"/>
          <w:color w:val="auto"/>
        </w:rPr>
        <w:t>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91" w:lineRule="exact"/>
        <w:rPr>
          <w:sz w:val="20"/>
          <w:szCs w:val="20"/>
          <w:color w:val="auto"/>
        </w:rPr>
      </w:pPr>
    </w:p>
    <w:p>
      <w:pPr>
        <w:ind w:firstLine="749"/>
        <w:spacing w:after="0" w:line="273" w:lineRule="auto"/>
        <w:rPr>
          <w:sz w:val="20"/>
          <w:szCs w:val="20"/>
          <w:color w:val="auto"/>
        </w:rPr>
      </w:pPr>
      <w:r>
        <w:rPr>
          <w:rFonts w:ascii="Arial" w:cs="Arial" w:eastAsia="Arial" w:hAnsi="Arial"/>
          <w:sz w:val="14"/>
          <w:szCs w:val="14"/>
          <w:color w:val="auto"/>
        </w:rPr>
        <w:t>On March 1, 2019, Fund II repaid its outstanding SBA-guaranteed debentures and relinquished its SBIC license. On June 10, 2021, Fund III repaid its SBA-guaranteed debentures and relinquished its SBIC license.</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September 30, 2022 and December 31, 2021, there were no SBA-guaranteed debentures outstanding.</w:t>
      </w:r>
    </w:p>
    <w:p>
      <w:pPr>
        <w:spacing w:after="0" w:line="109" w:lineRule="exact"/>
        <w:rPr>
          <w:sz w:val="20"/>
          <w:szCs w:val="20"/>
          <w:color w:val="auto"/>
        </w:rPr>
      </w:pPr>
    </w:p>
    <w:p>
      <w:pPr>
        <w:ind w:right="20" w:firstLine="749"/>
        <w:spacing w:after="0" w:line="293" w:lineRule="auto"/>
        <w:rPr>
          <w:sz w:val="20"/>
          <w:szCs w:val="20"/>
          <w:color w:val="auto"/>
        </w:rPr>
      </w:pPr>
      <w:r>
        <w:rPr>
          <w:rFonts w:ascii="Arial" w:cs="Arial" w:eastAsia="Arial" w:hAnsi="Arial"/>
          <w:sz w:val="14"/>
          <w:szCs w:val="14"/>
          <w:color w:val="auto"/>
        </w:rPr>
        <w:t>The following table summarizes the historical interest expense and annual charges, deferred financing costs, average outstanding balance, and average stated interest and annual charge rate on the SBA-guaranteed debentures for the three and nine months ended September 30, 2022 and 2021 (dollars in thousands):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8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5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4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 and annual charges</w:t>
            </w:r>
          </w:p>
        </w:tc>
        <w:tc>
          <w:tcPr>
            <w:tcW w:w="1180" w:type="dxa"/>
            <w:vAlign w:val="bottom"/>
            <w:tcBorders>
              <w:top w:val="single" w:sz="8" w:color="auto"/>
            </w:tcBorders>
            <w:shd w:val="clear" w:color="auto" w:fill="CFF0FC"/>
          </w:tcPr>
          <w:p>
            <w:pPr>
              <w:jc w:val="right"/>
              <w:ind w:right="102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ind w:right="116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84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180" w:type="dxa"/>
            <w:vAlign w:val="bottom"/>
            <w:tcBorders>
              <w:bottom w:val="single" w:sz="8" w:color="auto"/>
            </w:tcBorders>
            <w:shd w:val="clear" w:color="auto" w:fill="CFF0FC"/>
          </w:tcPr>
          <w:p>
            <w:pPr>
              <w:jc w:val="right"/>
              <w:ind w:right="102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16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8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384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180" w:type="dxa"/>
            <w:vAlign w:val="bottom"/>
          </w:tcPr>
          <w:p>
            <w:pPr>
              <w:jc w:val="right"/>
              <w:ind w:right="1028"/>
              <w:spacing w:after="0" w:line="156"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168"/>
              <w:spacing w:after="0" w:line="156"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988"/>
              <w:spacing w:after="0" w:line="156"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088"/>
              <w:spacing w:after="0" w:line="156"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6" w:lineRule="exact"/>
              <w:rPr>
                <w:sz w:val="20"/>
                <w:szCs w:val="20"/>
                <w:color w:val="auto"/>
              </w:rPr>
            </w:pPr>
            <w:r>
              <w:rPr>
                <w:rFonts w:ascii="Arial" w:cs="Arial" w:eastAsia="Arial" w:hAnsi="Arial"/>
                <w:sz w:val="14"/>
                <w:szCs w:val="14"/>
                <w:color w:val="auto"/>
                <w:w w:val="88"/>
              </w:rPr>
              <w:t>45,154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3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and annual charge rate</w:t>
            </w:r>
          </w:p>
        </w:tc>
        <w:tc>
          <w:tcPr>
            <w:tcW w:w="11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3.14 %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-248285</wp:posOffset>
            </wp:positionV>
            <wp:extent cx="3651885"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651885" cy="13716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Notes</w:t>
      </w:r>
    </w:p>
    <w:p>
      <w:pPr>
        <w:spacing w:after="0" w:line="109" w:lineRule="exact"/>
        <w:rPr>
          <w:sz w:val="20"/>
          <w:szCs w:val="20"/>
          <w:color w:val="auto"/>
        </w:rPr>
      </w:pPr>
    </w:p>
    <w:p>
      <w:pPr>
        <w:jc w:val="both"/>
        <w:ind w:right="20" w:firstLine="749"/>
        <w:spacing w:after="0" w:line="251" w:lineRule="auto"/>
        <w:rPr>
          <w:sz w:val="20"/>
          <w:szCs w:val="20"/>
          <w:color w:val="auto"/>
        </w:rPr>
      </w:pPr>
      <w:r>
        <w:rPr>
          <w:rFonts w:ascii="Arial" w:cs="Arial" w:eastAsia="Arial" w:hAnsi="Arial"/>
          <w:sz w:val="14"/>
          <w:szCs w:val="14"/>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On November 1, 2021, the Company notified the Trustee for the Company's 2022 Notes, of the Company's election to redeem $50.0 million aggregate principal amount of the 2022 Notes outstanding. The redemption was completed on December 6, 2021. On May 31, 2022, the remaining 2022 Notes reached maturity, and the entire outstanding principal of the 2022 Notes became payable and was paid by the Company. Accordingly, as of September 30, 2022, there were no 2022 Notes outstanding. As of December 31, 2021, the Company had $22.8 million in aggregate principal amount of 2022 Notes outstanding.</w:t>
      </w:r>
    </w:p>
    <w:p>
      <w:pPr>
        <w:spacing w:after="0" w:line="83"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14"/>
          <w:szCs w:val="14"/>
          <w:color w:val="auto"/>
        </w:rPr>
        <w:t>The 2022 Notes were scheduled to mature on May 31, 2022 and could be redeemed in whole or in part at any time or from time to time at the Company’s option on or after May 31, 2019 at a redemption price equal to 100% of the outstanding principal, plus accrued and unpaid interest. Interest on the 2022 Notes was payable quarterly. The 2022 Notes were listed on the NASDAQ Global Select Market under the trading symbol "CPTAL" with a par value of $25.00 per share.</w:t>
      </w:r>
    </w:p>
    <w:p>
      <w:pPr>
        <w:spacing w:after="0" w:line="70" w:lineRule="exact"/>
        <w:rPr>
          <w:sz w:val="20"/>
          <w:szCs w:val="20"/>
          <w:color w:val="auto"/>
        </w:rPr>
      </w:pPr>
    </w:p>
    <w:p>
      <w:pPr>
        <w:jc w:val="both"/>
        <w:ind w:right="20" w:firstLine="749"/>
        <w:spacing w:after="0" w:line="273" w:lineRule="auto"/>
        <w:rPr>
          <w:sz w:val="20"/>
          <w:szCs w:val="20"/>
          <w:color w:val="auto"/>
        </w:rPr>
      </w:pPr>
      <w:r>
        <w:rPr>
          <w:rFonts w:ascii="Arial" w:cs="Arial" w:eastAsia="Arial" w:hAnsi="Arial"/>
          <w:sz w:val="14"/>
          <w:szCs w:val="14"/>
          <w:color w:val="auto"/>
        </w:rPr>
        <w:t>The following table summarizes the interest expense, deferred financing costs, average outstanding balance, and average stated interest rate on the 2022 Notes for the three and nine months ended September 30, 2022 and 2021 (dollars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3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8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5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160" w:type="dxa"/>
            <w:vAlign w:val="bottom"/>
            <w:tcBorders>
              <w:top w:val="single" w:sz="8" w:color="auto"/>
            </w:tcBorders>
            <w:shd w:val="clear" w:color="auto" w:fill="CFF0FC"/>
          </w:tcPr>
          <w:p>
            <w:pPr>
              <w:jc w:val="right"/>
              <w:ind w:right="100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1,092</w:t>
            </w:r>
          </w:p>
        </w:tc>
        <w:tc>
          <w:tcPr>
            <w:tcW w:w="22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609</w:t>
            </w:r>
          </w:p>
        </w:tc>
        <w:tc>
          <w:tcPr>
            <w:tcW w:w="220" w:type="dxa"/>
            <w:vAlign w:val="bottom"/>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3,278</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82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160" w:type="dxa"/>
            <w:vAlign w:val="bottom"/>
            <w:tcBorders>
              <w:bottom w:val="single" w:sz="8" w:color="auto"/>
            </w:tcBorders>
            <w:shd w:val="clear" w:color="auto" w:fill="CFF0FC"/>
          </w:tcPr>
          <w:p>
            <w:pPr>
              <w:jc w:val="right"/>
              <w:ind w:right="10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1,241</w:t>
            </w:r>
          </w:p>
        </w:tc>
        <w:tc>
          <w:tcPr>
            <w:tcW w:w="2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654</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06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382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160" w:type="dxa"/>
            <w:vAlign w:val="bottom"/>
          </w:tcPr>
          <w:p>
            <w:pPr>
              <w:jc w:val="right"/>
              <w:ind w:right="1008"/>
              <w:spacing w:after="0" w:line="156"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108"/>
              <w:spacing w:after="0" w:line="156"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6" w:lineRule="exact"/>
              <w:rPr>
                <w:sz w:val="20"/>
                <w:szCs w:val="20"/>
                <w:color w:val="auto"/>
              </w:rPr>
            </w:pPr>
            <w:r>
              <w:rPr>
                <w:rFonts w:ascii="Arial" w:cs="Arial" w:eastAsia="Arial" w:hAnsi="Arial"/>
                <w:sz w:val="14"/>
                <w:szCs w:val="14"/>
                <w:color w:val="auto"/>
                <w:w w:val="88"/>
              </w:rPr>
              <w:t>72,833</w:t>
            </w:r>
          </w:p>
        </w:tc>
        <w:tc>
          <w:tcPr>
            <w:tcW w:w="220" w:type="dxa"/>
            <w:vAlign w:val="bottom"/>
          </w:tcPr>
          <w:p>
            <w:pPr>
              <w:spacing w:after="0"/>
              <w:rPr>
                <w:sz w:val="13"/>
                <w:szCs w:val="13"/>
                <w:color w:val="auto"/>
              </w:rPr>
            </w:pPr>
          </w:p>
        </w:tc>
        <w:tc>
          <w:tcPr>
            <w:tcW w:w="1100" w:type="dxa"/>
            <w:vAlign w:val="bottom"/>
          </w:tcPr>
          <w:p>
            <w:pPr>
              <w:jc w:val="right"/>
              <w:ind w:right="948"/>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12,546</w:t>
            </w:r>
          </w:p>
        </w:tc>
        <w:tc>
          <w:tcPr>
            <w:tcW w:w="220" w:type="dxa"/>
            <w:vAlign w:val="bottom"/>
          </w:tcPr>
          <w:p>
            <w:pPr>
              <w:spacing w:after="0"/>
              <w:rPr>
                <w:sz w:val="13"/>
                <w:szCs w:val="13"/>
                <w:color w:val="auto"/>
              </w:rPr>
            </w:pPr>
          </w:p>
        </w:tc>
        <w:tc>
          <w:tcPr>
            <w:tcW w:w="1220" w:type="dxa"/>
            <w:vAlign w:val="bottom"/>
          </w:tcPr>
          <w:p>
            <w:pPr>
              <w:jc w:val="right"/>
              <w:ind w:right="1068"/>
              <w:spacing w:after="0" w:line="156"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w w:val="93"/>
              </w:rPr>
              <w:t>72,833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1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6.00 %</w:t>
            </w:r>
          </w:p>
        </w:tc>
        <w:tc>
          <w:tcPr>
            <w:tcW w:w="1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6.00 %</w:t>
            </w:r>
          </w:p>
        </w:tc>
        <w:tc>
          <w:tcPr>
            <w:tcW w:w="12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6.00 %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-247650</wp:posOffset>
            </wp:positionV>
            <wp:extent cx="3677285"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677285" cy="13716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2022 Convertible Notes</w:t>
      </w:r>
    </w:p>
    <w:p>
      <w:pPr>
        <w:spacing w:after="0" w:line="109" w:lineRule="exact"/>
        <w:rPr>
          <w:sz w:val="20"/>
          <w:szCs w:val="20"/>
          <w:color w:val="auto"/>
        </w:rPr>
      </w:pPr>
    </w:p>
    <w:p>
      <w:pPr>
        <w:jc w:val="both"/>
        <w:ind w:right="20" w:firstLine="749"/>
        <w:spacing w:after="0" w:line="284" w:lineRule="auto"/>
        <w:rPr>
          <w:sz w:val="20"/>
          <w:szCs w:val="20"/>
          <w:color w:val="auto"/>
        </w:rPr>
      </w:pPr>
      <w:r>
        <w:rPr>
          <w:rFonts w:ascii="Arial" w:cs="Arial" w:eastAsia="Arial" w:hAnsi="Arial"/>
          <w:sz w:val="13"/>
          <w:szCs w:val="13"/>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September 30, 2022, there were no 2022 Convertible Notes outstanding. As of December 31, 2021, the Company had $52.1 million in 2022 Convertible Notes outstanding.</w:t>
      </w:r>
    </w:p>
    <w:p>
      <w:pPr>
        <w:spacing w:after="0" w:line="6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14"/>
          <w:szCs w:val="14"/>
          <w:color w:val="auto"/>
        </w:rPr>
        <w:t>The 2022 Convertible Notes were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was approximately 14.0%. As a result of the reverse stock split, the conversion rate for the 2022 Convertible Notes was 0.2652 shares per $25.00 principal amount of 2022 Convertible Notes (equivalent to a conversion price of approximately $94.26), effective August 21, 2020. Upon conversion, the Company was obligated to deliver shares of its common stock (and cash in lieu of fractional shares). The conversion rate was subject to adjustment if certain events occurred as outlined in the supplemental indenture relating to the 2022 Convertible Notes. The Company determined that the embedded conversion option in the 2022 Convertible Notes was not required to be separately accounted for as a derivative under U.S. GAAP.</w:t>
      </w:r>
    </w:p>
    <w:p>
      <w:pPr>
        <w:spacing w:after="0" w:line="95"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14"/>
          <w:szCs w:val="14"/>
          <w:color w:val="auto"/>
        </w:rPr>
        <w:t>In addition, pursuant to a “fundamental change”, as defined in the supplemental indenture relating to the 2022 Convertible Notes, holders of the 2022 Convertible Notes could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were not redeemable prior to maturity and no “sinking fund” was provided for the 2022 Convertible Notes.</w:t>
      </w:r>
    </w:p>
    <w:p>
      <w:pPr>
        <w:spacing w:after="0" w:line="93" w:lineRule="exact"/>
        <w:rPr>
          <w:sz w:val="20"/>
          <w:szCs w:val="20"/>
          <w:color w:val="auto"/>
        </w:rPr>
      </w:pPr>
    </w:p>
    <w:p>
      <w:pPr>
        <w:jc w:val="both"/>
        <w:ind w:right="20" w:firstLine="749"/>
        <w:spacing w:after="0" w:line="273" w:lineRule="auto"/>
        <w:rPr>
          <w:sz w:val="20"/>
          <w:szCs w:val="20"/>
          <w:color w:val="auto"/>
        </w:rPr>
      </w:pPr>
      <w:r>
        <w:rPr>
          <w:rFonts w:ascii="Arial" w:cs="Arial" w:eastAsia="Arial" w:hAnsi="Arial"/>
          <w:sz w:val="14"/>
          <w:szCs w:val="14"/>
          <w:color w:val="auto"/>
        </w:rPr>
        <w:t>The following table summarizes the interest expense, deferred financing costs, average outstanding balance, and average stated interest rate on the 2022 Convertible Notes for the three and nine months ended September 30, 2022 and 2021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31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6"/>
          </w:tcPr>
          <w:p>
            <w:pPr>
              <w:ind w:left="18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69"/>
        </w:trPr>
        <w:tc>
          <w:tcPr>
            <w:tcW w:w="3820" w:type="dxa"/>
            <w:vAlign w:val="bottom"/>
          </w:tcPr>
          <w:p>
            <w:pPr>
              <w:spacing w:after="0"/>
              <w:rPr>
                <w:sz w:val="14"/>
                <w:szCs w:val="14"/>
                <w:color w:val="auto"/>
              </w:rPr>
            </w:pPr>
          </w:p>
        </w:tc>
        <w:tc>
          <w:tcPr>
            <w:tcW w:w="11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160" w:type="dxa"/>
            <w:vAlign w:val="bottom"/>
            <w:tcBorders>
              <w:top w:val="single" w:sz="8" w:color="auto"/>
            </w:tcBorders>
            <w:shd w:val="clear" w:color="auto" w:fill="CFF0FC"/>
          </w:tcPr>
          <w:p>
            <w:pPr>
              <w:jc w:val="right"/>
              <w:ind w:right="100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750</w:t>
            </w:r>
          </w:p>
        </w:tc>
        <w:tc>
          <w:tcPr>
            <w:tcW w:w="2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1,239</w:t>
            </w:r>
          </w:p>
        </w:tc>
        <w:tc>
          <w:tcPr>
            <w:tcW w:w="22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2,248</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382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160" w:type="dxa"/>
            <w:vAlign w:val="bottom"/>
            <w:tcBorders>
              <w:bottom w:val="single" w:sz="8" w:color="auto"/>
            </w:tcBorders>
            <w:shd w:val="clear" w:color="auto" w:fill="CFF0FC"/>
          </w:tcPr>
          <w:p>
            <w:pPr>
              <w:jc w:val="right"/>
              <w:ind w:right="100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10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846</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1,407</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2,535</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382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160" w:type="dxa"/>
            <w:vAlign w:val="bottom"/>
          </w:tcPr>
          <w:p>
            <w:pPr>
              <w:jc w:val="right"/>
              <w:ind w:right="1008"/>
              <w:spacing w:after="0" w:line="156"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108"/>
              <w:spacing w:after="0" w:line="156"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6" w:lineRule="exact"/>
              <w:rPr>
                <w:sz w:val="20"/>
                <w:szCs w:val="20"/>
                <w:color w:val="auto"/>
              </w:rPr>
            </w:pPr>
            <w:r>
              <w:rPr>
                <w:rFonts w:ascii="Arial" w:cs="Arial" w:eastAsia="Arial" w:hAnsi="Arial"/>
                <w:sz w:val="14"/>
                <w:szCs w:val="14"/>
                <w:color w:val="auto"/>
                <w:w w:val="88"/>
              </w:rPr>
              <w:t>52,088</w:t>
            </w:r>
          </w:p>
        </w:tc>
        <w:tc>
          <w:tcPr>
            <w:tcW w:w="220" w:type="dxa"/>
            <w:vAlign w:val="bottom"/>
          </w:tcPr>
          <w:p>
            <w:pPr>
              <w:spacing w:after="0"/>
              <w:rPr>
                <w:sz w:val="13"/>
                <w:szCs w:val="13"/>
                <w:color w:val="auto"/>
              </w:rPr>
            </w:pPr>
          </w:p>
        </w:tc>
        <w:tc>
          <w:tcPr>
            <w:tcW w:w="260" w:type="dxa"/>
            <w:vAlign w:val="bottom"/>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line="156" w:lineRule="exact"/>
              <w:rPr>
                <w:sz w:val="20"/>
                <w:szCs w:val="20"/>
                <w:color w:val="auto"/>
              </w:rPr>
            </w:pPr>
            <w:r>
              <w:rPr>
                <w:rFonts w:ascii="Arial" w:cs="Arial" w:eastAsia="Arial" w:hAnsi="Arial"/>
                <w:sz w:val="14"/>
                <w:szCs w:val="14"/>
                <w:color w:val="auto"/>
              </w:rPr>
              <w:t>28,620</w:t>
            </w:r>
          </w:p>
        </w:tc>
        <w:tc>
          <w:tcPr>
            <w:tcW w:w="220" w:type="dxa"/>
            <w:vAlign w:val="bottom"/>
          </w:tcPr>
          <w:p>
            <w:pPr>
              <w:spacing w:after="0"/>
              <w:rPr>
                <w:sz w:val="13"/>
                <w:szCs w:val="13"/>
                <w:color w:val="auto"/>
              </w:rPr>
            </w:pPr>
          </w:p>
        </w:tc>
        <w:tc>
          <w:tcPr>
            <w:tcW w:w="380" w:type="dxa"/>
            <w:vAlign w:val="bottom"/>
          </w:tcPr>
          <w:p>
            <w:pPr>
              <w:jc w:val="right"/>
              <w:ind w:right="228"/>
              <w:spacing w:after="0" w:line="156" w:lineRule="exact"/>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line="156" w:lineRule="exact"/>
              <w:rPr>
                <w:sz w:val="20"/>
                <w:szCs w:val="20"/>
                <w:color w:val="auto"/>
              </w:rPr>
            </w:pPr>
            <w:r>
              <w:rPr>
                <w:rFonts w:ascii="Arial" w:cs="Arial" w:eastAsia="Arial" w:hAnsi="Arial"/>
                <w:sz w:val="14"/>
                <w:szCs w:val="14"/>
                <w:color w:val="auto"/>
              </w:rPr>
              <w:t>52,088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1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5.75 %</w:t>
            </w:r>
          </w:p>
        </w:tc>
        <w:tc>
          <w:tcPr>
            <w:tcW w:w="2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5.75 %</w:t>
            </w:r>
          </w:p>
        </w:tc>
        <w:tc>
          <w:tcPr>
            <w:tcW w:w="38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5.75 %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-247650</wp:posOffset>
            </wp:positionV>
            <wp:extent cx="3677285"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677285" cy="13716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2026 Notes</w:t>
      </w:r>
    </w:p>
    <w:p>
      <w:pPr>
        <w:spacing w:after="0" w:line="109" w:lineRule="exact"/>
        <w:rPr>
          <w:sz w:val="20"/>
          <w:szCs w:val="20"/>
          <w:color w:val="auto"/>
        </w:rPr>
      </w:pPr>
    </w:p>
    <w:p>
      <w:pPr>
        <w:jc w:val="both"/>
        <w:ind w:right="20" w:firstLine="749"/>
        <w:spacing w:after="0" w:line="254" w:lineRule="auto"/>
        <w:rPr>
          <w:sz w:val="20"/>
          <w:szCs w:val="20"/>
          <w:color w:val="auto"/>
        </w:rPr>
      </w:pPr>
      <w:r>
        <w:rPr>
          <w:rFonts w:ascii="Arial" w:cs="Arial" w:eastAsia="Arial" w:hAnsi="Arial"/>
          <w:sz w:val="14"/>
          <w:szCs w:val="14"/>
          <w:color w:val="auto"/>
        </w:rPr>
        <w:t>On October 29, 2021, the Company issued $50.0 million in aggregate principal amount of 5.25% fixed-rate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26" w:name="page27"/>
    <w:bookmarkEnd w:id="26"/>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8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September 30, 2022 and December 31, 2021, the Company had $50.0 million, respectively in 2026 Notes outstanding.</w:t>
      </w:r>
    </w:p>
    <w:p>
      <w:pPr>
        <w:spacing w:after="0" w:line="10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The following table summarizes the interest expense, deferred financing costs, average outstanding balance, and average stated interest rate on the 2026 Notes for the three and nine months ended September 30, 2022 and 2021 (dollars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10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694</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2,106</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209"/>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24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744</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2,226</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374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240" w:type="dxa"/>
            <w:vAlign w:val="bottom"/>
          </w:tcPr>
          <w:p>
            <w:pPr>
              <w:jc w:val="right"/>
              <w:ind w:right="1088"/>
              <w:spacing w:after="0" w:line="156"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50,000</w:t>
            </w:r>
          </w:p>
        </w:tc>
        <w:tc>
          <w:tcPr>
            <w:tcW w:w="240" w:type="dxa"/>
            <w:vAlign w:val="bottom"/>
          </w:tcPr>
          <w:p>
            <w:pPr>
              <w:spacing w:after="0"/>
              <w:rPr>
                <w:sz w:val="13"/>
                <w:szCs w:val="13"/>
                <w:color w:val="auto"/>
              </w:rPr>
            </w:pPr>
          </w:p>
        </w:tc>
        <w:tc>
          <w:tcPr>
            <w:tcW w:w="1260" w:type="dxa"/>
            <w:vAlign w:val="bottom"/>
          </w:tcPr>
          <w:p>
            <w:pPr>
              <w:jc w:val="right"/>
              <w:ind w:right="1088"/>
              <w:spacing w:after="0" w:line="156"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56" w:lineRule="exact"/>
              <w:rPr>
                <w:sz w:val="20"/>
                <w:szCs w:val="20"/>
                <w:color w:val="auto"/>
              </w:rPr>
            </w:pPr>
            <w:r>
              <w:rPr>
                <w:rFonts w:ascii="Arial" w:cs="Arial" w:eastAsia="Arial" w:hAnsi="Arial"/>
                <w:sz w:val="14"/>
                <w:szCs w:val="14"/>
                <w:color w:val="auto"/>
              </w:rPr>
              <w:t>50,000</w:t>
            </w:r>
          </w:p>
        </w:tc>
        <w:tc>
          <w:tcPr>
            <w:tcW w:w="220" w:type="dxa"/>
            <w:vAlign w:val="bottom"/>
          </w:tcPr>
          <w:p>
            <w:pPr>
              <w:spacing w:after="0"/>
              <w:rPr>
                <w:sz w:val="13"/>
                <w:szCs w:val="13"/>
                <w:color w:val="auto"/>
              </w:rPr>
            </w:pPr>
          </w:p>
        </w:tc>
        <w:tc>
          <w:tcPr>
            <w:tcW w:w="360" w:type="dxa"/>
            <w:vAlign w:val="bottom"/>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2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5.25 %</w:t>
            </w:r>
          </w:p>
        </w:tc>
        <w:tc>
          <w:tcPr>
            <w:tcW w:w="12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5.25 %</w:t>
            </w: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-248285</wp:posOffset>
            </wp:positionV>
            <wp:extent cx="359156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591560" cy="13716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2032 Convertible Notes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On April 1, 2022, the Company issued $15.0 million in aggregate principal amount of 5.25% fixed-rate convertible notes due April 1, 2032 (the “2032 Convertible Notes”).</w:t>
      </w:r>
    </w:p>
    <w:p>
      <w:pPr>
        <w:spacing w:after="0" w:line="10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3"/>
          <w:szCs w:val="13"/>
          <w:color w:val="auto"/>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spacing w:after="0" w:line="71"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3"/>
          <w:szCs w:val="13"/>
          <w:color w:val="auto"/>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September 30, 2022, the Company had $15.0 million in 2032 Convertible Notes outstanding.</w:t>
      </w:r>
    </w:p>
    <w:p>
      <w:pPr>
        <w:spacing w:after="0" w:line="109"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4"/>
          <w:szCs w:val="14"/>
          <w:color w:val="auto"/>
        </w:rPr>
        <w:t>The following table summarizes the interest expense, deferred financing costs, average outstanding balance, and average stated interest rate on the 2032 Convertible Notes for the three and nine months ended September 30, 2022 and 2021 (dollars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10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209"/>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interest and financing expenses</w:t>
            </w:r>
          </w:p>
        </w:tc>
        <w:tc>
          <w:tcPr>
            <w:tcW w:w="124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2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3740" w:type="dxa"/>
            <w:vAlign w:val="bottom"/>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240" w:type="dxa"/>
            <w:vAlign w:val="bottom"/>
          </w:tcPr>
          <w:p>
            <w:pPr>
              <w:jc w:val="right"/>
              <w:ind w:right="1088"/>
              <w:spacing w:after="0" w:line="156"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15,000</w:t>
            </w:r>
          </w:p>
        </w:tc>
        <w:tc>
          <w:tcPr>
            <w:tcW w:w="240" w:type="dxa"/>
            <w:vAlign w:val="bottom"/>
          </w:tcPr>
          <w:p>
            <w:pPr>
              <w:spacing w:after="0"/>
              <w:rPr>
                <w:sz w:val="13"/>
                <w:szCs w:val="13"/>
                <w:color w:val="auto"/>
              </w:rPr>
            </w:pPr>
          </w:p>
        </w:tc>
        <w:tc>
          <w:tcPr>
            <w:tcW w:w="1260" w:type="dxa"/>
            <w:vAlign w:val="bottom"/>
          </w:tcPr>
          <w:p>
            <w:pPr>
              <w:jc w:val="right"/>
              <w:ind w:right="1088"/>
              <w:spacing w:after="0" w:line="156"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360" w:type="dxa"/>
            <w:vAlign w:val="bottom"/>
          </w:tcPr>
          <w:p>
            <w:pPr>
              <w:jc w:val="right"/>
              <w:spacing w:after="0" w:line="156" w:lineRule="exact"/>
              <w:rPr>
                <w:sz w:val="20"/>
                <w:szCs w:val="20"/>
                <w:color w:val="auto"/>
              </w:rPr>
            </w:pPr>
            <w:r>
              <w:rPr>
                <w:rFonts w:ascii="Arial" w:cs="Arial" w:eastAsia="Arial" w:hAnsi="Arial"/>
                <w:sz w:val="14"/>
                <w:szCs w:val="14"/>
                <w:color w:val="auto"/>
              </w:rPr>
              <w:t>10,055</w:t>
            </w:r>
          </w:p>
        </w:tc>
        <w:tc>
          <w:tcPr>
            <w:tcW w:w="220" w:type="dxa"/>
            <w:vAlign w:val="bottom"/>
          </w:tcPr>
          <w:p>
            <w:pPr>
              <w:spacing w:after="0"/>
              <w:rPr>
                <w:sz w:val="13"/>
                <w:szCs w:val="13"/>
                <w:color w:val="auto"/>
              </w:rPr>
            </w:pPr>
          </w:p>
        </w:tc>
        <w:tc>
          <w:tcPr>
            <w:tcW w:w="360" w:type="dxa"/>
            <w:vAlign w:val="bottom"/>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stated interest rate</w:t>
            </w:r>
          </w:p>
        </w:tc>
        <w:tc>
          <w:tcPr>
            <w:tcW w:w="12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5.25 %</w:t>
            </w:r>
          </w:p>
        </w:tc>
        <w:tc>
          <w:tcPr>
            <w:tcW w:w="12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5.25 %</w:t>
            </w: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-247650</wp:posOffset>
            </wp:positionV>
            <wp:extent cx="359156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591560" cy="13716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KeyBank Credit Facility</w:t>
      </w:r>
    </w:p>
    <w:p>
      <w:pPr>
        <w:spacing w:after="0" w:line="10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On October 30, 2020, Capitala Business Lending, LLC ("CBL"), a direct, wholly owned, consolidated subsidiary of the Company, entered into a senior secured revolving credit agreement ("the KeyBank Credit Facility"), with the Investment Advisor at the time, as collateral manager, the lenders from time to time parties thereto (each a “Lender”), KeyBank National Association, as administrative agent, and U.S. Bank National Association, as custodian. The KeyBank Credit Facility was amended on May 10,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p>
      <w:pPr>
        <w:jc w:val="both"/>
        <w:ind w:right="20"/>
        <w:spacing w:after="0" w:line="248" w:lineRule="auto"/>
        <w:rPr>
          <w:sz w:val="20"/>
          <w:szCs w:val="20"/>
          <w:color w:val="auto"/>
        </w:rPr>
      </w:pPr>
      <w:r>
        <w:rPr>
          <w:rFonts w:ascii="Arial" w:cs="Arial" w:eastAsia="Arial" w:hAnsi="Arial"/>
          <w:sz w:val="14"/>
          <w:szCs w:val="14"/>
          <w:color w:val="auto"/>
        </w:rPr>
        <w:t xml:space="preserve">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 As of September 30, 2022 and December 31, 2021, there were draws of </w:t>
      </w:r>
      <w:r>
        <w:rPr>
          <w:rFonts w:ascii="Arial" w:cs="Arial" w:eastAsia="Arial" w:hAnsi="Arial"/>
          <w:sz w:val="14"/>
          <w:szCs w:val="14"/>
          <w:color w:val="231F20"/>
        </w:rPr>
        <w:t>$45.8</w:t>
      </w:r>
      <w:r>
        <w:rPr>
          <w:rFonts w:ascii="Arial" w:cs="Arial" w:eastAsia="Arial" w:hAnsi="Arial"/>
          <w:sz w:val="14"/>
          <w:szCs w:val="14"/>
          <w:color w:val="auto"/>
        </w:rPr>
        <w:t xml:space="preserve"> million and zero, respectively, on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September 30, 2022 and December 31, 2021, assets pledged to secure the KeyBank Credit Facility had a fair value of $101.4 million and $57.7 million, respectively.</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following table summarizes the interest expense, deferred financing costs, unused commitment fees, average outstanding balance, and average stated interest rate on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KeyBank Credit Facility for the three and nine months ended September 30, 2022 and 2021 (dollars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31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60" w:type="dxa"/>
            <w:vAlign w:val="bottom"/>
            <w:gridSpan w:val="6"/>
          </w:tcPr>
          <w:p>
            <w:pPr>
              <w:ind w:left="16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69"/>
        </w:trPr>
        <w:tc>
          <w:tcPr>
            <w:tcW w:w="38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w:t>
            </w:r>
          </w:p>
        </w:tc>
        <w:tc>
          <w:tcPr>
            <w:tcW w:w="2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382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Unused commitment fees</w:t>
            </w:r>
          </w:p>
        </w:tc>
        <w:tc>
          <w:tcPr>
            <w:tcW w:w="1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4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820" w:type="dxa"/>
            <w:vAlign w:val="bottom"/>
          </w:tcPr>
          <w:p>
            <w:pPr>
              <w:ind w:left="20"/>
              <w:spacing w:after="0"/>
              <w:rPr>
                <w:sz w:val="20"/>
                <w:szCs w:val="20"/>
                <w:color w:val="auto"/>
              </w:rPr>
            </w:pPr>
            <w:r>
              <w:rPr>
                <w:rFonts w:ascii="Arial" w:cs="Arial" w:eastAsia="Arial" w:hAnsi="Arial"/>
                <w:sz w:val="14"/>
                <w:szCs w:val="14"/>
                <w:color w:val="auto"/>
              </w:rPr>
              <w:t>Total interest and financing expenses</w:t>
            </w:r>
          </w:p>
        </w:tc>
        <w:tc>
          <w:tcPr>
            <w:tcW w:w="110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240" w:type="dxa"/>
            <w:vAlign w:val="bottom"/>
          </w:tcPr>
          <w:p>
            <w:pPr>
              <w:spacing w:after="0"/>
              <w:rPr>
                <w:sz w:val="14"/>
                <w:szCs w:val="14"/>
                <w:color w:val="auto"/>
              </w:rPr>
            </w:pPr>
          </w:p>
        </w:tc>
        <w:tc>
          <w:tcPr>
            <w:tcW w:w="128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382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Average outstanding balance</w:t>
            </w:r>
          </w:p>
        </w:tc>
        <w:tc>
          <w:tcPr>
            <w:tcW w:w="1100" w:type="dxa"/>
            <w:vAlign w:val="bottom"/>
            <w:shd w:val="clear" w:color="auto" w:fill="CFF0FC"/>
          </w:tcPr>
          <w:p>
            <w:pPr>
              <w:jc w:val="right"/>
              <w:ind w:right="948"/>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32,844</w:t>
            </w:r>
          </w:p>
        </w:tc>
        <w:tc>
          <w:tcPr>
            <w:tcW w:w="2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1128"/>
              <w:spacing w:after="0" w:line="156"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7,554</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19,704</w:t>
            </w:r>
          </w:p>
        </w:tc>
        <w:tc>
          <w:tcPr>
            <w:tcW w:w="22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08"/>
              <w:spacing w:after="0" w:line="156" w:lineRule="exact"/>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4,282</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3820" w:type="dxa"/>
            <w:vAlign w:val="bottom"/>
          </w:tcPr>
          <w:p>
            <w:pPr>
              <w:ind w:left="20"/>
              <w:spacing w:after="0"/>
              <w:rPr>
                <w:sz w:val="20"/>
                <w:szCs w:val="20"/>
                <w:color w:val="auto"/>
              </w:rPr>
            </w:pPr>
            <w:r>
              <w:rPr>
                <w:rFonts w:ascii="Arial" w:cs="Arial" w:eastAsia="Arial" w:hAnsi="Arial"/>
                <w:sz w:val="14"/>
                <w:szCs w:val="14"/>
                <w:color w:val="auto"/>
              </w:rPr>
              <w:t>Average stated interest rate</w:t>
            </w:r>
          </w:p>
        </w:tc>
        <w:tc>
          <w:tcPr>
            <w:tcW w:w="1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5.04 %</w:t>
            </w:r>
          </w:p>
        </w:tc>
        <w:tc>
          <w:tcPr>
            <w:tcW w:w="12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4.25 %</w:t>
            </w:r>
          </w:p>
        </w:tc>
        <w:tc>
          <w:tcPr>
            <w:tcW w:w="26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4.60 %</w:t>
            </w: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4.25 %</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-372110</wp:posOffset>
            </wp:positionV>
            <wp:extent cx="77470" cy="1454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-372110</wp:posOffset>
            </wp:positionV>
            <wp:extent cx="76835" cy="145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-372110</wp:posOffset>
            </wp:positionV>
            <wp:extent cx="6858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-372110</wp:posOffset>
            </wp:positionV>
            <wp:extent cx="68580" cy="145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Instruments Disclosed, But Not Carried, At Fair Value</w:t>
      </w:r>
    </w:p>
    <w:p>
      <w:pPr>
        <w:spacing w:after="0" w:line="109"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4"/>
          <w:szCs w:val="14"/>
          <w:color w:val="auto"/>
        </w:rPr>
        <w:t>The following table presents the outstanding principal and fair value of the Company’s financial liabilities disclosed, but not carried, at fair value as of September 30, 2022, and the level of each financial liability within the fair value hierarchy (dollars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ind w:left="9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ind w:left="9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0"/>
              <w:spacing w:after="0"/>
              <w:rPr>
                <w:sz w:val="20"/>
                <w:szCs w:val="20"/>
                <w:color w:val="auto"/>
              </w:rPr>
            </w:pPr>
            <w:r>
              <w:rPr>
                <w:rFonts w:ascii="Arial" w:cs="Arial" w:eastAsia="Arial" w:hAnsi="Arial"/>
                <w:sz w:val="14"/>
                <w:szCs w:val="14"/>
                <w:color w:val="auto"/>
              </w:rPr>
              <w:t>2032 Convertible Notes</w:t>
            </w:r>
          </w:p>
        </w:tc>
        <w:tc>
          <w:tcPr>
            <w:tcW w:w="2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15,000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ind w:left="9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ind w:left="96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KeyBank Credit Facility</w:t>
            </w:r>
          </w:p>
        </w:tc>
        <w:tc>
          <w:tcPr>
            <w:tcW w:w="2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45,776</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45,776</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45,776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110,776</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110,776</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ind w:left="960"/>
              <w:spacing w:after="0"/>
              <w:rPr>
                <w:sz w:val="20"/>
                <w:szCs w:val="20"/>
                <w:color w:val="auto"/>
              </w:rPr>
            </w:pPr>
            <w:r>
              <w:rPr>
                <w:rFonts w:ascii="Arial" w:cs="Arial" w:eastAsia="Arial" w:hAnsi="Arial"/>
                <w:sz w:val="14"/>
                <w:szCs w:val="14"/>
                <w:color w:val="auto"/>
                <w:w w:val="99"/>
              </w:rPr>
              <w:t>—</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ind w:left="96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110,776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-144780</wp:posOffset>
            </wp:positionV>
            <wp:extent cx="76835" cy="145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-144780</wp:posOffset>
            </wp:positionV>
            <wp:extent cx="68580"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-144780</wp:posOffset>
            </wp:positionV>
            <wp:extent cx="68580"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-144780</wp:posOffset>
            </wp:positionV>
            <wp:extent cx="6858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7" w:lineRule="exact"/>
        <w:rPr>
          <w:sz w:val="20"/>
          <w:szCs w:val="20"/>
          <w:color w:val="auto"/>
        </w:rPr>
      </w:pPr>
    </w:p>
    <w:p>
      <w:pPr>
        <w:jc w:val="both"/>
        <w:ind w:right="20" w:firstLine="749"/>
        <w:spacing w:after="0" w:line="273" w:lineRule="auto"/>
        <w:rPr>
          <w:sz w:val="20"/>
          <w:szCs w:val="20"/>
          <w:color w:val="auto"/>
        </w:rPr>
      </w:pPr>
      <w:r>
        <w:rPr>
          <w:rFonts w:ascii="Arial" w:cs="Arial" w:eastAsia="Arial" w:hAnsi="Arial"/>
          <w:sz w:val="14"/>
          <w:szCs w:val="14"/>
          <w:color w:val="auto"/>
        </w:rPr>
        <w:t>The following table presents the outstanding principal and fair value of the Company’s financial liabilities disclosed, but not carried, at fair value as of December 31, 2021, and the level of each financial liability within the fair value hierarchy (dollars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 Notes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22,833</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23,285</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ind w:left="98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4"/>
                <w:szCs w:val="14"/>
                <w:color w:val="auto"/>
              </w:rPr>
              <w:t>2022 Convertible Notes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52,088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52,983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52,983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ind w:left="98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124,921</w:t>
            </w: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126,268</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76,268</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4"/>
          <w:szCs w:val="14"/>
          <w:color w:val="auto"/>
        </w:rPr>
        <w:t>The estimated fair value of the 2022 Notes and 2022 Convertible Notes was based on their respective closing prices as of the measurement date as they were traded on the NASDAQ Global Select Market under the ticker “CPTAL” (2022 Notes) and on the NASDAQ Capital Market under the ticker “CPTAG” (2022 Convertible Notes).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estimated fair value of the 2026 Notes, 2032 Convertible Notes and KeyBank Credit Facility approximates the principal value.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Directors’ Fees</w:t>
      </w:r>
    </w:p>
    <w:p>
      <w:pPr>
        <w:spacing w:after="0" w:line="113" w:lineRule="exact"/>
        <w:rPr>
          <w:sz w:val="20"/>
          <w:szCs w:val="20"/>
          <w:color w:val="auto"/>
        </w:rPr>
      </w:pPr>
    </w:p>
    <w:p>
      <w:pPr>
        <w:jc w:val="both"/>
        <w:ind w:right="20" w:firstLine="749"/>
        <w:spacing w:after="0" w:line="255" w:lineRule="auto"/>
        <w:rPr>
          <w:sz w:val="20"/>
          <w:szCs w:val="20"/>
          <w:color w:val="auto"/>
        </w:rPr>
      </w:pPr>
      <w:r>
        <w:rPr>
          <w:rFonts w:ascii="Arial" w:cs="Arial" w:eastAsia="Arial" w:hAnsi="Arial"/>
          <w:sz w:val="14"/>
          <w:szCs w:val="14"/>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2022, the Company recognized directors’ fees expense of $0.1 million and $0.4 million, respectively. For the three and nine months ended September 30, 2021, the Company recognized directors’ fees expense of $0.1 million and $0.3 million, respectively. No compensation is expected to be paid to directors who are “interested persons” of the Company, as such term is defined in Section 2(a)(19) of the 1940 Act.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Earnings Per Share</w:t>
      </w:r>
    </w:p>
    <w:p>
      <w:pPr>
        <w:spacing w:after="0" w:line="113" w:lineRule="exact"/>
        <w:rPr>
          <w:sz w:val="20"/>
          <w:szCs w:val="20"/>
          <w:color w:val="auto"/>
        </w:rPr>
      </w:pPr>
    </w:p>
    <w:p>
      <w:pPr>
        <w:jc w:val="both"/>
        <w:ind w:right="20" w:firstLine="749"/>
        <w:spacing w:after="0" w:line="254" w:lineRule="auto"/>
        <w:rPr>
          <w:sz w:val="20"/>
          <w:szCs w:val="20"/>
          <w:color w:val="auto"/>
        </w:rPr>
      </w:pPr>
      <w:r>
        <w:rPr>
          <w:rFonts w:ascii="Arial" w:cs="Arial" w:eastAsia="Arial" w:hAnsi="Arial"/>
          <w:sz w:val="14"/>
          <w:szCs w:val="14"/>
          <w:color w:val="auto"/>
        </w:rPr>
        <w:t xml:space="preserve">In accordance with the provisions of ASC Topic 260 - </w:t>
      </w:r>
      <w:r>
        <w:rPr>
          <w:rFonts w:ascii="Arial" w:cs="Arial" w:eastAsia="Arial" w:hAnsi="Arial"/>
          <w:sz w:val="14"/>
          <w:szCs w:val="14"/>
          <w:i w:val="1"/>
          <w:iCs w:val="1"/>
          <w:color w:val="auto"/>
        </w:rPr>
        <w:t>Earnings per Share</w:t>
      </w:r>
      <w:r>
        <w:rPr>
          <w:rFonts w:ascii="Arial" w:cs="Arial" w:eastAsia="Arial" w:hAnsi="Arial"/>
          <w:sz w:val="14"/>
          <w:szCs w:val="14"/>
          <w:color w:val="auto"/>
        </w:rPr>
        <w:t xml:space="preserve"> (“ASC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nine months ended September 30, 2022 and 2021, 0.6 million in convertible shares related to the 2022 Convertible Notes were considered anti-dilutive. For the three and nine months ended September 30, 2022, 0.5 million in convertible shares related to the 2032 Convertible Notes were considered anti-dilutive.</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313" w:lineRule="exact"/>
        <w:rPr>
          <w:sz w:val="20"/>
          <w:szCs w:val="20"/>
          <w:color w:val="auto"/>
        </w:rPr>
      </w:pPr>
    </w:p>
    <w:p>
      <w:pPr>
        <w:ind w:firstLine="749"/>
        <w:spacing w:after="0" w:line="273" w:lineRule="auto"/>
        <w:rPr>
          <w:sz w:val="20"/>
          <w:szCs w:val="20"/>
          <w:color w:val="auto"/>
        </w:rPr>
      </w:pPr>
      <w:r>
        <w:rPr>
          <w:rFonts w:ascii="Arial" w:cs="Arial" w:eastAsia="Arial" w:hAnsi="Arial"/>
          <w:sz w:val="14"/>
          <w:szCs w:val="14"/>
          <w:color w:val="auto"/>
        </w:rPr>
        <w:t>The following information sets forth the computation of the weighted average basic and diluted net increase (decrease) in net assets per share resulting from operations for the three and nine months ended September 30, 2022 and 2021 (dollars in thousands, except share and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right"/>
              <w:ind w:right="468"/>
              <w:spacing w:after="0"/>
              <w:rPr>
                <w:sz w:val="20"/>
                <w:szCs w:val="20"/>
                <w:color w:val="auto"/>
              </w:rPr>
            </w:pPr>
            <w:r>
              <w:rPr>
                <w:rFonts w:ascii="Arial" w:cs="Arial" w:eastAsia="Arial" w:hAnsi="Arial"/>
                <w:sz w:val="14"/>
                <w:szCs w:val="14"/>
                <w:b w:val="1"/>
                <w:bCs w:val="1"/>
                <w:color w:val="auto"/>
                <w:w w:val="99"/>
              </w:rPr>
              <w:t>For the Three Months Ended</w:t>
            </w:r>
          </w:p>
        </w:tc>
        <w:tc>
          <w:tcPr>
            <w:tcW w:w="200" w:type="dxa"/>
            <w:vAlign w:val="bottom"/>
          </w:tcPr>
          <w:p>
            <w:pPr>
              <w:spacing w:after="0"/>
              <w:rPr>
                <w:sz w:val="14"/>
                <w:szCs w:val="14"/>
                <w:color w:val="auto"/>
              </w:rPr>
            </w:pPr>
          </w:p>
        </w:tc>
        <w:tc>
          <w:tcPr>
            <w:tcW w:w="224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4"/>
                <w:szCs w:val="14"/>
                <w:color w:val="auto"/>
              </w:rPr>
            </w:pPr>
          </w:p>
        </w:tc>
      </w:tr>
      <w:tr>
        <w:trPr>
          <w:trHeight w:val="18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8"/>
              <w:spacing w:after="0" w:line="169"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9"/>
                <w:szCs w:val="19"/>
                <w:b w:val="1"/>
                <w:bCs w:val="1"/>
                <w:color w:val="auto"/>
                <w:vertAlign w:val="superscript"/>
              </w:rPr>
              <w:t>(1)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8"/>
              <w:spacing w:after="0" w:line="169" w:lineRule="exact"/>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9"/>
                <w:szCs w:val="19"/>
                <w:b w:val="1"/>
                <w:bCs w:val="1"/>
                <w:color w:val="auto"/>
                <w:vertAlign w:val="superscript"/>
              </w:rPr>
              <w:t>(1)</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169"/>
        </w:trPr>
        <w:tc>
          <w:tcPr>
            <w:tcW w:w="606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color w:val="auto"/>
              </w:rPr>
              <w:t xml:space="preserve">Net (decrease) increase in net assets resulting from operations - basic and diluted </w:t>
            </w:r>
            <w:r>
              <w:rPr>
                <w:rFonts w:ascii="Arial" w:cs="Arial" w:eastAsia="Arial" w:hAnsi="Arial"/>
                <w:sz w:val="19"/>
                <w:szCs w:val="19"/>
                <w:color w:val="auto"/>
                <w:vertAlign w:val="superscript"/>
              </w:rPr>
              <w:t>(1)</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(2,961</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(3,486</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(8,853</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FF0FC"/>
          </w:tcPr>
          <w:p>
            <w:pPr>
              <w:spacing w:after="0"/>
              <w:rPr>
                <w:sz w:val="14"/>
                <w:szCs w:val="14"/>
                <w:color w:val="auto"/>
              </w:rPr>
            </w:pPr>
          </w:p>
        </w:tc>
      </w:tr>
      <w:tr>
        <w:trPr>
          <w:trHeight w:val="169"/>
        </w:trPr>
        <w:tc>
          <w:tcPr>
            <w:tcW w:w="6060" w:type="dxa"/>
            <w:vAlign w:val="bottom"/>
          </w:tcPr>
          <w:p>
            <w:pPr>
              <w:ind w:left="20"/>
              <w:spacing w:after="0" w:line="163" w:lineRule="exact"/>
              <w:rPr>
                <w:sz w:val="20"/>
                <w:szCs w:val="20"/>
                <w:color w:val="auto"/>
              </w:rPr>
            </w:pPr>
            <w:r>
              <w:rPr>
                <w:rFonts w:ascii="Arial" w:cs="Arial" w:eastAsia="Arial" w:hAnsi="Arial"/>
                <w:sz w:val="14"/>
                <w:szCs w:val="14"/>
                <w:color w:val="auto"/>
              </w:rPr>
              <w:t xml:space="preserve">Weighted average common stock outstanding – basic and diluted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2,711,068</w:t>
            </w:r>
          </w:p>
        </w:tc>
        <w:tc>
          <w:tcPr>
            <w:tcW w:w="100" w:type="dxa"/>
            <w:vAlign w:val="bottom"/>
          </w:tcPr>
          <w:p>
            <w:pPr>
              <w:spacing w:after="0"/>
              <w:rPr>
                <w:sz w:val="14"/>
                <w:szCs w:val="14"/>
                <w:color w:val="auto"/>
              </w:rPr>
            </w:pPr>
          </w:p>
        </w:tc>
      </w:tr>
      <w:tr>
        <w:trPr>
          <w:trHeight w:val="182"/>
        </w:trPr>
        <w:tc>
          <w:tcPr>
            <w:tcW w:w="6060" w:type="dxa"/>
            <w:vAlign w:val="bottom"/>
          </w:tcPr>
          <w:p>
            <w:pPr>
              <w:ind w:left="20"/>
              <w:spacing w:after="0" w:line="183" w:lineRule="exact"/>
              <w:rPr>
                <w:sz w:val="20"/>
                <w:szCs w:val="20"/>
                <w:color w:val="auto"/>
              </w:rPr>
            </w:pPr>
            <w:r>
              <w:rPr>
                <w:rFonts w:ascii="Arial" w:cs="Arial" w:eastAsia="Arial" w:hAnsi="Arial"/>
                <w:sz w:val="14"/>
                <w:szCs w:val="14"/>
                <w:color w:val="auto"/>
              </w:rPr>
              <w:t xml:space="preserve">Net (decrease) increase in net assets per share from operations - basic and diluted </w:t>
            </w:r>
            <w:r>
              <w:rPr>
                <w:rFonts w:ascii="Arial" w:cs="Arial" w:eastAsia="Arial" w:hAnsi="Arial"/>
                <w:sz w:val="19"/>
                <w:szCs w:val="19"/>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(1.29</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(3.27</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jc w:val="both"/>
        <w:ind w:left="520" w:hanging="512"/>
        <w:spacing w:after="0" w:line="229" w:lineRule="auto"/>
        <w:tabs>
          <w:tab w:leader="none" w:pos="52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 applying the if-converted method, conversion is not assumed for purposes of computing diluted earnings per share if the effect would be anti-dilutive. For the three and nine months ended September 30, 2022, conversion of the 2022 Convertible Notes into 0.6 million shares was not assumed as the effect on diluted earnings per share would be anti-dilutive. For the three and nine months ended September 30, 2022, conversion of the 2032 Convertible Notes into 0.5 million shares was not assumed as the effect on diluted earnings per share would be anti-dilutive.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Distributions</w:t>
      </w:r>
    </w:p>
    <w:p>
      <w:pPr>
        <w:spacing w:after="0" w:line="12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 The Company’s Board determined not to declare a distribution for the quarters ended September 30, 2022 and 2021.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9" w:name="page30"/>
    <w:bookmarkEnd w:id="29"/>
    <w:p>
      <w:pPr>
        <w:jc w:val="center"/>
        <w:ind w:right="80"/>
        <w:spacing w:after="0"/>
        <w:rPr>
          <w:sz w:val="20"/>
          <w:szCs w:val="20"/>
          <w:color w:val="auto"/>
        </w:rPr>
      </w:pPr>
      <w:r>
        <w:rPr>
          <w:rFonts w:ascii="Arial" w:cs="Arial" w:eastAsia="Arial" w:hAnsi="Arial"/>
          <w:sz w:val="14"/>
          <w:szCs w:val="14"/>
          <w:b w:val="1"/>
          <w:bCs w:val="1"/>
          <w:color w:val="auto"/>
        </w:rPr>
        <w:t>LOGAN RIDGE FINANCE CORPORATION</w:t>
      </w:r>
    </w:p>
    <w:p>
      <w:pPr>
        <w:spacing w:after="0" w:line="2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September 30, 2022</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Financial Highlights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is a schedule of financial highlights for the nine months ended September 30, 2022 and 2021 (dollars in thousands, except share and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32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Per share data:</w:t>
            </w:r>
          </w:p>
        </w:tc>
        <w:tc>
          <w:tcPr>
            <w:tcW w:w="1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Net asset value at beginning of year</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39.48</w:t>
            </w:r>
          </w:p>
        </w:tc>
        <w:tc>
          <w:tcPr>
            <w:tcW w:w="260" w:type="dxa"/>
            <w:vAlign w:val="bottom"/>
          </w:tcPr>
          <w:p>
            <w:pPr>
              <w:spacing w:after="0"/>
              <w:rPr>
                <w:sz w:val="15"/>
                <w:szCs w:val="15"/>
                <w:color w:val="auto"/>
              </w:rPr>
            </w:pP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Net investment loss</w:t>
            </w:r>
            <w:r>
              <w:rPr>
                <w:rFonts w:ascii="Arial" w:cs="Arial" w:eastAsia="Arial" w:hAnsi="Arial"/>
                <w:sz w:val="19"/>
                <w:szCs w:val="19"/>
                <w:color w:val="auto"/>
                <w:vertAlign w:val="superscript"/>
              </w:rPr>
              <w:t>(1)</w:t>
            </w:r>
          </w:p>
        </w:tc>
        <w:tc>
          <w:tcPr>
            <w:tcW w:w="1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(0.66 )</w:t>
            </w:r>
          </w:p>
        </w:tc>
        <w:tc>
          <w:tcPr>
            <w:tcW w:w="12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(0.83 )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Net realized gain on investments</w:t>
            </w:r>
            <w:r>
              <w:rPr>
                <w:rFonts w:ascii="Arial" w:cs="Arial" w:eastAsia="Arial" w:hAnsi="Arial"/>
                <w:sz w:val="19"/>
                <w:szCs w:val="19"/>
                <w:color w:val="auto"/>
                <w:vertAlign w:val="superscript"/>
              </w:rPr>
              <w:t>(1)</w:t>
            </w:r>
          </w:p>
        </w:tc>
        <w:tc>
          <w:tcPr>
            <w:tcW w:w="1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3.78</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Net change in unrealized (depreciation) appreciation on investments</w:t>
            </w:r>
            <w:r>
              <w:rPr>
                <w:rFonts w:ascii="Arial" w:cs="Arial" w:eastAsia="Arial" w:hAnsi="Arial"/>
                <w:sz w:val="19"/>
                <w:szCs w:val="19"/>
                <w:color w:val="auto"/>
                <w:vertAlign w:val="superscript"/>
              </w:rPr>
              <w:t>(1)</w:t>
            </w:r>
          </w:p>
        </w:tc>
        <w:tc>
          <w:tcPr>
            <w:tcW w:w="1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(6.39 )</w:t>
            </w:r>
          </w:p>
        </w:tc>
        <w:tc>
          <w:tcPr>
            <w:tcW w:w="1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Net realized loss on extinguishment of debt</w:t>
            </w:r>
            <w:r>
              <w:rPr>
                <w:rFonts w:ascii="Arial" w:cs="Arial" w:eastAsia="Arial" w:hAnsi="Arial"/>
                <w:sz w:val="19"/>
                <w:szCs w:val="19"/>
                <w:color w:val="auto"/>
                <w:vertAlign w:val="superscript"/>
              </w:rPr>
              <w:t>(2)</w:t>
            </w:r>
          </w:p>
        </w:tc>
        <w:tc>
          <w:tcPr>
            <w:tcW w:w="112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(0.30 )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Net asset value at end of year</w:t>
            </w:r>
          </w:p>
        </w:tc>
        <w:tc>
          <w:tcPr>
            <w:tcW w:w="1120" w:type="dxa"/>
            <w:vAlign w:val="bottom"/>
            <w:tcBorders>
              <w:top w:val="single" w:sz="8" w:color="auto"/>
              <w:bottom w:val="single" w:sz="8" w:color="auto"/>
            </w:tcBorders>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36.21</w:t>
            </w:r>
          </w:p>
        </w:tc>
        <w:tc>
          <w:tcPr>
            <w:tcW w:w="26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ind w:right="10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40.67</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Net assets at end of period</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98,176</w:t>
            </w:r>
          </w:p>
        </w:tc>
        <w:tc>
          <w:tcPr>
            <w:tcW w:w="260" w:type="dxa"/>
            <w:vAlign w:val="bottom"/>
          </w:tcPr>
          <w:p>
            <w:pPr>
              <w:spacing w:after="0"/>
              <w:rPr>
                <w:sz w:val="14"/>
                <w:szCs w:val="14"/>
                <w:color w:val="auto"/>
              </w:rPr>
            </w:pP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110,261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Shares outstanding at end of period</w:t>
            </w:r>
          </w:p>
        </w:tc>
        <w:tc>
          <w:tcPr>
            <w:tcW w:w="1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2,711,068</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9"/>
              </w:rPr>
              <w:t>2,711,068</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Per share market value at end of period</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17.96</w:t>
            </w:r>
          </w:p>
        </w:tc>
        <w:tc>
          <w:tcPr>
            <w:tcW w:w="260" w:type="dxa"/>
            <w:vAlign w:val="bottom"/>
          </w:tcPr>
          <w:p>
            <w:pPr>
              <w:spacing w:after="0"/>
              <w:rPr>
                <w:sz w:val="15"/>
                <w:szCs w:val="15"/>
                <w:color w:val="auto"/>
              </w:rPr>
            </w:pP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Total return based on market value</w:t>
            </w:r>
            <w:r>
              <w:rPr>
                <w:rFonts w:ascii="Arial" w:cs="Arial" w:eastAsia="Arial" w:hAnsi="Arial"/>
                <w:sz w:val="19"/>
                <w:szCs w:val="19"/>
                <w:color w:val="auto"/>
                <w:vertAlign w:val="superscript"/>
              </w:rPr>
              <w:t>(3)</w:t>
            </w:r>
          </w:p>
        </w:tc>
        <w:tc>
          <w:tcPr>
            <w:tcW w:w="1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(21.88 )%</w:t>
            </w:r>
          </w:p>
        </w:tc>
        <w:tc>
          <w:tcPr>
            <w:tcW w:w="12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78.35 %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3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Ratio/Supplemental data:</w:t>
            </w: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Ratio of net investment (loss) income to average net assets</w:t>
            </w:r>
            <w:r>
              <w:rPr>
                <w:rFonts w:ascii="Arial" w:cs="Arial" w:eastAsia="Arial" w:hAnsi="Arial"/>
                <w:sz w:val="19"/>
                <w:szCs w:val="19"/>
                <w:color w:val="auto"/>
                <w:vertAlign w:val="superscript"/>
              </w:rPr>
              <w:t>(4)</w:t>
            </w:r>
          </w:p>
        </w:tc>
        <w:tc>
          <w:tcPr>
            <w:tcW w:w="1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(2.33 )%</w:t>
            </w:r>
          </w:p>
        </w:tc>
        <w:tc>
          <w:tcPr>
            <w:tcW w:w="1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(2.66 )%</w:t>
            </w:r>
          </w:p>
        </w:tc>
        <w:tc>
          <w:tcPr>
            <w:tcW w:w="0" w:type="dxa"/>
            <w:vAlign w:val="bottom"/>
          </w:tcPr>
          <w:p>
            <w:pPr>
              <w:spacing w:after="0"/>
              <w:rPr>
                <w:sz w:val="1"/>
                <w:szCs w:val="1"/>
                <w:color w:val="auto"/>
              </w:rPr>
            </w:pPr>
          </w:p>
        </w:tc>
      </w:tr>
      <w:tr>
        <w:trPr>
          <w:trHeight w:val="202"/>
        </w:trPr>
        <w:tc>
          <w:tcPr>
            <w:tcW w:w="730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Ratio of interest and financing expenses to average net assets</w:t>
            </w:r>
            <w:r>
              <w:rPr>
                <w:rFonts w:ascii="Arial" w:cs="Arial" w:eastAsia="Arial" w:hAnsi="Arial"/>
                <w:sz w:val="19"/>
                <w:szCs w:val="19"/>
                <w:color w:val="auto"/>
                <w:vertAlign w:val="superscript"/>
              </w:rPr>
              <w:t>(4)</w:t>
            </w:r>
          </w:p>
        </w:tc>
        <w:tc>
          <w:tcPr>
            <w:tcW w:w="1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7.62 %</w:t>
            </w:r>
          </w:p>
        </w:tc>
        <w:tc>
          <w:tcPr>
            <w:tcW w:w="120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9.49 %</w:t>
            </w:r>
          </w:p>
        </w:tc>
        <w:tc>
          <w:tcPr>
            <w:tcW w:w="0" w:type="dxa"/>
            <w:vAlign w:val="bottom"/>
          </w:tcPr>
          <w:p>
            <w:pPr>
              <w:spacing w:after="0"/>
              <w:rPr>
                <w:sz w:val="1"/>
                <w:szCs w:val="1"/>
                <w:color w:val="auto"/>
              </w:rPr>
            </w:pPr>
          </w:p>
        </w:tc>
      </w:tr>
      <w:tr>
        <w:trPr>
          <w:trHeight w:val="176"/>
        </w:trPr>
        <w:tc>
          <w:tcPr>
            <w:tcW w:w="730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Ratio of other operating expenses to average net assets</w:t>
            </w:r>
            <w:r>
              <w:rPr>
                <w:rFonts w:ascii="Arial" w:cs="Arial" w:eastAsia="Arial" w:hAnsi="Arial"/>
                <w:sz w:val="19"/>
                <w:szCs w:val="19"/>
                <w:color w:val="auto"/>
                <w:vertAlign w:val="superscript"/>
              </w:rPr>
              <w:t>(4)</w:t>
            </w:r>
          </w:p>
        </w:tc>
        <w:tc>
          <w:tcPr>
            <w:tcW w:w="1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8.18 %</w:t>
            </w:r>
          </w:p>
        </w:tc>
        <w:tc>
          <w:tcPr>
            <w:tcW w:w="12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8.88 %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Ratio of total expenses including tax provision, net of fee waivers, to average net assets</w:t>
            </w:r>
            <w:r>
              <w:rPr>
                <w:rFonts w:ascii="Arial" w:cs="Arial" w:eastAsia="Arial" w:hAnsi="Arial"/>
                <w:sz w:val="19"/>
                <w:szCs w:val="19"/>
                <w:color w:val="auto"/>
                <w:vertAlign w:val="superscript"/>
              </w:rPr>
              <w:t>(4)</w:t>
            </w:r>
          </w:p>
        </w:tc>
        <w:tc>
          <w:tcPr>
            <w:tcW w:w="1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15.80 %</w:t>
            </w:r>
          </w:p>
        </w:tc>
        <w:tc>
          <w:tcPr>
            <w:tcW w:w="12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18.37 %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Portfolio turnover rate</w:t>
            </w:r>
            <w:r>
              <w:rPr>
                <w:rFonts w:ascii="Arial" w:cs="Arial" w:eastAsia="Arial" w:hAnsi="Arial"/>
                <w:sz w:val="19"/>
                <w:szCs w:val="19"/>
                <w:color w:val="auto"/>
                <w:vertAlign w:val="superscript"/>
              </w:rPr>
              <w:t>(5)</w:t>
            </w:r>
          </w:p>
        </w:tc>
        <w:tc>
          <w:tcPr>
            <w:tcW w:w="1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43.30 %</w:t>
            </w:r>
          </w:p>
        </w:tc>
        <w:tc>
          <w:tcPr>
            <w:tcW w:w="12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18.10 %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00" w:type="dxa"/>
            <w:vAlign w:val="bottom"/>
            <w:gridSpan w:val="2"/>
          </w:tcPr>
          <w:p>
            <w:pPr>
              <w:ind w:left="20"/>
              <w:spacing w:after="0" w:line="175" w:lineRule="exact"/>
              <w:rPr>
                <w:sz w:val="20"/>
                <w:szCs w:val="20"/>
                <w:color w:val="auto"/>
              </w:rPr>
            </w:pPr>
            <w:r>
              <w:rPr>
                <w:rFonts w:ascii="Arial" w:cs="Arial" w:eastAsia="Arial" w:hAnsi="Arial"/>
                <w:sz w:val="14"/>
                <w:szCs w:val="14"/>
                <w:color w:val="auto"/>
              </w:rPr>
              <w:t>Average debt outstanding</w:t>
            </w:r>
            <w:r>
              <w:rPr>
                <w:rFonts w:ascii="Arial" w:cs="Arial" w:eastAsia="Arial" w:hAnsi="Arial"/>
                <w:sz w:val="19"/>
                <w:szCs w:val="19"/>
                <w:color w:val="auto"/>
                <w:vertAlign w:val="superscript"/>
              </w:rPr>
              <w:t>(6)</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120,924</w:t>
            </w:r>
          </w:p>
        </w:tc>
        <w:tc>
          <w:tcPr>
            <w:tcW w:w="260" w:type="dxa"/>
            <w:vAlign w:val="bottom"/>
          </w:tcPr>
          <w:p>
            <w:pPr>
              <w:spacing w:after="0"/>
              <w:rPr>
                <w:sz w:val="15"/>
                <w:szCs w:val="15"/>
                <w:color w:val="auto"/>
              </w:rPr>
            </w:pP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174,357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Average debt outstanding per common share</w:t>
            </w:r>
          </w:p>
        </w:tc>
        <w:tc>
          <w:tcPr>
            <w:tcW w:w="1120" w:type="dxa"/>
            <w:vAlign w:val="bottom"/>
            <w:shd w:val="clear" w:color="auto" w:fill="CFF0FC"/>
          </w:tcPr>
          <w:p>
            <w:pPr>
              <w:jc w:val="right"/>
              <w:ind w:right="9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44.60</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10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64.31</w:t>
            </w: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Asset coverage ratio per unit</w:t>
            </w:r>
            <w:r>
              <w:rPr>
                <w:rFonts w:ascii="Arial" w:cs="Arial" w:eastAsia="Arial" w:hAnsi="Arial"/>
                <w:sz w:val="19"/>
                <w:szCs w:val="19"/>
                <w:color w:val="auto"/>
                <w:vertAlign w:val="superscript"/>
              </w:rPr>
              <w:t>(7)</w:t>
            </w:r>
          </w:p>
        </w:tc>
        <w:tc>
          <w:tcPr>
            <w:tcW w:w="1120" w:type="dxa"/>
            <w:vAlign w:val="bottom"/>
          </w:tcPr>
          <w:p>
            <w:pPr>
              <w:jc w:val="right"/>
              <w:ind w:right="96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1,870</w:t>
            </w:r>
          </w:p>
        </w:tc>
        <w:tc>
          <w:tcPr>
            <w:tcW w:w="260" w:type="dxa"/>
            <w:vAlign w:val="bottom"/>
          </w:tcPr>
          <w:p>
            <w:pPr>
              <w:spacing w:after="0"/>
              <w:rPr>
                <w:sz w:val="21"/>
                <w:szCs w:val="21"/>
                <w:color w:val="auto"/>
              </w:rPr>
            </w:pP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00" w:type="dxa"/>
            <w:vAlign w:val="bottom"/>
          </w:tcPr>
          <w:p>
            <w:pPr>
              <w:ind w:left="20"/>
              <w:spacing w:after="0"/>
              <w:rPr>
                <w:sz w:val="20"/>
                <w:szCs w:val="20"/>
                <w:color w:val="auto"/>
              </w:rPr>
            </w:pPr>
            <w:r>
              <w:rPr>
                <w:rFonts w:ascii="Arial" w:cs="Arial" w:eastAsia="Arial" w:hAnsi="Arial"/>
                <w:sz w:val="10"/>
                <w:szCs w:val="10"/>
                <w:color w:val="auto"/>
              </w:rPr>
              <w:t>(1)</w:t>
            </w:r>
          </w:p>
        </w:tc>
        <w:tc>
          <w:tcPr>
            <w:tcW w:w="7000" w:type="dxa"/>
            <w:vAlign w:val="bottom"/>
            <w:vMerge w:val="restart"/>
          </w:tcPr>
          <w:p>
            <w:pPr>
              <w:ind w:left="180"/>
              <w:spacing w:after="0"/>
              <w:rPr>
                <w:sz w:val="20"/>
                <w:szCs w:val="20"/>
                <w:color w:val="auto"/>
              </w:rPr>
            </w:pPr>
            <w:r>
              <w:rPr>
                <w:rFonts w:ascii="Arial" w:cs="Arial" w:eastAsia="Arial" w:hAnsi="Arial"/>
                <w:sz w:val="14"/>
                <w:szCs w:val="14"/>
                <w:color w:val="auto"/>
                <w:w w:val="94"/>
              </w:rPr>
              <w:t>Based on daily weighted average balance of shares of the Company’s common stock outstanding during the period.</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(2)</w:t>
            </w:r>
          </w:p>
        </w:tc>
        <w:tc>
          <w:tcPr>
            <w:tcW w:w="70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Arial" w:cs="Arial" w:eastAsia="Arial" w:hAnsi="Arial"/>
                <w:sz w:val="14"/>
                <w:szCs w:val="14"/>
                <w:color w:val="auto"/>
                <w:w w:val="94"/>
              </w:rPr>
              <w:t>Includes the impact of different share amounts used in calculating per share data based on weighted average shares of the Company’s common stock outstanding during the period and</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1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020" w:type="dxa"/>
            <w:vAlign w:val="bottom"/>
            <w:gridSpan w:val="8"/>
          </w:tcPr>
          <w:p>
            <w:pPr>
              <w:ind w:left="180"/>
              <w:spacing w:after="0" w:line="149" w:lineRule="exact"/>
              <w:rPr>
                <w:sz w:val="20"/>
                <w:szCs w:val="20"/>
                <w:color w:val="auto"/>
              </w:rPr>
            </w:pPr>
            <w:r>
              <w:rPr>
                <w:rFonts w:ascii="Arial" w:cs="Arial" w:eastAsia="Arial" w:hAnsi="Arial"/>
                <w:sz w:val="14"/>
                <w:szCs w:val="14"/>
                <w:color w:val="auto"/>
                <w:w w:val="93"/>
              </w:rPr>
              <w:t>certain per share data based on shares of the Company’s common stock outstanding as of a period end or transaction date. Also includes the impact of shares of the Company’s common</w:t>
            </w:r>
          </w:p>
        </w:tc>
        <w:tc>
          <w:tcPr>
            <w:tcW w:w="0" w:type="dxa"/>
            <w:vAlign w:val="bottom"/>
          </w:tcPr>
          <w:p>
            <w:pPr>
              <w:spacing w:after="0"/>
              <w:rPr>
                <w:sz w:val="1"/>
                <w:szCs w:val="1"/>
                <w:color w:val="auto"/>
              </w:rPr>
            </w:pPr>
          </w:p>
        </w:tc>
      </w:tr>
      <w:tr>
        <w:trPr>
          <w:trHeight w:val="175"/>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(3)</w:t>
            </w:r>
          </w:p>
        </w:tc>
        <w:tc>
          <w:tcPr>
            <w:tcW w:w="7000" w:type="dxa"/>
            <w:vAlign w:val="bottom"/>
          </w:tcPr>
          <w:p>
            <w:pPr>
              <w:ind w:left="180"/>
              <w:spacing w:after="0"/>
              <w:rPr>
                <w:sz w:val="20"/>
                <w:szCs w:val="20"/>
                <w:color w:val="auto"/>
              </w:rPr>
            </w:pPr>
            <w:r>
              <w:rPr>
                <w:rFonts w:ascii="Arial" w:cs="Arial" w:eastAsia="Arial" w:hAnsi="Arial"/>
                <w:sz w:val="14"/>
                <w:szCs w:val="14"/>
                <w:color w:val="auto"/>
              </w:rPr>
              <w:t>stock issued under the Company’s DRIP.</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Arial" w:cs="Arial" w:eastAsia="Arial" w:hAnsi="Arial"/>
                <w:sz w:val="14"/>
                <w:szCs w:val="14"/>
                <w:color w:val="auto"/>
                <w:w w:val="93"/>
              </w:rPr>
              <w:t>Total investment return is calculated assuming a purchase of shares of the Company’s common stock at the current market value on the first day and a sale at the current market value on</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1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1020" w:type="dxa"/>
            <w:vAlign w:val="bottom"/>
            <w:gridSpan w:val="8"/>
          </w:tcPr>
          <w:p>
            <w:pPr>
              <w:ind w:left="180"/>
              <w:spacing w:after="0" w:line="149" w:lineRule="exact"/>
              <w:rPr>
                <w:sz w:val="20"/>
                <w:szCs w:val="20"/>
                <w:color w:val="auto"/>
              </w:rPr>
            </w:pPr>
            <w:r>
              <w:rPr>
                <w:rFonts w:ascii="Arial" w:cs="Arial" w:eastAsia="Arial" w:hAnsi="Arial"/>
                <w:sz w:val="14"/>
                <w:szCs w:val="14"/>
                <w:color w:val="auto"/>
                <w:w w:val="95"/>
              </w:rPr>
              <w:t>the last day of the period reported. Dividends and distributions, if any, are assumed for purposes of this calculation to be reinvested at prices obtained under the Company’s DRIP. Total</w:t>
            </w:r>
          </w:p>
        </w:tc>
        <w:tc>
          <w:tcPr>
            <w:tcW w:w="0" w:type="dxa"/>
            <w:vAlign w:val="bottom"/>
          </w:tcPr>
          <w:p>
            <w:pPr>
              <w:spacing w:after="0"/>
              <w:rPr>
                <w:sz w:val="1"/>
                <w:szCs w:val="1"/>
                <w:color w:val="auto"/>
              </w:rPr>
            </w:pPr>
          </w:p>
        </w:tc>
      </w:tr>
      <w:tr>
        <w:trPr>
          <w:trHeight w:val="175"/>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(4)</w:t>
            </w:r>
          </w:p>
        </w:tc>
        <w:tc>
          <w:tcPr>
            <w:tcW w:w="8120" w:type="dxa"/>
            <w:vAlign w:val="bottom"/>
            <w:gridSpan w:val="2"/>
          </w:tcPr>
          <w:p>
            <w:pPr>
              <w:ind w:left="180"/>
              <w:spacing w:after="0"/>
              <w:rPr>
                <w:sz w:val="20"/>
                <w:szCs w:val="20"/>
                <w:color w:val="auto"/>
              </w:rPr>
            </w:pPr>
            <w:r>
              <w:rPr>
                <w:rFonts w:ascii="Arial" w:cs="Arial" w:eastAsia="Arial" w:hAnsi="Arial"/>
                <w:sz w:val="14"/>
                <w:szCs w:val="14"/>
                <w:color w:val="auto"/>
                <w:w w:val="95"/>
              </w:rPr>
              <w:t>investment return does not reflect brokerage commissions. Total investment returns covering less than a full period are not annualized.</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300" w:type="dxa"/>
            <w:vAlign w:val="bottom"/>
            <w:vMerge w:val="continue"/>
          </w:tcPr>
          <w:p>
            <w:pPr>
              <w:spacing w:after="0"/>
              <w:rPr>
                <w:sz w:val="4"/>
                <w:szCs w:val="4"/>
                <w:color w:val="auto"/>
              </w:rPr>
            </w:pPr>
          </w:p>
        </w:tc>
        <w:tc>
          <w:tcPr>
            <w:tcW w:w="7000" w:type="dxa"/>
            <w:vAlign w:val="bottom"/>
            <w:vMerge w:val="restart"/>
          </w:tcPr>
          <w:p>
            <w:pPr>
              <w:ind w:left="180"/>
              <w:spacing w:after="0"/>
              <w:rPr>
                <w:sz w:val="20"/>
                <w:szCs w:val="20"/>
                <w:color w:val="auto"/>
              </w:rPr>
            </w:pPr>
            <w:r>
              <w:rPr>
                <w:rFonts w:ascii="Arial" w:cs="Arial" w:eastAsia="Arial" w:hAnsi="Arial"/>
                <w:sz w:val="14"/>
                <w:szCs w:val="14"/>
                <w:color w:val="auto"/>
              </w:rPr>
              <w:t>Ratio is annualized.</w:t>
            </w: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(5)</w:t>
            </w:r>
          </w:p>
        </w:tc>
        <w:tc>
          <w:tcPr>
            <w:tcW w:w="70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Arial" w:cs="Arial" w:eastAsia="Arial" w:hAnsi="Arial"/>
                <w:sz w:val="14"/>
                <w:szCs w:val="14"/>
                <w:color w:val="auto"/>
                <w:w w:val="93"/>
              </w:rPr>
              <w:t>Portfolio turnover rate is calculated using the lesser of year-to-date sales or year-to-date purchases over the average of the invested assets at fair value. Portfolio turnover rates that cover</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1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00" w:type="dxa"/>
            <w:vAlign w:val="bottom"/>
          </w:tcPr>
          <w:p>
            <w:pPr>
              <w:ind w:left="20"/>
              <w:spacing w:after="0"/>
              <w:rPr>
                <w:sz w:val="20"/>
                <w:szCs w:val="20"/>
                <w:color w:val="auto"/>
              </w:rPr>
            </w:pPr>
            <w:r>
              <w:rPr>
                <w:rFonts w:ascii="Arial" w:cs="Arial" w:eastAsia="Arial" w:hAnsi="Arial"/>
                <w:sz w:val="10"/>
                <w:szCs w:val="10"/>
                <w:color w:val="auto"/>
              </w:rPr>
              <w:t>(6)</w:t>
            </w:r>
          </w:p>
        </w:tc>
        <w:tc>
          <w:tcPr>
            <w:tcW w:w="7000" w:type="dxa"/>
            <w:vAlign w:val="bottom"/>
          </w:tcPr>
          <w:p>
            <w:pPr>
              <w:ind w:left="180"/>
              <w:spacing w:after="0"/>
              <w:rPr>
                <w:sz w:val="20"/>
                <w:szCs w:val="20"/>
                <w:color w:val="auto"/>
              </w:rPr>
            </w:pPr>
            <w:r>
              <w:rPr>
                <w:rFonts w:ascii="Arial" w:cs="Arial" w:eastAsia="Arial" w:hAnsi="Arial"/>
                <w:sz w:val="14"/>
                <w:szCs w:val="14"/>
                <w:color w:val="auto"/>
              </w:rPr>
              <w:t>less than a full period are not annualized.</w:t>
            </w: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0" w:type="dxa"/>
            <w:vAlign w:val="bottom"/>
            <w:vMerge w:val="restart"/>
          </w:tcPr>
          <w:p>
            <w:pPr>
              <w:ind w:left="20"/>
              <w:spacing w:after="0"/>
              <w:rPr>
                <w:sz w:val="20"/>
                <w:szCs w:val="20"/>
                <w:color w:val="auto"/>
              </w:rPr>
            </w:pPr>
            <w:r>
              <w:rPr>
                <w:rFonts w:ascii="Arial" w:cs="Arial" w:eastAsia="Arial" w:hAnsi="Arial"/>
                <w:sz w:val="10"/>
                <w:szCs w:val="10"/>
                <w:color w:val="auto"/>
              </w:rPr>
              <w:t>(7)</w:t>
            </w:r>
          </w:p>
        </w:tc>
        <w:tc>
          <w:tcPr>
            <w:tcW w:w="7000" w:type="dxa"/>
            <w:vAlign w:val="bottom"/>
          </w:tcPr>
          <w:p>
            <w:pPr>
              <w:ind w:left="180"/>
              <w:spacing w:after="0"/>
              <w:rPr>
                <w:sz w:val="20"/>
                <w:szCs w:val="20"/>
                <w:color w:val="auto"/>
              </w:rPr>
            </w:pPr>
            <w:r>
              <w:rPr>
                <w:rFonts w:ascii="Arial" w:cs="Arial" w:eastAsia="Arial" w:hAnsi="Arial"/>
                <w:sz w:val="14"/>
                <w:szCs w:val="14"/>
                <w:color w:val="auto"/>
              </w:rPr>
              <w:t>Based on the daily weighted average balance of debt outstanding during the period.</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300" w:type="dxa"/>
            <w:vAlign w:val="bottom"/>
            <w:vMerge w:val="continue"/>
          </w:tcPr>
          <w:p>
            <w:pPr>
              <w:spacing w:after="0"/>
              <w:rPr>
                <w:sz w:val="4"/>
                <w:szCs w:val="4"/>
                <w:color w:val="auto"/>
              </w:rPr>
            </w:pPr>
          </w:p>
        </w:tc>
        <w:tc>
          <w:tcPr>
            <w:tcW w:w="11020" w:type="dxa"/>
            <w:vAlign w:val="bottom"/>
            <w:gridSpan w:val="8"/>
            <w:vMerge w:val="restart"/>
          </w:tcPr>
          <w:p>
            <w:pPr>
              <w:ind w:left="180"/>
              <w:spacing w:after="0"/>
              <w:rPr>
                <w:sz w:val="20"/>
                <w:szCs w:val="20"/>
                <w:color w:val="auto"/>
              </w:rPr>
            </w:pPr>
            <w:r>
              <w:rPr>
                <w:rFonts w:ascii="Arial" w:cs="Arial" w:eastAsia="Arial" w:hAnsi="Arial"/>
                <w:sz w:val="14"/>
                <w:szCs w:val="14"/>
                <w:color w:val="auto"/>
                <w:w w:val="94"/>
              </w:rPr>
              <w:t>Asset coverage per unit is the ratio of the carrying value of our total consolidated assets, less all liabilities and indebtedness not represented by senior securities, to the aggregate amount</w:t>
            </w: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110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-2849880</wp:posOffset>
            </wp:positionV>
            <wp:extent cx="68580" cy="1200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-2849880</wp:posOffset>
            </wp:positionV>
            <wp:extent cx="68580" cy="1200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-2284095</wp:posOffset>
            </wp:positionV>
            <wp:extent cx="7132320" cy="1117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480" w:right="100"/>
        <w:spacing w:after="0" w:line="237" w:lineRule="auto"/>
        <w:rPr>
          <w:sz w:val="20"/>
          <w:szCs w:val="20"/>
          <w:color w:val="auto"/>
        </w:rPr>
      </w:pPr>
      <w:r>
        <w:rPr>
          <w:rFonts w:ascii="Arial" w:cs="Arial" w:eastAsia="Arial" w:hAnsi="Arial"/>
          <w:sz w:val="14"/>
          <w:szCs w:val="14"/>
          <w:color w:val="auto"/>
        </w:rPr>
        <w:t>of senior securities representing indebtedness. There were no SBA-guaranteed debentures outstanding as of September 30, 2022 or 2021. Asset coverage per unit is expressed in terms of dollar amounts per $1,000 of indebtedness.</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Subsequent Events</w:t>
      </w:r>
    </w:p>
    <w:p>
      <w:pPr>
        <w:spacing w:after="0" w:line="113" w:lineRule="exact"/>
        <w:rPr>
          <w:sz w:val="20"/>
          <w:szCs w:val="20"/>
          <w:color w:val="auto"/>
        </w:rPr>
      </w:pPr>
    </w:p>
    <w:p>
      <w:pPr>
        <w:ind w:right="100" w:firstLine="749"/>
        <w:spacing w:after="0" w:line="293" w:lineRule="auto"/>
        <w:rPr>
          <w:sz w:val="20"/>
          <w:szCs w:val="20"/>
          <w:color w:val="auto"/>
        </w:rPr>
      </w:pPr>
      <w:r>
        <w:rPr>
          <w:rFonts w:ascii="Arial" w:cs="Arial" w:eastAsia="Arial" w:hAnsi="Arial"/>
          <w:sz w:val="14"/>
          <w:szCs w:val="14"/>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September 30, 2022.</w:t>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19" w:right="25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2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Except as otherwise specified, references to “we,” “us,” “our,” “Logan Ridge,” or the “Company”, refer to Logan Ridge Finance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3"/>
          <w:szCs w:val="13"/>
          <w:color w:val="auto"/>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7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66" w:lineRule="exact"/>
        <w:rPr>
          <w:sz w:val="20"/>
          <w:szCs w:val="20"/>
          <w:color w:val="auto"/>
        </w:rPr>
      </w:pPr>
    </w:p>
    <w:p>
      <w:pPr>
        <w:ind w:left="1140" w:hanging="383"/>
        <w:spacing w:after="0"/>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our future operating results and the impact of the COVID-19 pandemic thereon;</w:t>
      </w:r>
    </w:p>
    <w:p>
      <w:pPr>
        <w:spacing w:after="0" w:line="109" w:lineRule="exact"/>
        <w:rPr>
          <w:rFonts w:ascii="Arial" w:cs="Arial" w:eastAsia="Arial" w:hAnsi="Arial"/>
          <w:sz w:val="14"/>
          <w:szCs w:val="14"/>
          <w:color w:val="231F20"/>
        </w:rPr>
      </w:pPr>
    </w:p>
    <w:p>
      <w:pPr>
        <w:ind w:left="1140" w:hanging="383"/>
        <w:spacing w:after="0" w:line="293" w:lineRule="auto"/>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our business prospects and the prospects of our portfolio companies, including our and their ability to achieve our respective objectives as a result of the current COVID-19 pandemic;</w:t>
      </w:r>
    </w:p>
    <w:p>
      <w:pPr>
        <w:spacing w:after="0" w:line="52" w:lineRule="exact"/>
        <w:rPr>
          <w:rFonts w:ascii="Arial" w:cs="Arial" w:eastAsia="Arial" w:hAnsi="Arial"/>
          <w:sz w:val="14"/>
          <w:szCs w:val="14"/>
          <w:color w:val="231F20"/>
        </w:rPr>
      </w:pPr>
    </w:p>
    <w:p>
      <w:pPr>
        <w:ind w:left="1140" w:hanging="383"/>
        <w:spacing w:after="0"/>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the impact of investments that we expect to make;</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our contractual arrangements and relationships with third parties;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the dependence of our future success on the general economy and its impact on the industries in which we invest;</w:t>
      </w:r>
    </w:p>
    <w:p>
      <w:pPr>
        <w:spacing w:after="0" w:line="122" w:lineRule="exact"/>
        <w:rPr>
          <w:rFonts w:ascii="Arial" w:cs="Arial" w:eastAsia="Arial" w:hAnsi="Arial"/>
          <w:sz w:val="14"/>
          <w:szCs w:val="14"/>
          <w:color w:val="231F20"/>
        </w:rPr>
      </w:pPr>
    </w:p>
    <w:p>
      <w:pPr>
        <w:ind w:left="1140" w:hanging="383"/>
        <w:spacing w:after="0"/>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our expected financings and investments;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the adequacy of our cash resources and working capital; and</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4"/>
        </w:numPr>
        <w:rPr>
          <w:rFonts w:ascii="Arial" w:cs="Arial" w:eastAsia="Arial" w:hAnsi="Arial"/>
          <w:sz w:val="14"/>
          <w:szCs w:val="14"/>
          <w:color w:val="231F20"/>
        </w:rPr>
      </w:pPr>
      <w:r>
        <w:rPr>
          <w:rFonts w:ascii="Arial" w:cs="Arial" w:eastAsia="Arial" w:hAnsi="Arial"/>
          <w:sz w:val="14"/>
          <w:szCs w:val="14"/>
          <w:color w:val="231F20"/>
        </w:rPr>
        <w:t>the timing of cash flows, if any, from the operations of our portfolio companies and the impact of the COVID-19 pandemic thereon.</w:t>
      </w:r>
    </w:p>
    <w:p>
      <w:pPr>
        <w:spacing w:after="0" w:line="109" w:lineRule="exact"/>
        <w:rPr>
          <w:sz w:val="20"/>
          <w:szCs w:val="20"/>
          <w:color w:val="auto"/>
        </w:rPr>
      </w:pPr>
    </w:p>
    <w:p>
      <w:pPr>
        <w:ind w:firstLine="749"/>
        <w:spacing w:after="0" w:line="293" w:lineRule="auto"/>
        <w:rPr>
          <w:sz w:val="20"/>
          <w:szCs w:val="20"/>
          <w:color w:val="auto"/>
        </w:rPr>
      </w:pPr>
      <w:r>
        <w:rPr>
          <w:rFonts w:ascii="Arial" w:cs="Arial" w:eastAsia="Arial" w:hAnsi="Arial"/>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52" w:lineRule="exact"/>
        <w:rPr>
          <w:sz w:val="20"/>
          <w:szCs w:val="20"/>
          <w:color w:val="auto"/>
        </w:rPr>
      </w:pPr>
    </w:p>
    <w:p>
      <w:pPr>
        <w:ind w:left="1140" w:hanging="383"/>
        <w:spacing w:after="0" w:line="273" w:lineRule="auto"/>
        <w:tabs>
          <w:tab w:leader="none" w:pos="114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65" w:lineRule="exact"/>
        <w:rPr>
          <w:rFonts w:ascii="Arial" w:cs="Arial" w:eastAsia="Arial" w:hAnsi="Arial"/>
          <w:sz w:val="14"/>
          <w:szCs w:val="14"/>
          <w:color w:val="231F20"/>
        </w:rPr>
      </w:pPr>
    </w:p>
    <w:p>
      <w:pPr>
        <w:ind w:left="1140" w:hanging="383"/>
        <w:spacing w:after="0" w:line="293" w:lineRule="auto"/>
        <w:tabs>
          <w:tab w:leader="none" w:pos="114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a contraction of available credit and/or an inability to access the equity markets could impair our lending and investment activities and the impact of the COVID-19 pandemic thereon;</w:t>
      </w:r>
    </w:p>
    <w:p>
      <w:pPr>
        <w:spacing w:after="0" w:line="52" w:lineRule="exact"/>
        <w:rPr>
          <w:rFonts w:ascii="Arial" w:cs="Arial" w:eastAsia="Arial" w:hAnsi="Arial"/>
          <w:sz w:val="14"/>
          <w:szCs w:val="14"/>
          <w:color w:val="231F20"/>
        </w:rPr>
      </w:pPr>
    </w:p>
    <w:p>
      <w:pPr>
        <w:ind w:left="1140" w:hanging="383"/>
        <w:spacing w:after="0" w:line="273" w:lineRule="auto"/>
        <w:tabs>
          <w:tab w:leader="none" w:pos="114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geopolitical instability and volatility in the global markets caused by events such as the deterioration in the bilateral relationship between the U.S. and China or the conflict between Russia and Ukraine;</w:t>
      </w:r>
    </w:p>
    <w:p>
      <w:pPr>
        <w:spacing w:after="0" w:line="65" w:lineRule="exact"/>
        <w:rPr>
          <w:rFonts w:ascii="Arial" w:cs="Arial" w:eastAsia="Arial" w:hAnsi="Arial"/>
          <w:sz w:val="14"/>
          <w:szCs w:val="14"/>
          <w:color w:val="231F20"/>
        </w:rPr>
      </w:pPr>
    </w:p>
    <w:p>
      <w:pPr>
        <w:ind w:left="1140" w:hanging="383"/>
        <w:spacing w:after="0"/>
        <w:tabs>
          <w:tab w:leader="none" w:pos="114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uncertain effects due to the discontinuation of LIBOR and the transition to SOFR;</w:t>
      </w:r>
    </w:p>
    <w:p>
      <w:pPr>
        <w:spacing w:after="0" w:line="122" w:lineRule="exact"/>
        <w:rPr>
          <w:rFonts w:ascii="Arial" w:cs="Arial" w:eastAsia="Arial" w:hAnsi="Arial"/>
          <w:sz w:val="14"/>
          <w:szCs w:val="14"/>
          <w:color w:val="231F20"/>
        </w:rPr>
      </w:pPr>
    </w:p>
    <w:p>
      <w:pPr>
        <w:ind w:left="1140" w:hanging="383"/>
        <w:spacing w:after="0"/>
        <w:tabs>
          <w:tab w:leader="none" w:pos="114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interest rate volatility could adversely affect our results, particularly if we use leverage as part of our investment strategy; and</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5"/>
        </w:numPr>
        <w:rPr>
          <w:rFonts w:ascii="Arial" w:cs="Arial" w:eastAsia="Arial" w:hAnsi="Arial"/>
          <w:sz w:val="14"/>
          <w:szCs w:val="14"/>
          <w:color w:val="231F20"/>
        </w:rPr>
      </w:pPr>
      <w:r>
        <w:rPr>
          <w:rFonts w:ascii="Arial" w:cs="Arial" w:eastAsia="Arial" w:hAnsi="Arial"/>
          <w:sz w:val="14"/>
          <w:szCs w:val="14"/>
          <w:color w:val="231F20"/>
        </w:rPr>
        <w:t>the risks, uncertainties and other factors we identify in “Risk Factors” and elsewhere in this Quarterly Report on Form 10-Q.</w:t>
      </w:r>
    </w:p>
    <w:p>
      <w:pPr>
        <w:spacing w:after="0" w:line="10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2021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13" w:lineRule="exact"/>
        <w:rPr>
          <w:sz w:val="20"/>
          <w:szCs w:val="20"/>
          <w:color w:val="auto"/>
        </w:rPr>
      </w:pPr>
    </w:p>
    <w:p>
      <w:pPr>
        <w:jc w:val="both"/>
        <w:ind w:right="20" w:firstLine="749"/>
        <w:spacing w:after="0" w:line="267" w:lineRule="auto"/>
        <w:rPr>
          <w:sz w:val="20"/>
          <w:szCs w:val="20"/>
          <w:color w:val="auto"/>
        </w:rPr>
      </w:pPr>
      <w:r>
        <w:rPr>
          <w:rFonts w:ascii="Arial" w:cs="Arial" w:eastAsia="Arial" w:hAnsi="Arial"/>
          <w:sz w:val="14"/>
          <w:szCs w:val="14"/>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Mount Logan Management LLC (the ‘‘Investment Advisor’’), and BC Partners Management LLC (the ‘‘Administrator’’) provides the administrative services necessary for us to operate.</w:t>
      </w:r>
    </w:p>
    <w:p>
      <w:pPr>
        <w:spacing w:after="0" w:line="7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invest in first lien loans and, to a lesser extent, second lien loans and equity securities issued by lower middle-market and traditional middle-market companies.</w:t>
      </w:r>
    </w:p>
    <w:p>
      <w:pPr>
        <w:spacing w:after="0" w:line="10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September 30, 2022, our asset coverage ratio was 187%. To maintain our regulated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1" w:name="page32"/>
    <w:bookmarkEnd w:id="31"/>
    <w:p>
      <w:pPr>
        <w:jc w:val="both"/>
        <w:spacing w:after="0" w:line="267" w:lineRule="auto"/>
        <w:rPr>
          <w:sz w:val="20"/>
          <w:szCs w:val="20"/>
          <w:color w:val="auto"/>
        </w:rPr>
      </w:pPr>
      <w:r>
        <w:rPr>
          <w:rFonts w:ascii="Arial" w:cs="Arial" w:eastAsia="Arial" w:hAnsi="Arial"/>
          <w:sz w:val="14"/>
          <w:szCs w:val="14"/>
          <w:color w:val="auto"/>
        </w:rPr>
        <w:t>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w:t>
      </w:r>
    </w:p>
    <w:p>
      <w:pPr>
        <w:spacing w:after="0" w:line="113"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3"/>
          <w:szCs w:val="13"/>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7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3"/>
          <w:szCs w:val="13"/>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w:t>
      </w:r>
    </w:p>
    <w:p>
      <w:pPr>
        <w:spacing w:after="0" w:line="8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was licensed under the SBIC Act until June 10, 2021 and has elected to be regulated as BDC under the 1940 Act. Fund II, our subsidiary, was licensed under the SBIC Act until March 1, 2019 and has elected to be regulated as a BDC under the 1940 Act.</w:t>
      </w:r>
    </w:p>
    <w:p>
      <w:pPr>
        <w:spacing w:after="0" w:line="9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231F20"/>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spacing w:after="0" w:line="7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231F20"/>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Definitive Agreement</w:t>
      </w:r>
    </w:p>
    <w:p>
      <w:pPr>
        <w:spacing w:after="0" w:line="11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97"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3"/>
          <w:szCs w:val="13"/>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4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8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T. Roos was replaced as Secretary and Treasurer of the Company by Brandon Satoren, who was also appointed as Chief Accounting Officer. Mr. Roos continues to serve as Chief Financial Officer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1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 xml:space="preserve">The Company is considered an investment company as defined in Accounting Standards Codification (“ASC”) Topic 946 — </w:t>
      </w:r>
      <w:r>
        <w:rPr>
          <w:rFonts w:ascii="Arial" w:cs="Arial" w:eastAsia="Arial" w:hAnsi="Arial"/>
          <w:sz w:val="14"/>
          <w:szCs w:val="14"/>
          <w:i w:val="1"/>
          <w:iCs w:val="1"/>
          <w:color w:val="auto"/>
        </w:rPr>
        <w:t>Financial Services — Investment Companies</w:t>
      </w:r>
      <w:r>
        <w:rPr>
          <w:rFonts w:ascii="Arial" w:cs="Arial" w:eastAsia="Arial" w:hAnsi="Arial"/>
          <w:sz w:val="14"/>
          <w:szCs w:val="14"/>
          <w:color w:val="auto"/>
        </w:rPr>
        <w:t xml:space="preserve"> (“ASC 946”)</w:t>
      </w:r>
      <w:r>
        <w:rPr>
          <w:rFonts w:ascii="Arial" w:cs="Arial" w:eastAsia="Arial" w:hAnsi="Arial"/>
          <w:sz w:val="14"/>
          <w:szCs w:val="14"/>
          <w:i w:val="1"/>
          <w:iCs w:val="1"/>
          <w:color w:val="auto"/>
        </w:rPr>
        <w:t>.</w:t>
      </w:r>
      <w:r>
        <w:rPr>
          <w:rFonts w:ascii="Arial" w:cs="Arial" w:eastAsia="Arial" w:hAnsi="Arial"/>
          <w:sz w:val="14"/>
          <w:szCs w:val="14"/>
          <w:color w:val="auto"/>
        </w:rPr>
        <w:t xml:space="preserve">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8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Company’s financial statements as of September 30, 2022 and December 31, 2021 and for the periods ended September 30, 2022 and 2021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2" w:name="page33"/>
    <w:bookmarkEnd w:id="32"/>
    <w:p>
      <w:pPr>
        <w:jc w:val="both"/>
        <w:spacing w:after="0" w:line="293" w:lineRule="auto"/>
        <w:rPr>
          <w:sz w:val="20"/>
          <w:szCs w:val="20"/>
          <w:color w:val="auto"/>
        </w:rPr>
      </w:pPr>
      <w:r>
        <w:rPr>
          <w:rFonts w:ascii="Arial" w:cs="Arial" w:eastAsia="Arial" w:hAnsi="Arial"/>
          <w:sz w:val="14"/>
          <w:szCs w:val="14"/>
          <w:color w:val="auto"/>
        </w:rPr>
        <w:t>above. In the opinion of management, the consolidated financial statements reflect all adjustments that are necessary for the fair presentation of financial results as of and for the periods presented.</w:t>
      </w:r>
    </w:p>
    <w:p>
      <w:pPr>
        <w:spacing w:after="0" w:line="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2021, filed with the SEC on March 14, 2022.</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1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11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11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77" w:lineRule="exact"/>
        <w:rPr>
          <w:sz w:val="20"/>
          <w:szCs w:val="20"/>
          <w:color w:val="auto"/>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the cost of our organization;</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the cost of calculating our net asset value, including the cost of any third-party valuation services;</w:t>
      </w:r>
    </w:p>
    <w:p>
      <w:pPr>
        <w:spacing w:after="0" w:line="122"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the cost of effecting sales and repurchases of our shares and other securities;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interest payable on debt, if any, to finance our investments;</w:t>
      </w:r>
    </w:p>
    <w:p>
      <w:pPr>
        <w:spacing w:after="0" w:line="109" w:lineRule="exact"/>
        <w:rPr>
          <w:rFonts w:ascii="Arial" w:cs="Arial" w:eastAsia="Arial" w:hAnsi="Arial"/>
          <w:sz w:val="14"/>
          <w:szCs w:val="14"/>
          <w:color w:val="231F20"/>
        </w:rPr>
      </w:pPr>
    </w:p>
    <w:p>
      <w:pPr>
        <w:ind w:left="1140" w:hanging="383"/>
        <w:spacing w:after="0" w:line="273" w:lineRule="auto"/>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transfer agent and custodial fees;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fees and expenses associated with marketing efforts;</w:t>
      </w:r>
    </w:p>
    <w:p>
      <w:pPr>
        <w:spacing w:after="0" w:line="109" w:lineRule="exact"/>
        <w:rPr>
          <w:rFonts w:ascii="Arial" w:cs="Arial" w:eastAsia="Arial" w:hAnsi="Arial"/>
          <w:sz w:val="14"/>
          <w:szCs w:val="14"/>
          <w:color w:val="231F20"/>
        </w:rPr>
      </w:pPr>
    </w:p>
    <w:p>
      <w:pPr>
        <w:ind w:left="1140" w:hanging="383"/>
        <w:spacing w:after="0" w:line="273" w:lineRule="auto"/>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costs associated with our reporting and compliance obligations under the 1940 Act, the Securities Exchange Act of 1934, as amended (the “Exchange Act”), other applicable federal and state securities laws and ongoing stock exchange listing fees;</w:t>
      </w:r>
    </w:p>
    <w:p>
      <w:pPr>
        <w:spacing w:after="0" w:line="7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federal, state and local taxes;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independent directors’ fees and expenses;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brokerage commissions;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costs of proxy statements, stockholders’ reports and other communications with stockholders;</w:t>
      </w:r>
    </w:p>
    <w:p>
      <w:pPr>
        <w:spacing w:after="0" w:line="122"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fidelity bond, directors’ and officers’ liability insurance, errors and omissions liability insurance and other insurance premiums;</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direct costs and expenses of administration, including printing, mailing, telephone and staff;</w:t>
      </w:r>
    </w:p>
    <w:p>
      <w:pPr>
        <w:spacing w:after="0" w:line="109" w:lineRule="exact"/>
        <w:rPr>
          <w:rFonts w:ascii="Arial" w:cs="Arial" w:eastAsia="Arial" w:hAnsi="Arial"/>
          <w:sz w:val="14"/>
          <w:szCs w:val="14"/>
          <w:color w:val="231F20"/>
        </w:rPr>
      </w:pPr>
    </w:p>
    <w:p>
      <w:pPr>
        <w:ind w:left="1140" w:hanging="383"/>
        <w:spacing w:after="0"/>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fees and expenses associated with independent audits and outside legal costs; and</w:t>
      </w:r>
    </w:p>
    <w:p>
      <w:pPr>
        <w:spacing w:after="0" w:line="109" w:lineRule="exact"/>
        <w:rPr>
          <w:rFonts w:ascii="Arial" w:cs="Arial" w:eastAsia="Arial" w:hAnsi="Arial"/>
          <w:sz w:val="14"/>
          <w:szCs w:val="14"/>
          <w:color w:val="231F20"/>
        </w:rPr>
      </w:pPr>
    </w:p>
    <w:p>
      <w:pPr>
        <w:jc w:val="both"/>
        <w:ind w:left="1140" w:hanging="383"/>
        <w:spacing w:after="0" w:line="258" w:lineRule="auto"/>
        <w:tabs>
          <w:tab w:leader="none" w:pos="1140" w:val="left"/>
        </w:tabs>
        <w:numPr>
          <w:ilvl w:val="0"/>
          <w:numId w:val="26"/>
        </w:numPr>
        <w:rPr>
          <w:rFonts w:ascii="Arial" w:cs="Arial" w:eastAsia="Arial" w:hAnsi="Arial"/>
          <w:sz w:val="14"/>
          <w:szCs w:val="14"/>
          <w:color w:val="231F20"/>
        </w:rPr>
      </w:pPr>
      <w:r>
        <w:rPr>
          <w:rFonts w:ascii="Arial" w:cs="Arial" w:eastAsia="Arial" w:hAnsi="Arial"/>
          <w:sz w:val="14"/>
          <w:szCs w:val="14"/>
          <w:color w:val="231F20"/>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12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3"/>
          <w:szCs w:val="13"/>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Investments</w:t>
      </w:r>
    </w:p>
    <w:p>
      <w:pPr>
        <w:spacing w:after="0" w:line="10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3" w:name="page34"/>
    <w:bookmarkEnd w:id="33"/>
    <w:p>
      <w:pPr>
        <w:jc w:val="both"/>
        <w:ind w:firstLine="749"/>
        <w:spacing w:after="0" w:line="273" w:lineRule="auto"/>
        <w:rPr>
          <w:sz w:val="20"/>
          <w:szCs w:val="20"/>
          <w:color w:val="auto"/>
        </w:rPr>
      </w:pPr>
      <w:r>
        <w:rPr>
          <w:rFonts w:ascii="Arial" w:cs="Arial" w:eastAsia="Arial" w:hAnsi="Arial"/>
          <w:sz w:val="14"/>
          <w:szCs w:val="14"/>
          <w:color w:val="auto"/>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spacing w:after="0" w:line="16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Debt that is not publicly traded but for which there are external pricing sources available as of the valuation date is valued using independent broker-dealer, market maker quotations or independent pricing services. The valuation committee, comprised of members of the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spacing w:after="0" w:line="18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The Board has designated the Adviser as its "valuation designee" pursuant to Rule 2a-5 under the 1940 Act, and in that role the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Adviser, based on, among other things, input of independent third-party valuation firm(s).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Adviser undertakes a multi-step valuation process, which includes, among other procedures, the following:</w:t>
      </w:r>
    </w:p>
    <w:p>
      <w:pPr>
        <w:spacing w:after="0" w:line="109" w:lineRule="exact"/>
        <w:rPr>
          <w:sz w:val="20"/>
          <w:szCs w:val="20"/>
          <w:color w:val="auto"/>
        </w:rPr>
      </w:pPr>
    </w:p>
    <w:p>
      <w:pPr>
        <w:jc w:val="both"/>
        <w:ind w:left="1540" w:hanging="514"/>
        <w:spacing w:after="0" w:line="267" w:lineRule="auto"/>
        <w:tabs>
          <w:tab w:leader="none" w:pos="1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spacing w:after="0" w:line="70" w:lineRule="exact"/>
        <w:rPr>
          <w:rFonts w:ascii="Arial" w:cs="Arial" w:eastAsia="Arial" w:hAnsi="Arial"/>
          <w:sz w:val="14"/>
          <w:szCs w:val="14"/>
          <w:color w:val="auto"/>
        </w:rPr>
      </w:pPr>
    </w:p>
    <w:p>
      <w:pPr>
        <w:ind w:left="1540" w:hanging="514"/>
        <w:spacing w:after="0"/>
        <w:tabs>
          <w:tab w:leader="none" w:pos="1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Preliminary valuations are reviewed and discussed with management of the Adviser and investment professionals; and</w:t>
      </w:r>
    </w:p>
    <w:p>
      <w:pPr>
        <w:spacing w:after="0" w:line="109" w:lineRule="exact"/>
        <w:rPr>
          <w:rFonts w:ascii="Arial" w:cs="Arial" w:eastAsia="Arial" w:hAnsi="Arial"/>
          <w:sz w:val="14"/>
          <w:szCs w:val="14"/>
          <w:color w:val="auto"/>
        </w:rPr>
      </w:pPr>
    </w:p>
    <w:p>
      <w:pPr>
        <w:ind w:left="1540" w:hanging="514"/>
        <w:spacing w:after="0" w:line="273" w:lineRule="auto"/>
        <w:tabs>
          <w:tab w:leader="none" w:pos="1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Adviser will review the valuations and determine the fair value of each investment. Valuations that are not based on readily available market quotations will be valued in good faith based on, among other things, the input of, where applicable, third parties.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As part of the valuation process, the Adviser may consider other information and may use valuation methods including but not limited to (i) market quotes for similar investments,</w:t>
      </w:r>
    </w:p>
    <w:p>
      <w:pPr>
        <w:spacing w:after="0" w:line="25" w:lineRule="exact"/>
        <w:rPr>
          <w:sz w:val="20"/>
          <w:szCs w:val="20"/>
          <w:color w:val="auto"/>
        </w:rPr>
      </w:pPr>
    </w:p>
    <w:p>
      <w:pPr>
        <w:ind w:firstLine="8"/>
        <w:spacing w:after="0" w:line="255" w:lineRule="auto"/>
        <w:tabs>
          <w:tab w:leader="none" w:pos="234"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spacing w:after="0" w:line="186" w:lineRule="exact"/>
        <w:rPr>
          <w:sz w:val="20"/>
          <w:szCs w:val="20"/>
          <w:color w:val="auto"/>
        </w:rPr>
      </w:pPr>
    </w:p>
    <w:p>
      <w:pPr>
        <w:jc w:val="both"/>
        <w:ind w:firstLine="715"/>
        <w:spacing w:after="0" w:line="254" w:lineRule="auto"/>
        <w:rPr>
          <w:sz w:val="20"/>
          <w:szCs w:val="20"/>
          <w:color w:val="auto"/>
        </w:rPr>
      </w:pPr>
      <w:r>
        <w:rPr>
          <w:rFonts w:ascii="Arial" w:cs="Arial" w:eastAsia="Arial" w:hAnsi="Arial"/>
          <w:sz w:val="14"/>
          <w:szCs w:val="14"/>
          <w:color w:val="auto"/>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16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4"/>
          <w:szCs w:val="14"/>
          <w:color w:val="auto"/>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 classifies the inputs used to measure these fair values into the following hierarchy as defined by current accounting guidance:</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Level 1: Unadjusted quoted prices in active markets for identical assets or liabilities that are accessible to the Company.</w:t>
      </w:r>
    </w:p>
    <w:p>
      <w:pPr>
        <w:spacing w:after="0" w:line="20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4"/>
          <w:szCs w:val="14"/>
          <w:color w:val="auto"/>
        </w:rPr>
        <w:t>Level 2: Quoted prices for similar assets or liabilities in active markets, or quoted prices for identical or similar assets or liabilities in markets that are not active, or other observable inputs other than quoted prices.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Level 3: Significant inputs that are unobservable for an asset or liability.</w:t>
      </w:r>
    </w:p>
    <w:p>
      <w:pPr>
        <w:spacing w:after="0" w:line="21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spacing w:after="0" w:line="160"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4"/>
          <w:szCs w:val="14"/>
          <w:color w:val="auto"/>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Techniques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Enterprise Value Waterfall Approach</w:t>
      </w:r>
    </w:p>
    <w:p>
      <w:pPr>
        <w:spacing w:after="0" w:line="10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4" w:name="page35"/>
    <w:bookmarkEnd w:id="34"/>
    <w:p>
      <w:pPr>
        <w:jc w:val="both"/>
        <w:spacing w:after="0" w:line="334" w:lineRule="auto"/>
        <w:rPr>
          <w:sz w:val="20"/>
          <w:szCs w:val="20"/>
          <w:color w:val="auto"/>
        </w:rPr>
      </w:pPr>
      <w:r>
        <w:rPr>
          <w:rFonts w:ascii="Arial" w:cs="Arial" w:eastAsia="Arial" w:hAnsi="Arial"/>
          <w:sz w:val="13"/>
          <w:szCs w:val="13"/>
          <w:color w:val="auto"/>
        </w:rPr>
        <w:t>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Approach</w:t>
      </w:r>
    </w:p>
    <w:p>
      <w:pPr>
        <w:spacing w:after="0" w:line="10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4"/>
          <w:szCs w:val="14"/>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Approach</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asset approach values an investment based on the value of the underlying collateral securing the investment.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Company’s revenue recognition policies are as follows:</w:t>
      </w:r>
    </w:p>
    <w:p>
      <w:pPr>
        <w:spacing w:after="0" w:line="109"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i w:val="1"/>
          <w:iCs w:val="1"/>
          <w:color w:val="auto"/>
        </w:rPr>
        <w:t xml:space="preserve">Interest income and paid-in-kind interest income: </w:t>
      </w:r>
      <w:r>
        <w:rPr>
          <w:rFonts w:ascii="Arial" w:cs="Arial" w:eastAsia="Arial" w:hAnsi="Arial"/>
          <w:sz w:val="14"/>
          <w:szCs w:val="14"/>
          <w:color w:val="auto"/>
        </w:rPr>
        <w:t>Interest income is recorded on the accrual basis to the extent that such amounts are expected to be collected. The Company has</w:t>
      </w:r>
      <w:r>
        <w:rPr>
          <w:rFonts w:ascii="Arial" w:cs="Arial" w:eastAsia="Arial" w:hAnsi="Arial"/>
          <w:sz w:val="14"/>
          <w:szCs w:val="14"/>
          <w:i w:val="1"/>
          <w:iCs w:val="1"/>
          <w:color w:val="auto"/>
        </w:rPr>
        <w:t xml:space="preserve"> </w:t>
      </w:r>
      <w:r>
        <w:rPr>
          <w:rFonts w:ascii="Arial" w:cs="Arial" w:eastAsia="Arial" w:hAnsi="Arial"/>
          <w:sz w:val="14"/>
          <w:szCs w:val="14"/>
          <w:color w:val="auto"/>
        </w:rPr>
        <w:t>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i w:val="1"/>
          <w:iCs w:val="1"/>
          <w:color w:val="auto"/>
        </w:rPr>
        <w:t xml:space="preserve">Non-accrual investments: </w:t>
      </w:r>
      <w:r>
        <w:rPr>
          <w:rFonts w:ascii="Arial" w:cs="Arial" w:eastAsia="Arial" w:hAnsi="Arial"/>
          <w:sz w:val="14"/>
          <w:szCs w:val="14"/>
          <w:color w:val="auto"/>
        </w:rPr>
        <w:t>Management reviews all loans that become 90 days or more past due, or when there is reasonable doubt that principal or interest will be collected, for</w:t>
      </w:r>
      <w:r>
        <w:rPr>
          <w:rFonts w:ascii="Arial" w:cs="Arial" w:eastAsia="Arial" w:hAnsi="Arial"/>
          <w:sz w:val="14"/>
          <w:szCs w:val="14"/>
          <w:i w:val="1"/>
          <w:iCs w:val="1"/>
          <w:color w:val="auto"/>
        </w:rPr>
        <w:t xml:space="preserve"> </w:t>
      </w:r>
      <w:r>
        <w:rPr>
          <w:rFonts w:ascii="Arial" w:cs="Arial" w:eastAsia="Arial" w:hAnsi="Arial"/>
          <w:sz w:val="14"/>
          <w:szCs w:val="14"/>
          <w:color w:val="auto"/>
        </w:rPr>
        <w:t>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 xml:space="preserve">Gains and losses on investment sales and paydowns: </w:t>
      </w:r>
      <w:r>
        <w:rPr>
          <w:rFonts w:ascii="Arial" w:cs="Arial" w:eastAsia="Arial" w:hAnsi="Arial"/>
          <w:sz w:val="14"/>
          <w:szCs w:val="14"/>
          <w:color w:val="auto"/>
        </w:rPr>
        <w:t>Realized gains and losses on investments are recognized using the specific identification method.</w:t>
      </w:r>
    </w:p>
    <w:p>
      <w:pPr>
        <w:spacing w:after="0" w:line="12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i w:val="1"/>
          <w:iCs w:val="1"/>
          <w:color w:val="auto"/>
        </w:rPr>
        <w:t xml:space="preserve">Dividend income and paid-in-kind dividends: </w:t>
      </w:r>
      <w:r>
        <w:rPr>
          <w:rFonts w:ascii="Arial" w:cs="Arial" w:eastAsia="Arial" w:hAnsi="Arial"/>
          <w:sz w:val="14"/>
          <w:szCs w:val="14"/>
          <w:color w:val="auto"/>
        </w:rPr>
        <w:t>Dividend income is recognized on the date dividends are declared. The Company holds preferred equity investments in the portfolio</w:t>
      </w:r>
      <w:r>
        <w:rPr>
          <w:rFonts w:ascii="Arial" w:cs="Arial" w:eastAsia="Arial" w:hAnsi="Arial"/>
          <w:sz w:val="14"/>
          <w:szCs w:val="14"/>
          <w:i w:val="1"/>
          <w:iCs w:val="1"/>
          <w:color w:val="auto"/>
        </w:rPr>
        <w:t xml:space="preserve"> </w:t>
      </w:r>
      <w:r>
        <w:rPr>
          <w:rFonts w:ascii="Arial" w:cs="Arial" w:eastAsia="Arial" w:hAnsi="Arial"/>
          <w:sz w:val="14"/>
          <w:szCs w:val="14"/>
          <w:color w:val="auto"/>
        </w:rPr>
        <w:t>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8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i w:val="1"/>
          <w:iCs w:val="1"/>
          <w:color w:val="auto"/>
        </w:rPr>
        <w:t xml:space="preserve">Original issue discount: </w:t>
      </w:r>
      <w:r>
        <w:rPr>
          <w:rFonts w:ascii="Arial" w:cs="Arial" w:eastAsia="Arial" w:hAnsi="Arial"/>
          <w:sz w:val="14"/>
          <w:szCs w:val="14"/>
          <w:color w:val="auto"/>
        </w:rPr>
        <w:t>Discounts received to par on loans purchased are capitalized and accreted into income over the life of the loan. Any remaining discount is accreted into</w:t>
      </w:r>
      <w:r>
        <w:rPr>
          <w:rFonts w:ascii="Arial" w:cs="Arial" w:eastAsia="Arial" w:hAnsi="Arial"/>
          <w:sz w:val="14"/>
          <w:szCs w:val="14"/>
          <w:i w:val="1"/>
          <w:iCs w:val="1"/>
          <w:color w:val="auto"/>
        </w:rPr>
        <w:t xml:space="preserve"> </w:t>
      </w:r>
      <w:r>
        <w:rPr>
          <w:rFonts w:ascii="Arial" w:cs="Arial" w:eastAsia="Arial" w:hAnsi="Arial"/>
          <w:sz w:val="14"/>
          <w:szCs w:val="14"/>
          <w:color w:val="auto"/>
        </w:rPr>
        <w:t>income upon prepayment of the loan.</w:t>
      </w:r>
    </w:p>
    <w:p>
      <w:pPr>
        <w:spacing w:after="0" w:line="6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i w:val="1"/>
          <w:iCs w:val="1"/>
          <w:color w:val="auto"/>
        </w:rPr>
        <w:t xml:space="preserve">Other income: </w:t>
      </w:r>
      <w:r>
        <w:rPr>
          <w:rFonts w:ascii="Arial" w:cs="Arial" w:eastAsia="Arial" w:hAnsi="Arial"/>
          <w:sz w:val="14"/>
          <w:szCs w:val="14"/>
          <w:color w:val="auto"/>
        </w:rPr>
        <w:t>Origination fees (to the extent services are performed to earn such income), amendment fees, consent fees and other fees associated with investments in portfolio</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are recognized as income when they are earned. Prepayment penalties received by the Company for debt instruments repaid prior to the maturity date are recorded as income upon receipt.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1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7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4"/>
          <w:szCs w:val="14"/>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9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9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The tax years ended December 31, 2021, 2020, 2019 and 2018 remain subject to examination by U.S. federal, state, and local tax authorities. No interest expense or penalties have been assessed for the periods ended September 30, 2022 and 2021. If the Company was required to recognize interest and penalties, if any, related to unrecognized tax benefits this would be recognized as income tax expense in the consolidated statements of operations.</w:t>
      </w:r>
    </w:p>
    <w:p>
      <w:pPr>
        <w:spacing w:after="0" w:line="7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4"/>
          <w:szCs w:val="14"/>
          <w:color w:val="auto"/>
        </w:rPr>
        <w:t>The Company’s Taxable Subsidiaries record deferred tax assets or liabilities related to temporary book versus tax differences on the income or loss generated by the underlying equity investments held by the Taxable Subsidiaries. As of both September 30, 2022 and December 31, 2021, the Company recorded a net deferred tax asset of zero. For both the three and six months ended September 30, 2022 and 2021, the Company recorded a tax provision of zero. As of September 30, 2022 and December 31, 2021, the valuation allowance on the Company’s deferred tax asset was $2.9 million and $2.5 million, respectively. During both the three and nine months ended September 30, 2022, the Company recognized an increase in the valuation allowance of zero and $0.4 million, respectively. During the three and nine months ended September 30, 2021, the Company recognized a decrease in the valuation allowance of $(0.4) million and $(1.4) million,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5" w:name="page36"/>
    <w:bookmarkEnd w:id="35"/>
    <w:p>
      <w:pPr>
        <w:jc w:val="both"/>
        <w:ind w:firstLine="749"/>
        <w:spacing w:after="0" w:line="255" w:lineRule="auto"/>
        <w:rPr>
          <w:sz w:val="20"/>
          <w:szCs w:val="20"/>
          <w:color w:val="auto"/>
        </w:rPr>
      </w:pPr>
      <w:r>
        <w:rPr>
          <w:rFonts w:ascii="Arial" w:cs="Arial" w:eastAsia="Arial" w:hAnsi="Arial"/>
          <w:sz w:val="14"/>
          <w:szCs w:val="14"/>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81" w:lineRule="exact"/>
        <w:rPr>
          <w:sz w:val="20"/>
          <w:szCs w:val="20"/>
          <w:color w:val="auto"/>
        </w:rPr>
      </w:pPr>
    </w:p>
    <w:p>
      <w:pPr>
        <w:jc w:val="both"/>
        <w:ind w:right="20" w:firstLine="749"/>
        <w:spacing w:after="0" w:line="254" w:lineRule="auto"/>
        <w:rPr>
          <w:sz w:val="20"/>
          <w:szCs w:val="20"/>
          <w:color w:val="auto"/>
        </w:rPr>
      </w:pPr>
      <w:r>
        <w:rPr>
          <w:rFonts w:ascii="Arial" w:cs="Arial" w:eastAsia="Arial" w:hAnsi="Arial"/>
          <w:sz w:val="14"/>
          <w:szCs w:val="14"/>
          <w:color w:val="auto"/>
        </w:rPr>
        <w:t xml:space="preserve">ASC Topic 740 —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2022 and December 31, 2021, there were no uncertain tax positions.</w:t>
      </w:r>
    </w:p>
    <w:p>
      <w:pPr>
        <w:spacing w:after="0" w:line="80"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7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The Company has concluded that it was not necessary to record a liability for any such tax positions as of September 30, 2022 and December 31, 2021.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2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September 30, 2022, our portfolio consisted of investments in 54 portfolio companies with a fair value of approximately $193.1 million.</w:t>
      </w:r>
    </w:p>
    <w:p>
      <w:pPr>
        <w:spacing w:after="0" w:line="93"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2022, 2.2% of the fair value of our first lien loans consisted of last-out loans. As of December 31, 2021, 8.5% of the fair value of our first lien loans consisted of last-out loans. In some cases, first lien loans may be subordinated, solely with respect to the payment of cash interest, to an asset based revolving credit facility.</w:t>
      </w:r>
    </w:p>
    <w:p>
      <w:pPr>
        <w:spacing w:after="0" w:line="83" w:lineRule="exact"/>
        <w:rPr>
          <w:sz w:val="20"/>
          <w:szCs w:val="20"/>
          <w:color w:val="auto"/>
        </w:rPr>
      </w:pPr>
    </w:p>
    <w:p>
      <w:pPr>
        <w:jc w:val="both"/>
        <w:ind w:right="20" w:firstLine="749"/>
        <w:spacing w:after="0" w:line="312" w:lineRule="auto"/>
        <w:rPr>
          <w:sz w:val="20"/>
          <w:szCs w:val="20"/>
          <w:color w:val="auto"/>
        </w:rPr>
      </w:pPr>
      <w:r>
        <w:rPr>
          <w:rFonts w:ascii="Arial" w:cs="Arial" w:eastAsia="Arial" w:hAnsi="Arial"/>
          <w:sz w:val="13"/>
          <w:szCs w:val="13"/>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During the three months ended September 30, 2022, we made approximately $36.7 million of investments and had approximately $17.1 million in repayments and sales, resulting in net deployment of approximately of approximately $19.6 million for the period. During the three months ended September 30, 2021, we made approximately $33.3 million of investments and had approximately $64.1 million in repayments and sales, resulting in net repayments and sales of approximately $30.8 million for the period.</w:t>
      </w:r>
    </w:p>
    <w:p>
      <w:pPr>
        <w:spacing w:after="0" w:line="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During the nine months ended September 30, 2022, we made approximately $83.8 million of investments and had approximately $83.8 million in repayments and sales, resulting in net repayments and sales of less than $0.1 million for the period. During the nine months ended September 30, 2021, we made approximately $43.3 million of investments and had approximately $127.5 million in repayments and sales, resulting in net repayments and sales of approximately $84.2 million for the period.</w:t>
      </w:r>
    </w:p>
    <w:p>
      <w:pPr>
        <w:spacing w:after="0" w:line="70"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3"/>
          <w:szCs w:val="13"/>
          <w:color w:val="auto"/>
        </w:rPr>
        <w:t>As of September 30, 2022, our debt investment portfolio, which represented 79.4% of the fair value of our total portfolio, had a weighted average annualized yield of approximately 8.9% (excluding non-accruals and collateralized loan obligations). As of September 30, 2022, 23.7% of the fair value of our debt investment portfolio was bearing a fixed rate of interest. As of December 31, 2021, our debt investment portfolio, which represented 67.4% of the fair value of our total portfolio, had a weighted average annualized yield of approximately 8.1% (excluding non-accruals and collateralized loan obligations). As of December 31, 2021, 22.8% of the fair value of our debt investment portfolio was bearing a fixed rate of interest.</w:t>
      </w:r>
    </w:p>
    <w:p>
      <w:pPr>
        <w:spacing w:after="0" w:line="6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7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As of September 30, 2022, the fair value of our investment portfolio of approximately $193.1 million in good faith in accordance with our valuation procedures. The fair value of our investment portfolio as of September 30, 2022 with input from a third-party valuation firm and the Investment Advisor based on information known or knowable as of the valuation date, including trailing and forward-looking data.</w:t>
      </w:r>
    </w:p>
    <w:p>
      <w:pPr>
        <w:spacing w:after="0" w:line="9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3"/>
          <w:szCs w:val="13"/>
          <w:color w:val="auto"/>
        </w:rPr>
        <w:t>As of September 30, 2022, we had debt investments in two portfolio companies on non-accrual status with an aggregate amortized cost of $12.1 million and an aggregate fair value of $8.9 million, which represented 6.0% and 4.6% of the investment portfolio, respectively. As of December 31, 2021, we had debt investments in two portfolio companies on non-accrual status with aggregate amortized cost of $12.7 million and an aggregate fair value of $7.6 million, which represented 6.7% and 3.8% of the investment portfolio,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6" w:name="page37"/>
    <w:bookmarkEnd w:id="36"/>
    <w:p>
      <w:pPr>
        <w:ind w:left="760"/>
        <w:spacing w:after="0"/>
        <w:rPr>
          <w:sz w:val="20"/>
          <w:szCs w:val="20"/>
          <w:color w:val="auto"/>
        </w:rPr>
      </w:pPr>
      <w:r>
        <w:rPr>
          <w:rFonts w:ascii="Arial" w:cs="Arial" w:eastAsia="Arial" w:hAnsi="Arial"/>
          <w:sz w:val="14"/>
          <w:szCs w:val="14"/>
          <w:color w:val="auto"/>
        </w:rPr>
        <w:t>The following table summarizes the amortized cost and the fair value of investments as of September 30, 2022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r>
      <w:tr>
        <w:trPr>
          <w:trHeight w:val="158"/>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3"/>
                <w:szCs w:val="13"/>
                <w:color w:val="auto"/>
              </w:rPr>
            </w:pPr>
          </w:p>
        </w:tc>
        <w:tc>
          <w:tcPr>
            <w:tcW w:w="1360" w:type="dxa"/>
            <w:vAlign w:val="bottom"/>
          </w:tcPr>
          <w:p>
            <w:pPr>
              <w:jc w:val="center"/>
              <w:ind w:left="288"/>
              <w:spacing w:after="0" w:line="158" w:lineRule="exact"/>
              <w:rPr>
                <w:sz w:val="20"/>
                <w:szCs w:val="20"/>
                <w:color w:val="auto"/>
              </w:rPr>
            </w:pPr>
            <w:r>
              <w:rPr>
                <w:rFonts w:ascii="Arial" w:cs="Arial" w:eastAsia="Arial" w:hAnsi="Arial"/>
                <w:sz w:val="14"/>
                <w:szCs w:val="14"/>
                <w:b w:val="1"/>
                <w:bCs w:val="1"/>
                <w:color w:val="auto"/>
                <w:w w:val="90"/>
              </w:rPr>
              <w:t>Percentage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Investments at</w:t>
            </w:r>
          </w:p>
        </w:tc>
        <w:tc>
          <w:tcPr>
            <w:tcW w:w="220" w:type="dxa"/>
            <w:vAlign w:val="bottom"/>
          </w:tcPr>
          <w:p>
            <w:pPr>
              <w:spacing w:after="0"/>
              <w:rPr>
                <w:sz w:val="13"/>
                <w:szCs w:val="13"/>
                <w:color w:val="auto"/>
              </w:rPr>
            </w:pPr>
          </w:p>
        </w:tc>
        <w:tc>
          <w:tcPr>
            <w:tcW w:w="18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Percentage of</w:t>
            </w:r>
          </w:p>
        </w:tc>
      </w:tr>
      <w:tr>
        <w:trPr>
          <w:trHeight w:val="189"/>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Total Portfolio</w:t>
            </w:r>
          </w:p>
        </w:tc>
      </w:tr>
      <w:tr>
        <w:trPr>
          <w:trHeight w:val="169"/>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124,030</w:t>
            </w:r>
          </w:p>
        </w:tc>
        <w:tc>
          <w:tcPr>
            <w:tcW w:w="26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61.2</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119,426</w:t>
            </w:r>
          </w:p>
        </w:tc>
        <w:tc>
          <w:tcPr>
            <w:tcW w:w="220" w:type="dxa"/>
            <w:vAlign w:val="bottom"/>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9,020</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4.4 %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7,773</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4.0 %</w:t>
            </w:r>
          </w:p>
        </w:tc>
        <w:tc>
          <w:tcPr>
            <w:tcW w:w="20" w:type="dxa"/>
            <w:vAlign w:val="bottom"/>
          </w:tcPr>
          <w:p>
            <w:pPr>
              <w:spacing w:after="0"/>
              <w:rPr>
                <w:sz w:val="15"/>
                <w:szCs w:val="15"/>
                <w:color w:val="auto"/>
              </w:rPr>
            </w:pPr>
          </w:p>
        </w:tc>
      </w:tr>
      <w:tr>
        <w:trPr>
          <w:trHeight w:val="175"/>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26,501</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13.1 %</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26,096</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13.5 %</w:t>
            </w:r>
          </w:p>
        </w:tc>
        <w:tc>
          <w:tcPr>
            <w:tcW w:w="20" w:type="dxa"/>
            <w:vAlign w:val="bottom"/>
          </w:tcPr>
          <w:p>
            <w:pPr>
              <w:spacing w:after="0"/>
              <w:rPr>
                <w:sz w:val="15"/>
                <w:szCs w:val="15"/>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Collateralized Loan Obligations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7,267</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3.6 %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6,664</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3.5 %</w:t>
            </w:r>
          </w:p>
        </w:tc>
        <w:tc>
          <w:tcPr>
            <w:tcW w:w="20" w:type="dxa"/>
            <w:vAlign w:val="bottom"/>
          </w:tcPr>
          <w:p>
            <w:pPr>
              <w:spacing w:after="0"/>
              <w:rPr>
                <w:sz w:val="15"/>
                <w:szCs w:val="15"/>
                <w:color w:val="auto"/>
              </w:rPr>
            </w:pPr>
          </w:p>
        </w:tc>
      </w:tr>
      <w:tr>
        <w:trPr>
          <w:trHeight w:val="175"/>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Joint Venture</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0.1 %</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20" w:type="dxa"/>
            <w:vAlign w:val="bottom"/>
          </w:tcPr>
          <w:p>
            <w:pPr>
              <w:spacing w:after="0"/>
              <w:rPr>
                <w:sz w:val="15"/>
                <w:szCs w:val="15"/>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Equity and Warrants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35,648</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17.6 %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32,891</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17.0 %</w:t>
            </w:r>
          </w:p>
        </w:tc>
        <w:tc>
          <w:tcPr>
            <w:tcW w:w="20" w:type="dxa"/>
            <w:vAlign w:val="bottom"/>
          </w:tcPr>
          <w:p>
            <w:pPr>
              <w:spacing w:after="0"/>
              <w:rPr>
                <w:sz w:val="15"/>
                <w:szCs w:val="15"/>
                <w:color w:val="auto"/>
              </w:rPr>
            </w:pPr>
          </w:p>
        </w:tc>
      </w:tr>
      <w:tr>
        <w:trPr>
          <w:trHeight w:val="20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202,743</w:t>
            </w:r>
          </w:p>
        </w:tc>
        <w:tc>
          <w:tcPr>
            <w:tcW w:w="2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193,120</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summarizes the amortized cost and the fair value of investments as of December 31, 2021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Amortized Cost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r>
      <w:tr>
        <w:trPr>
          <w:trHeight w:val="158"/>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rPr>
              <w:t>Investments at</w:t>
            </w:r>
          </w:p>
        </w:tc>
        <w:tc>
          <w:tcPr>
            <w:tcW w:w="260" w:type="dxa"/>
            <w:vAlign w:val="bottom"/>
          </w:tcPr>
          <w:p>
            <w:pPr>
              <w:spacing w:after="0"/>
              <w:rPr>
                <w:sz w:val="13"/>
                <w:szCs w:val="13"/>
                <w:color w:val="auto"/>
              </w:rPr>
            </w:pPr>
          </w:p>
        </w:tc>
        <w:tc>
          <w:tcPr>
            <w:tcW w:w="1360" w:type="dxa"/>
            <w:vAlign w:val="bottom"/>
          </w:tcPr>
          <w:p>
            <w:pPr>
              <w:jc w:val="center"/>
              <w:ind w:left="288"/>
              <w:spacing w:after="0" w:line="158" w:lineRule="exact"/>
              <w:rPr>
                <w:sz w:val="20"/>
                <w:szCs w:val="20"/>
                <w:color w:val="auto"/>
              </w:rPr>
            </w:pPr>
            <w:r>
              <w:rPr>
                <w:rFonts w:ascii="Arial" w:cs="Arial" w:eastAsia="Arial" w:hAnsi="Arial"/>
                <w:sz w:val="14"/>
                <w:szCs w:val="14"/>
                <w:b w:val="1"/>
                <w:bCs w:val="1"/>
                <w:color w:val="auto"/>
                <w:w w:val="90"/>
              </w:rPr>
              <w:t>Percentage of</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08"/>
              <w:spacing w:after="0" w:line="158" w:lineRule="exact"/>
              <w:rPr>
                <w:sz w:val="20"/>
                <w:szCs w:val="20"/>
                <w:color w:val="auto"/>
              </w:rPr>
            </w:pPr>
            <w:r>
              <w:rPr>
                <w:rFonts w:ascii="Arial" w:cs="Arial" w:eastAsia="Arial" w:hAnsi="Arial"/>
                <w:sz w:val="14"/>
                <w:szCs w:val="14"/>
                <w:b w:val="1"/>
                <w:bCs w:val="1"/>
                <w:color w:val="auto"/>
              </w:rPr>
              <w:t>Investments at</w:t>
            </w:r>
          </w:p>
        </w:tc>
        <w:tc>
          <w:tcPr>
            <w:tcW w:w="220" w:type="dxa"/>
            <w:vAlign w:val="bottom"/>
          </w:tcPr>
          <w:p>
            <w:pPr>
              <w:spacing w:after="0"/>
              <w:rPr>
                <w:sz w:val="13"/>
                <w:szCs w:val="13"/>
                <w:color w:val="auto"/>
              </w:rPr>
            </w:pPr>
          </w:p>
        </w:tc>
        <w:tc>
          <w:tcPr>
            <w:tcW w:w="18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Percentage of</w:t>
            </w:r>
          </w:p>
        </w:tc>
      </w:tr>
      <w:tr>
        <w:trPr>
          <w:trHeight w:val="189"/>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36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Total Portfolio</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Total Portfolio</w:t>
            </w:r>
          </w:p>
        </w:tc>
      </w:tr>
      <w:tr>
        <w:trPr>
          <w:trHeight w:val="169"/>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First Lien Debt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103,667</w:t>
            </w:r>
          </w:p>
        </w:tc>
        <w:tc>
          <w:tcPr>
            <w:tcW w:w="260" w:type="dxa"/>
            <w:vAlign w:val="bottom"/>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98,251</w:t>
            </w:r>
          </w:p>
        </w:tc>
        <w:tc>
          <w:tcPr>
            <w:tcW w:w="220" w:type="dxa"/>
            <w:vAlign w:val="bottom"/>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Second Lien Debt</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30,048</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15.8 %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30,190</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15.2 %</w:t>
            </w:r>
          </w:p>
        </w:tc>
        <w:tc>
          <w:tcPr>
            <w:tcW w:w="20" w:type="dxa"/>
            <w:vAlign w:val="bottom"/>
          </w:tcPr>
          <w:p>
            <w:pPr>
              <w:spacing w:after="0"/>
              <w:rPr>
                <w:sz w:val="15"/>
                <w:szCs w:val="15"/>
                <w:color w:val="auto"/>
              </w:rPr>
            </w:pPr>
          </w:p>
        </w:tc>
      </w:tr>
      <w:tr>
        <w:trPr>
          <w:trHeight w:val="175"/>
        </w:trPr>
        <w:tc>
          <w:tcPr>
            <w:tcW w:w="3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Subordinated Debt</w:t>
            </w: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2.6 %</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2.6 %</w:t>
            </w:r>
          </w:p>
        </w:tc>
        <w:tc>
          <w:tcPr>
            <w:tcW w:w="20" w:type="dxa"/>
            <w:vAlign w:val="bottom"/>
          </w:tcPr>
          <w:p>
            <w:pPr>
              <w:spacing w:after="0"/>
              <w:rPr>
                <w:sz w:val="15"/>
                <w:szCs w:val="15"/>
                <w:color w:val="auto"/>
              </w:rPr>
            </w:pPr>
          </w:p>
        </w:tc>
      </w:tr>
      <w:tr>
        <w:trPr>
          <w:trHeight w:val="176"/>
        </w:trPr>
        <w:tc>
          <w:tcPr>
            <w:tcW w:w="3620" w:type="dxa"/>
            <w:vAlign w:val="bottom"/>
          </w:tcPr>
          <w:p>
            <w:pPr>
              <w:ind w:left="20"/>
              <w:spacing w:after="0"/>
              <w:rPr>
                <w:sz w:val="20"/>
                <w:szCs w:val="20"/>
                <w:color w:val="auto"/>
              </w:rPr>
            </w:pPr>
            <w:r>
              <w:rPr>
                <w:rFonts w:ascii="Arial" w:cs="Arial" w:eastAsia="Arial" w:hAnsi="Arial"/>
                <w:sz w:val="14"/>
                <w:szCs w:val="14"/>
                <w:color w:val="auto"/>
              </w:rPr>
              <w:t>Equity and Warrants</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51,717</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gridSpan w:val="2"/>
          </w:tcPr>
          <w:p>
            <w:pPr>
              <w:jc w:val="right"/>
              <w:ind w:right="88"/>
              <w:spacing w:after="0"/>
              <w:rPr>
                <w:sz w:val="20"/>
                <w:szCs w:val="20"/>
                <w:color w:val="auto"/>
              </w:rPr>
            </w:pPr>
            <w:r>
              <w:rPr>
                <w:rFonts w:ascii="Arial" w:cs="Arial" w:eastAsia="Arial" w:hAnsi="Arial"/>
                <w:sz w:val="14"/>
                <w:szCs w:val="14"/>
                <w:color w:val="auto"/>
              </w:rPr>
              <w:t>27.2 %</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64,698</w:t>
            </w:r>
          </w:p>
        </w:tc>
        <w:tc>
          <w:tcPr>
            <w:tcW w:w="2020" w:type="dxa"/>
            <w:vAlign w:val="bottom"/>
            <w:gridSpan w:val="3"/>
          </w:tcPr>
          <w:p>
            <w:pPr>
              <w:jc w:val="right"/>
              <w:spacing w:after="0"/>
              <w:rPr>
                <w:sz w:val="20"/>
                <w:szCs w:val="20"/>
                <w:color w:val="auto"/>
              </w:rPr>
            </w:pPr>
            <w:r>
              <w:rPr>
                <w:rFonts w:ascii="Arial" w:cs="Arial" w:eastAsia="Arial" w:hAnsi="Arial"/>
                <w:sz w:val="14"/>
                <w:szCs w:val="14"/>
                <w:color w:val="auto"/>
              </w:rPr>
              <w:t>32.6 %</w:t>
            </w:r>
          </w:p>
        </w:tc>
        <w:tc>
          <w:tcPr>
            <w:tcW w:w="20" w:type="dxa"/>
            <w:vAlign w:val="bottom"/>
          </w:tcPr>
          <w:p>
            <w:pPr>
              <w:spacing w:after="0"/>
              <w:rPr>
                <w:sz w:val="15"/>
                <w:szCs w:val="15"/>
                <w:color w:val="auto"/>
              </w:rPr>
            </w:pPr>
          </w:p>
        </w:tc>
      </w:tr>
      <w:tr>
        <w:trPr>
          <w:trHeight w:val="209"/>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190,482</w:t>
            </w:r>
          </w:p>
        </w:tc>
        <w:tc>
          <w:tcPr>
            <w:tcW w:w="2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1"/>
              </w:rPr>
              <w:t>100.0</w:t>
            </w:r>
          </w:p>
        </w:tc>
        <w:tc>
          <w:tcPr>
            <w:tcW w:w="28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198,189</w:t>
            </w:r>
          </w:p>
        </w:tc>
        <w:tc>
          <w:tcPr>
            <w:tcW w:w="22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774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747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40" w:type="dxa"/>
            <w:vAlign w:val="bottom"/>
            <w:gridSpan w:val="10"/>
          </w:tcPr>
          <w:p>
            <w:pPr>
              <w:ind w:left="760"/>
              <w:spacing w:after="0"/>
              <w:rPr>
                <w:sz w:val="20"/>
                <w:szCs w:val="20"/>
                <w:color w:val="auto"/>
              </w:rPr>
            </w:pPr>
            <w:r>
              <w:rPr>
                <w:rFonts w:ascii="Arial" w:cs="Arial" w:eastAsia="Arial" w:hAnsi="Arial"/>
                <w:sz w:val="14"/>
                <w:szCs w:val="14"/>
                <w:color w:val="auto"/>
                <w:w w:val="94"/>
              </w:rPr>
              <w:t>The following table shows the portfolio composition by industry grouping at fair value as of September 30, 2022 and December 31, 2021 (dollars 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2"/>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4"/>
          </w:tcPr>
          <w:p>
            <w:pPr>
              <w:jc w:val="right"/>
              <w:ind w:right="1068"/>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24"/>
                <w:szCs w:val="24"/>
                <w:color w:val="auto"/>
              </w:rPr>
            </w:pPr>
          </w:p>
        </w:tc>
        <w:tc>
          <w:tcPr>
            <w:tcW w:w="2780" w:type="dxa"/>
            <w:vAlign w:val="bottom"/>
            <w:gridSpan w:val="6"/>
          </w:tcPr>
          <w:p>
            <w:pPr>
              <w:ind w:left="660"/>
              <w:spacing w:after="0"/>
              <w:rPr>
                <w:sz w:val="20"/>
                <w:szCs w:val="20"/>
                <w:color w:val="auto"/>
              </w:rPr>
            </w:pPr>
            <w:r>
              <w:rPr>
                <w:rFonts w:ascii="Arial" w:cs="Arial" w:eastAsia="Arial" w:hAnsi="Arial"/>
                <w:sz w:val="14"/>
                <w:szCs w:val="14"/>
                <w:b w:val="1"/>
                <w:bCs w:val="1"/>
                <w:color w:val="auto"/>
              </w:rPr>
              <w:t>December 31, 2021</w:t>
            </w:r>
          </w:p>
        </w:tc>
      </w:tr>
      <w:tr>
        <w:trPr>
          <w:trHeight w:val="133"/>
        </w:trPr>
        <w:tc>
          <w:tcPr>
            <w:tcW w:w="5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188"/>
              <w:spacing w:after="0" w:line="133" w:lineRule="exact"/>
              <w:rPr>
                <w:sz w:val="20"/>
                <w:szCs w:val="20"/>
                <w:color w:val="auto"/>
              </w:rPr>
            </w:pPr>
            <w:r>
              <w:rPr>
                <w:rFonts w:ascii="Arial" w:cs="Arial" w:eastAsia="Arial" w:hAnsi="Arial"/>
                <w:sz w:val="14"/>
                <w:szCs w:val="14"/>
                <w:b w:val="1"/>
                <w:bCs w:val="1"/>
                <w:color w:val="auto"/>
                <w:w w:val="97"/>
              </w:rPr>
              <w:t>Investments at</w:t>
            </w:r>
          </w:p>
        </w:tc>
        <w:tc>
          <w:tcPr>
            <w:tcW w:w="3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28"/>
              <w:spacing w:after="0" w:line="133" w:lineRule="exact"/>
              <w:rPr>
                <w:sz w:val="20"/>
                <w:szCs w:val="20"/>
                <w:color w:val="auto"/>
              </w:rPr>
            </w:pPr>
            <w:r>
              <w:rPr>
                <w:rFonts w:ascii="Arial" w:cs="Arial" w:eastAsia="Arial" w:hAnsi="Arial"/>
                <w:sz w:val="14"/>
                <w:szCs w:val="14"/>
                <w:b w:val="1"/>
                <w:bCs w:val="1"/>
                <w:color w:val="auto"/>
              </w:rPr>
              <w:t>Percentage of</w:t>
            </w: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3"/>
          </w:tcPr>
          <w:p>
            <w:pPr>
              <w:jc w:val="center"/>
              <w:ind w:right="540"/>
              <w:spacing w:after="0" w:line="133" w:lineRule="exact"/>
              <w:rPr>
                <w:sz w:val="20"/>
                <w:szCs w:val="20"/>
                <w:color w:val="auto"/>
              </w:rPr>
            </w:pPr>
            <w:r>
              <w:rPr>
                <w:rFonts w:ascii="Arial" w:cs="Arial" w:eastAsia="Arial" w:hAnsi="Arial"/>
                <w:sz w:val="14"/>
                <w:szCs w:val="14"/>
                <w:b w:val="1"/>
                <w:bCs w:val="1"/>
                <w:color w:val="auto"/>
                <w:w w:val="91"/>
              </w:rPr>
              <w:t>Investments at</w:t>
            </w:r>
          </w:p>
        </w:tc>
        <w:tc>
          <w:tcPr>
            <w:tcW w:w="110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5"/>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4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Total Portfolio</w:t>
            </w:r>
          </w:p>
        </w:tc>
        <w:tc>
          <w:tcPr>
            <w:tcW w:w="160" w:type="dxa"/>
            <w:vAlign w:val="bottom"/>
          </w:tcPr>
          <w:p>
            <w:pPr>
              <w:spacing w:after="0"/>
              <w:rPr>
                <w:sz w:val="16"/>
                <w:szCs w:val="16"/>
                <w:color w:val="auto"/>
              </w:rPr>
            </w:pPr>
          </w:p>
        </w:tc>
        <w:tc>
          <w:tcPr>
            <w:tcW w:w="15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8"/>
              </w:rPr>
              <w:t>Fair Value</w:t>
            </w: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Portfolio</w:t>
            </w:r>
          </w:p>
        </w:tc>
      </w:tr>
      <w:tr>
        <w:trPr>
          <w:trHeight w:val="169"/>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Healthcare</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33,338</w:t>
            </w:r>
          </w:p>
        </w:tc>
        <w:tc>
          <w:tcPr>
            <w:tcW w:w="30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3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28,851</w:t>
            </w:r>
          </w:p>
        </w:tc>
        <w:tc>
          <w:tcPr>
            <w:tcW w:w="280" w:type="dxa"/>
            <w:vAlign w:val="bottom"/>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FF0FC"/>
          </w:tcPr>
          <w:p>
            <w:pPr>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r>
      <w:tr>
        <w:trPr>
          <w:trHeight w:val="176"/>
        </w:trPr>
        <w:tc>
          <w:tcPr>
            <w:tcW w:w="5140" w:type="dxa"/>
            <w:vAlign w:val="bottom"/>
          </w:tcPr>
          <w:p>
            <w:pPr>
              <w:ind w:left="20"/>
              <w:spacing w:after="0"/>
              <w:rPr>
                <w:sz w:val="20"/>
                <w:szCs w:val="20"/>
                <w:color w:val="auto"/>
              </w:rPr>
            </w:pPr>
            <w:r>
              <w:rPr>
                <w:rFonts w:ascii="Arial" w:cs="Arial" w:eastAsia="Arial" w:hAnsi="Arial"/>
                <w:sz w:val="14"/>
                <w:szCs w:val="14"/>
                <w:color w:val="auto"/>
              </w:rPr>
              <w:t>Financials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28,710</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14.9 %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17,161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8.7 %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Business Services</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21,187</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11.0 %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32,819</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16.6 %</w:t>
            </w:r>
          </w:p>
        </w:tc>
        <w:tc>
          <w:tcPr>
            <w:tcW w:w="20" w:type="dxa"/>
            <w:vAlign w:val="bottom"/>
          </w:tcPr>
          <w:p>
            <w:pPr>
              <w:spacing w:after="0"/>
              <w:rPr>
                <w:sz w:val="15"/>
                <w:szCs w:val="15"/>
                <w:color w:val="auto"/>
              </w:rPr>
            </w:pPr>
          </w:p>
        </w:tc>
      </w:tr>
      <w:tr>
        <w:trPr>
          <w:trHeight w:val="176"/>
        </w:trPr>
        <w:tc>
          <w:tcPr>
            <w:tcW w:w="5140" w:type="dxa"/>
            <w:vAlign w:val="bottom"/>
          </w:tcPr>
          <w:p>
            <w:pPr>
              <w:ind w:left="20"/>
              <w:spacing w:after="0"/>
              <w:rPr>
                <w:sz w:val="20"/>
                <w:szCs w:val="20"/>
                <w:color w:val="auto"/>
              </w:rPr>
            </w:pPr>
            <w:r>
              <w:rPr>
                <w:rFonts w:ascii="Arial" w:cs="Arial" w:eastAsia="Arial" w:hAnsi="Arial"/>
                <w:sz w:val="14"/>
                <w:szCs w:val="14"/>
                <w:color w:val="auto"/>
              </w:rPr>
              <w:t>Information Technology</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16,298</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8.4 %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24,067</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12.1 %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Discretionary</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16,190</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8.4 %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11,018</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5.6 %</w:t>
            </w:r>
          </w:p>
        </w:tc>
        <w:tc>
          <w:tcPr>
            <w:tcW w:w="20" w:type="dxa"/>
            <w:vAlign w:val="bottom"/>
          </w:tcPr>
          <w:p>
            <w:pPr>
              <w:spacing w:after="0"/>
              <w:rPr>
                <w:sz w:val="15"/>
                <w:szCs w:val="15"/>
                <w:color w:val="auto"/>
              </w:rPr>
            </w:pPr>
          </w:p>
        </w:tc>
      </w:tr>
      <w:tr>
        <w:trPr>
          <w:trHeight w:val="176"/>
        </w:trPr>
        <w:tc>
          <w:tcPr>
            <w:tcW w:w="5140" w:type="dxa"/>
            <w:vAlign w:val="bottom"/>
          </w:tcPr>
          <w:p>
            <w:pPr>
              <w:ind w:left="20"/>
              <w:spacing w:after="0"/>
              <w:rPr>
                <w:sz w:val="20"/>
                <w:szCs w:val="20"/>
                <w:color w:val="auto"/>
              </w:rPr>
            </w:pPr>
            <w:r>
              <w:rPr>
                <w:rFonts w:ascii="Arial" w:cs="Arial" w:eastAsia="Arial" w:hAnsi="Arial"/>
                <w:sz w:val="14"/>
                <w:szCs w:val="14"/>
                <w:color w:val="auto"/>
              </w:rPr>
              <w:t>Industrials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15,655</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8.1 %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14,641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7.4 %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Healthcare Management</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8,713</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4.5 %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7,002</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Entertainment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7,984</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4.1 %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8,894</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4.5 %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Financial Services</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6,408</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3.3 %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7,430</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Online Merchandise Retailer</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5,528</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2.9 %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5,951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20" w:type="dxa"/>
            <w:vAlign w:val="bottom"/>
          </w:tcPr>
          <w:p>
            <w:pPr>
              <w:spacing w:after="0"/>
              <w:rPr>
                <w:sz w:val="15"/>
                <w:szCs w:val="15"/>
                <w:color w:val="auto"/>
              </w:rPr>
            </w:pPr>
          </w:p>
        </w:tc>
      </w:tr>
      <w:tr>
        <w:trPr>
          <w:trHeight w:val="176"/>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Textile Equipment Manufacturer</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5,020</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2.6 %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5,050</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Medical Device Distributor</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4,851</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2.5 %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4,961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Staples</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4,836</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2.5 %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Automobile Part Manufacturer</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4,819</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2.5 %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2,721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Advertising &amp; Marketing Services</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3,823</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2.0 %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4,579</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QSR Franchisor</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3,626</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1.9 %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8,007</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4.0 %</w:t>
            </w:r>
          </w:p>
        </w:tc>
        <w:tc>
          <w:tcPr>
            <w:tcW w:w="20" w:type="dxa"/>
            <w:vAlign w:val="bottom"/>
          </w:tcPr>
          <w:p>
            <w:pPr>
              <w:spacing w:after="0"/>
              <w:rPr>
                <w:sz w:val="15"/>
                <w:szCs w:val="15"/>
                <w:color w:val="auto"/>
              </w:rPr>
            </w:pPr>
          </w:p>
        </w:tc>
      </w:tr>
      <w:tr>
        <w:trPr>
          <w:trHeight w:val="176"/>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Home Repair Parts Manufacturer</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2,741</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1.4 %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3,062</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Testing laboratories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817</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0.4 %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1,113</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0.6 %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Household Product Manufacturer</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0.4 %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General Industrial</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641</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0.3 %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645</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20" w:type="dxa"/>
            <w:vAlign w:val="bottom"/>
          </w:tcPr>
          <w:p>
            <w:pPr>
              <w:spacing w:after="0"/>
              <w:rPr>
                <w:sz w:val="15"/>
                <w:szCs w:val="15"/>
                <w:color w:val="auto"/>
              </w:rPr>
            </w:pPr>
          </w:p>
        </w:tc>
      </w:tr>
      <w:tr>
        <w:trPr>
          <w:trHeight w:val="175"/>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Data Processing &amp; Digital Marketing</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0.3 %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Electronic Machine Repair</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264</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8,465</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4.3 %</w:t>
            </w:r>
          </w:p>
        </w:tc>
        <w:tc>
          <w:tcPr>
            <w:tcW w:w="20" w:type="dxa"/>
            <w:vAlign w:val="bottom"/>
          </w:tcPr>
          <w:p>
            <w:pPr>
              <w:spacing w:after="0"/>
              <w:rPr>
                <w:sz w:val="15"/>
                <w:szCs w:val="15"/>
                <w:color w:val="auto"/>
              </w:rPr>
            </w:pPr>
          </w:p>
        </w:tc>
      </w:tr>
      <w:tr>
        <w:trPr>
          <w:trHeight w:val="176"/>
        </w:trPr>
        <w:tc>
          <w:tcPr>
            <w:tcW w:w="5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Oil &amp; Gas Engineering and Consulting Services</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780" w:type="dxa"/>
            <w:vAlign w:val="bottom"/>
            <w:gridSpan w:val="3"/>
            <w:shd w:val="clear" w:color="auto" w:fill="CFF0FC"/>
          </w:tcPr>
          <w:p>
            <w:pPr>
              <w:jc w:val="right"/>
              <w:ind w:right="108"/>
              <w:spacing w:after="0"/>
              <w:rPr>
                <w:sz w:val="20"/>
                <w:szCs w:val="20"/>
                <w:color w:val="auto"/>
              </w:rPr>
            </w:pPr>
            <w:r>
              <w:rPr>
                <w:rFonts w:ascii="Arial" w:cs="Arial" w:eastAsia="Arial" w:hAnsi="Arial"/>
                <w:sz w:val="14"/>
                <w:szCs w:val="14"/>
                <w:color w:val="auto"/>
              </w:rPr>
              <w:t>0.1 %</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w:t>
            </w: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20" w:type="dxa"/>
            <w:vAlign w:val="bottom"/>
          </w:tcPr>
          <w:p>
            <w:pPr>
              <w:spacing w:after="0"/>
              <w:rPr>
                <w:sz w:val="15"/>
                <w:szCs w:val="15"/>
                <w:color w:val="auto"/>
              </w:rPr>
            </w:pPr>
          </w:p>
        </w:tc>
      </w:tr>
      <w:tr>
        <w:trPr>
          <w:trHeight w:val="175"/>
        </w:trPr>
        <w:tc>
          <w:tcPr>
            <w:tcW w:w="5140" w:type="dxa"/>
            <w:vAlign w:val="bottom"/>
          </w:tcPr>
          <w:p>
            <w:pPr>
              <w:ind w:left="20"/>
              <w:spacing w:after="0"/>
              <w:rPr>
                <w:sz w:val="20"/>
                <w:szCs w:val="20"/>
                <w:color w:val="auto"/>
              </w:rPr>
            </w:pPr>
            <w:r>
              <w:rPr>
                <w:rFonts w:ascii="Arial" w:cs="Arial" w:eastAsia="Arial" w:hAnsi="Arial"/>
                <w:sz w:val="14"/>
                <w:szCs w:val="14"/>
                <w:color w:val="auto"/>
              </w:rPr>
              <w:t>Consumer Products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200</w:t>
            </w:r>
          </w:p>
        </w:tc>
        <w:tc>
          <w:tcPr>
            <w:tcW w:w="1780" w:type="dxa"/>
            <w:vAlign w:val="bottom"/>
            <w:gridSpan w:val="3"/>
          </w:tcPr>
          <w:p>
            <w:pPr>
              <w:jc w:val="right"/>
              <w:ind w:right="108"/>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623</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20" w:type="dxa"/>
            <w:vAlign w:val="bottom"/>
          </w:tcPr>
          <w:p>
            <w:pPr>
              <w:spacing w:after="0"/>
              <w:rPr>
                <w:sz w:val="15"/>
                <w:szCs w:val="15"/>
                <w:color w:val="auto"/>
              </w:rPr>
            </w:pPr>
          </w:p>
        </w:tc>
      </w:tr>
      <w:tr>
        <w:trPr>
          <w:trHeight w:val="169"/>
        </w:trPr>
        <w:tc>
          <w:tcPr>
            <w:tcW w:w="5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193,120</w:t>
            </w:r>
          </w:p>
        </w:tc>
        <w:tc>
          <w:tcPr>
            <w:tcW w:w="30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198,189</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Operating results for the three and nine months ended September 30, 2022 and 2021 were as follows (dollars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100" w:type="dxa"/>
            <w:vAlign w:val="bottom"/>
            <w:gridSpan w:val="6"/>
          </w:tcPr>
          <w:p>
            <w:pPr>
              <w:jc w:val="right"/>
              <w:ind w:right="228"/>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100" w:type="dxa"/>
            <w:vAlign w:val="bottom"/>
          </w:tcPr>
          <w:p>
            <w:pPr>
              <w:spacing w:after="0"/>
              <w:rPr>
                <w:sz w:val="16"/>
                <w:szCs w:val="16"/>
                <w:color w:val="auto"/>
              </w:rPr>
            </w:pPr>
          </w:p>
        </w:tc>
        <w:tc>
          <w:tcPr>
            <w:tcW w:w="2840" w:type="dxa"/>
            <w:vAlign w:val="bottom"/>
            <w:gridSpan w:val="5"/>
          </w:tcPr>
          <w:p>
            <w:pPr>
              <w:jc w:val="right"/>
              <w:ind w:right="128"/>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69"/>
        </w:trPr>
        <w:tc>
          <w:tcPr>
            <w:tcW w:w="52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86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3,748</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10,389</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13,342</w:t>
            </w:r>
          </w:p>
        </w:tc>
        <w:tc>
          <w:tcPr>
            <w:tcW w:w="100" w:type="dxa"/>
            <w:vAlign w:val="bottom"/>
            <w:shd w:val="clear" w:color="auto" w:fill="CFF0FC"/>
          </w:tcPr>
          <w:p>
            <w:pPr>
              <w:spacing w:after="0"/>
              <w:rPr>
                <w:sz w:val="14"/>
                <w:szCs w:val="14"/>
                <w:color w:val="auto"/>
              </w:rPr>
            </w:pPr>
          </w:p>
        </w:tc>
      </w:tr>
      <w:tr>
        <w:trPr>
          <w:trHeight w:val="175"/>
        </w:trPr>
        <w:tc>
          <w:tcPr>
            <w:tcW w:w="5200" w:type="dxa"/>
            <w:vAlign w:val="bottom"/>
          </w:tcPr>
          <w:p>
            <w:pPr>
              <w:ind w:left="20"/>
              <w:spacing w:after="0"/>
              <w:rPr>
                <w:sz w:val="20"/>
                <w:szCs w:val="20"/>
                <w:color w:val="auto"/>
              </w:rPr>
            </w:pPr>
            <w:r>
              <w:rPr>
                <w:rFonts w:ascii="Arial" w:cs="Arial" w:eastAsia="Arial" w:hAnsi="Arial"/>
                <w:sz w:val="14"/>
                <w:szCs w:val="14"/>
                <w:color w:val="auto"/>
              </w:rPr>
              <w:t>Total expenses, net of incentive fee waiver</w:t>
            </w: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3,566</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12,186</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15,601</w:t>
            </w:r>
          </w:p>
        </w:tc>
        <w:tc>
          <w:tcPr>
            <w:tcW w:w="100" w:type="dxa"/>
            <w:vAlign w:val="bottom"/>
          </w:tcPr>
          <w:p>
            <w:pPr>
              <w:spacing w:after="0"/>
              <w:rPr>
                <w:sz w:val="15"/>
                <w:szCs w:val="15"/>
                <w:color w:val="auto"/>
              </w:rPr>
            </w:pPr>
          </w:p>
        </w:tc>
      </w:tr>
      <w:tr>
        <w:trPr>
          <w:trHeight w:val="169"/>
        </w:trPr>
        <w:tc>
          <w:tcPr>
            <w:tcW w:w="5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investment income (loss)</w:t>
            </w:r>
          </w:p>
        </w:tc>
        <w:tc>
          <w:tcPr>
            <w:tcW w:w="86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(1,510</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(1,797</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5200" w:type="dxa"/>
            <w:vAlign w:val="bottom"/>
          </w:tcPr>
          <w:p>
            <w:pPr>
              <w:ind w:left="20"/>
              <w:spacing w:after="0"/>
              <w:rPr>
                <w:sz w:val="20"/>
                <w:szCs w:val="20"/>
                <w:color w:val="auto"/>
              </w:rPr>
            </w:pPr>
            <w:r>
              <w:rPr>
                <w:rFonts w:ascii="Arial" w:cs="Arial" w:eastAsia="Arial" w:hAnsi="Arial"/>
                <w:sz w:val="14"/>
                <w:szCs w:val="14"/>
                <w:color w:val="auto"/>
              </w:rPr>
              <w:t>Net realized (loss) gain on investments</w:t>
            </w:r>
          </w:p>
        </w:tc>
        <w:tc>
          <w:tcPr>
            <w:tcW w:w="860" w:type="dxa"/>
            <w:vAlign w:val="bottom"/>
          </w:tcPr>
          <w:p>
            <w:pPr>
              <w:spacing w:after="0"/>
              <w:rPr>
                <w:sz w:val="15"/>
                <w:szCs w:val="15"/>
                <w:color w:val="auto"/>
              </w:rPr>
            </w:pPr>
          </w:p>
        </w:tc>
        <w:tc>
          <w:tcPr>
            <w:tcW w:w="680" w:type="dxa"/>
            <w:vAlign w:val="bottom"/>
            <w:gridSpan w:val="2"/>
          </w:tcPr>
          <w:p>
            <w:pPr>
              <w:jc w:val="right"/>
              <w:ind w:right="108"/>
              <w:spacing w:after="0"/>
              <w:rPr>
                <w:sz w:val="20"/>
                <w:szCs w:val="20"/>
                <w:color w:val="auto"/>
              </w:rPr>
            </w:pPr>
            <w:r>
              <w:rPr>
                <w:rFonts w:ascii="Arial" w:cs="Arial" w:eastAsia="Arial" w:hAnsi="Arial"/>
                <w:sz w:val="14"/>
                <w:szCs w:val="14"/>
                <w:color w:val="auto"/>
                <w:w w:val="99"/>
              </w:rPr>
              <w:t>(5,192 )</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10,274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5"/>
                <w:szCs w:val="15"/>
                <w:color w:val="auto"/>
              </w:rPr>
            </w:pPr>
          </w:p>
        </w:tc>
      </w:tr>
      <w:tr>
        <w:trPr>
          <w:trHeight w:val="176"/>
        </w:trPr>
        <w:tc>
          <w:tcPr>
            <w:tcW w:w="5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8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(9,401 )</w:t>
            </w:r>
          </w:p>
        </w:tc>
        <w:tc>
          <w:tcPr>
            <w:tcW w:w="10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(17,330 )</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w:t>
            </w:r>
          </w:p>
        </w:tc>
        <w:tc>
          <w:tcPr>
            <w:tcW w:w="100" w:type="dxa"/>
            <w:vAlign w:val="bottom"/>
            <w:shd w:val="clear" w:color="auto" w:fill="CFF0FC"/>
          </w:tcPr>
          <w:p>
            <w:pPr>
              <w:spacing w:after="0"/>
              <w:rPr>
                <w:sz w:val="15"/>
                <w:szCs w:val="15"/>
                <w:color w:val="auto"/>
              </w:rPr>
            </w:pPr>
          </w:p>
        </w:tc>
      </w:tr>
      <w:tr>
        <w:trPr>
          <w:trHeight w:val="175"/>
        </w:trPr>
        <w:tc>
          <w:tcPr>
            <w:tcW w:w="5200" w:type="dxa"/>
            <w:vAlign w:val="bottom"/>
          </w:tcPr>
          <w:p>
            <w:pPr>
              <w:ind w:left="20"/>
              <w:spacing w:after="0"/>
              <w:rPr>
                <w:sz w:val="20"/>
                <w:szCs w:val="20"/>
                <w:color w:val="auto"/>
              </w:rPr>
            </w:pPr>
            <w:r>
              <w:rPr>
                <w:rFonts w:ascii="Arial" w:cs="Arial" w:eastAsia="Arial" w:hAnsi="Arial"/>
                <w:sz w:val="14"/>
                <w:szCs w:val="14"/>
                <w:color w:val="auto"/>
              </w:rPr>
              <w:t>Net realized loss on extinguishment of debt</w:t>
            </w:r>
          </w:p>
        </w:tc>
        <w:tc>
          <w:tcPr>
            <w:tcW w:w="860" w:type="dxa"/>
            <w:vAlign w:val="bottom"/>
          </w:tcPr>
          <w:p>
            <w:pPr>
              <w:spacing w:after="0"/>
              <w:rPr>
                <w:sz w:val="15"/>
                <w:szCs w:val="15"/>
                <w:color w:val="auto"/>
              </w:rPr>
            </w:pPr>
          </w:p>
        </w:tc>
        <w:tc>
          <w:tcPr>
            <w:tcW w:w="6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(815 )</w:t>
            </w:r>
          </w:p>
        </w:tc>
      </w:tr>
      <w:tr>
        <w:trPr>
          <w:trHeight w:val="209"/>
        </w:trPr>
        <w:tc>
          <w:tcPr>
            <w:tcW w:w="5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(decrease) increase in net assets resulting from operations</w:t>
            </w:r>
          </w:p>
        </w:tc>
        <w:tc>
          <w:tcPr>
            <w:tcW w:w="860" w:type="dxa"/>
            <w:vAlign w:val="bottom"/>
            <w:tcBorders>
              <w:top w:val="single" w:sz="8" w:color="auto"/>
              <w:bottom w:val="single" w:sz="8" w:color="auto"/>
            </w:tcBorders>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(2,961</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(3,486</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(8,853</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composition of our investment income for the three and nine months ended September 30, 2022 and 2021 was as follows (dollars in thousands):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For the Three Months Ended September 30,</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104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3,373</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3,248</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9,566</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11,969</w:t>
            </w:r>
          </w:p>
        </w:tc>
        <w:tc>
          <w:tcPr>
            <w:tcW w:w="100" w:type="dxa"/>
            <w:vAlign w:val="bottom"/>
            <w:shd w:val="clear" w:color="auto" w:fill="CFF0FC"/>
          </w:tcPr>
          <w:p>
            <w:pPr>
              <w:spacing w:after="0"/>
              <w:rPr>
                <w:sz w:val="14"/>
                <w:szCs w:val="14"/>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Payment-in-kind interest</w:t>
            </w: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297</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737</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 income</w:t>
            </w:r>
          </w:p>
        </w:tc>
        <w:tc>
          <w:tcPr>
            <w:tcW w:w="10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CFF0FC"/>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5"/>
                <w:szCs w:val="15"/>
                <w:color w:val="auto"/>
              </w:rPr>
            </w:pPr>
          </w:p>
        </w:tc>
      </w:tr>
      <w:tr>
        <w:trPr>
          <w:trHeight w:val="209"/>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investment income</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3,748</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10,389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13,342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-25400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7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7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9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For the three months ended September 30, 2022, total investment income increased by $0.4 million, or 11.2%, compared to the three months ended September 30, 2021. The increase from the prior period was driven by an increase in interest income from $3.2 million for the three months ended September 30, 2021 to $3.4 million for the three months ended September 30, 2022. The increase in interest income is primarily due to higher average outstanding debt investments and increases in SOFR for the three months ended September 30, 2022 compared to the three months ended September 30, 2021. PIK income increased from $0.1 million for the three months ended September 30, 2021 to $0.3 million for the three months ended September 30, 2022. The increase in PIK income was due to an increase in investments with a contractual PIK rate.</w:t>
      </w:r>
    </w:p>
    <w:p>
      <w:pPr>
        <w:spacing w:after="0" w:line="80"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3"/>
          <w:szCs w:val="13"/>
          <w:color w:val="auto"/>
        </w:rPr>
        <w:t>For the nine months ended September 30, 2022, total investment income decreased by $3.0 million, or 22.1%, compared to the nine months ended September 30, 2021. The decrease from the prior period was driven by a decrease in interest income from $12.0 million for the nine months ended September 30, 2021 to $9.6 million for the nine months ended September 30, 2022. The decline in interest income is primarily due to lower average outstanding debt investments for the nine months ended September 30, 2022 compared to the nine months ended September 30, 2021. PIK income increased from $0.4 million for the nine months ended September 30, 2021 to $0.7 million for the nine months ended September 30, 2022. The increase in PIK income was due to an increase in investments with a contractual PIK rate. Dividend income decreased from $0.7 million for the nine months ended September 30, 2021 to zero for the nine months ended September 30, 2022, primarily due to non-recurring dividends received from portfolio companies during the nine months ended September 30, 2021.</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composition of our expenses for the three and nine months ended September 30, 2022 and 2021 was as follows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For the Three Months Ended September 30,</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6"/>
              </w:rPr>
              <w:t>For the Nine Months Ended September 30,</w:t>
            </w:r>
          </w:p>
        </w:tc>
        <w:tc>
          <w:tcPr>
            <w:tcW w:w="10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expenses</w:t>
            </w:r>
          </w:p>
        </w:tc>
        <w:tc>
          <w:tcPr>
            <w:tcW w:w="104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1,558</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2,296</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5,877</w:t>
            </w:r>
          </w:p>
        </w:tc>
        <w:tc>
          <w:tcPr>
            <w:tcW w:w="2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8,061</w:t>
            </w:r>
          </w:p>
        </w:tc>
        <w:tc>
          <w:tcPr>
            <w:tcW w:w="100" w:type="dxa"/>
            <w:vAlign w:val="bottom"/>
            <w:shd w:val="clear" w:color="auto" w:fill="CFF0FC"/>
          </w:tcPr>
          <w:p>
            <w:pPr>
              <w:spacing w:after="0"/>
              <w:rPr>
                <w:sz w:val="14"/>
                <w:szCs w:val="14"/>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927</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2,928</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3,781</w:t>
            </w:r>
          </w:p>
        </w:tc>
        <w:tc>
          <w:tcPr>
            <w:tcW w:w="100" w:type="dxa"/>
            <w:vAlign w:val="bottom"/>
          </w:tcPr>
          <w:p>
            <w:pPr>
              <w:spacing w:after="0"/>
              <w:rPr>
                <w:sz w:val="15"/>
                <w:szCs w:val="15"/>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Directors' fees</w:t>
            </w:r>
          </w:p>
        </w:tc>
        <w:tc>
          <w:tcPr>
            <w:tcW w:w="10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FF0FC"/>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Administrative service fees</w:t>
            </w:r>
          </w:p>
        </w:tc>
        <w:tc>
          <w:tcPr>
            <w:tcW w:w="10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175</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5"/>
                <w:szCs w:val="15"/>
                <w:color w:val="auto"/>
              </w:rPr>
            </w:pPr>
          </w:p>
        </w:tc>
      </w:tr>
      <w:tr>
        <w:trPr>
          <w:trHeight w:val="175"/>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 expenses</w:t>
            </w:r>
          </w:p>
        </w:tc>
        <w:tc>
          <w:tcPr>
            <w:tcW w:w="10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771</w:t>
            </w:r>
          </w:p>
        </w:tc>
        <w:tc>
          <w:tcPr>
            <w:tcW w:w="3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1,172</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2,597</w:t>
            </w:r>
          </w:p>
        </w:tc>
        <w:tc>
          <w:tcPr>
            <w:tcW w:w="2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4"/>
                <w:szCs w:val="14"/>
                <w:color w:val="auto"/>
              </w:rPr>
              <w:t>Total expenses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3,566</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4,882</w:t>
            </w:r>
          </w:p>
        </w:tc>
        <w:tc>
          <w:tcPr>
            <w:tcW w:w="4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12,186</w:t>
            </w:r>
          </w:p>
        </w:tc>
        <w:tc>
          <w:tcPr>
            <w:tcW w:w="6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15,601</w:t>
            </w:r>
          </w:p>
        </w:tc>
        <w:tc>
          <w:tcPr>
            <w:tcW w:w="100" w:type="dxa"/>
            <w:vAlign w:val="bottom"/>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-145415</wp:posOffset>
            </wp:positionV>
            <wp:extent cx="77470" cy="146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-145415</wp:posOffset>
            </wp:positionV>
            <wp:extent cx="68580"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68580" cy="146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For the three months ended September 30, 2022, operating expenses decreased by $1.3 million, or 27.0%, compared to the three months ended September 30, 2021. Interest and financing expenses decreased from $2.3 million for the three months ended September 30, 2021 to $1.6 million for the three months ended September 30, 2022 due primarily to lower average outstanding debt as well as a lower cost of debt capital during the three months ended September 30, 2022 compared to the three months ended September 30, 2021 . Base management fees declined from $1.1 million for the three months ended September 30, 2021 to $0.9 million for the three months ended September 30, 2022, due to lower average assets under management. General and administrative expenses decrease from $1.2 million for the three months ended September 30, 2021 to $0.8 million for the three months ended September 30, 2022, primarily due to higher professional fees in the prior year.</w:t>
      </w:r>
    </w:p>
    <w:p>
      <w:pPr>
        <w:spacing w:after="0" w:line="8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4"/>
          <w:szCs w:val="14"/>
          <w:color w:val="auto"/>
        </w:rPr>
        <w:t>For the nine months ended September 30, 2022, operating expenses decreased by $3.4 million, or 21.9%, compared to the nine months ended September 30, 2021. Interest and financing expenses decreased from $8.1 million for the nine months ended September 30, 2021 to $5.9 million for the nine months ended September 30, 2022 due primarily to lower average outstanding debt as well as a lower cost of debt capital during the nine months ended September 30, 2022 compared to the nine months ended September 30, 2021. Base management fees declined from $3.8 million for the nine months ended September 30, 2021 to $2.9 million for the nine months ended September 30, 2022, due to lower average assets under management. Administrative services fees declined from $0.9 million for the nine months ended September 30, 2021 to $0.4 million for the nine months ended September 30, 2022, due to efficiencies generated by the size and scale of the Investment Advisor's platform.</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 (loss) on sales of investments</w:t>
      </w:r>
    </w:p>
    <w:p>
      <w:pPr>
        <w:spacing w:after="0" w:line="109"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3"/>
          <w:szCs w:val="13"/>
          <w:color w:val="auto"/>
        </w:rPr>
        <w:t>During the three and nine months ended September 30, 2022, we recognized $5.2 million of net realized losses and $10.3 million of net realized gains on our portfolio investments, respectively. During the three and nine months ended September 30, 2021, we recognized $7.4 million and $0.3 million of net realized gains on our portfolio investments,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unrealized appreciation (depreciation) on investments</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Net change in unrealized appreciation (depreciation) on investments reflects the net change in the fair value of our investment portfolio. For the three and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September 30, 2022, we recognized $2.0 million and $(17.3) million of net change in unrealized appreciation (depreciation) on investments, respectively. For the three and nine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2021, we recognized $(9.4) million and $4.0 million of net change in unrealized (depreciation) appreciation on investments,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Changes in net assets resulting from operations</w:t>
      </w:r>
    </w:p>
    <w:p>
      <w:pPr>
        <w:spacing w:after="0" w:line="12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For the three and nine months ended September 30, 2022, we recorded a net decrease in net assets resulting from operations of $3.0 million and $8.9 million, respectively. Based on the weighted average shares of common stock outstanding for the three and nine months ended September 30, 2022, our per share net decrease in net assets resulting from operations was $1.09 and $3.27, respectively.</w:t>
      </w:r>
    </w:p>
    <w:p>
      <w:pPr>
        <w:spacing w:after="0" w:line="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For the three and nine months ended September 30, 2021, we recorded a net (decrease) increase in net assets resulting from operations of $(3.5) million and $1.3 million, respectively. Based on the weighted average shares of common stock outstanding for the three and nine months ended September 30, 2021, our per share net (decrease) increase in net assets resulting from operations was $(1.29) and $0.48,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Liquidity and Capital Resources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We use and intend to use existing cash primarily to originate investments in new and existing portfolio companies, pay distributions to our stockholders, and repay indebtedness.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Since our IPO, we have raised approximately $136.0 million in net proceeds from equity offerings through September 30, 2022.</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KeyBank Credit Facility</w:t>
      </w:r>
    </w:p>
    <w:p>
      <w:pPr>
        <w:spacing w:after="0" w:line="11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3"/>
          <w:szCs w:val="13"/>
          <w:color w:val="231F20"/>
        </w:rPr>
        <w:t xml:space="preserve">On October 30, 2020, Capitala Business Lending, LLC ("CBL"), a direct, wholly owned, consolidated subsidiary of the Company, entered into a senior secured revolving credit agreement ("the KeyBank Credit Facility") with the Investment Advisor at the time, as collateral manager, the lenders from time to time parties thereto (each, a “Lender”), KeyBank National Association, as administrative agent, and U.S. Bank National Association, as custodian. The KeyBank Credit Facility was amended on May 10,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 As of </w:t>
      </w:r>
      <w:r>
        <w:rPr>
          <w:rFonts w:ascii="Arial" w:cs="Arial" w:eastAsia="Arial" w:hAnsi="Arial"/>
          <w:sz w:val="13"/>
          <w:szCs w:val="13"/>
          <w:color w:val="000000"/>
        </w:rPr>
        <w:t>September 30, 2022</w:t>
      </w:r>
      <w:r>
        <w:rPr>
          <w:rFonts w:ascii="Arial" w:cs="Arial" w:eastAsia="Arial" w:hAnsi="Arial"/>
          <w:sz w:val="13"/>
          <w:szCs w:val="13"/>
          <w:color w:val="231F20"/>
        </w:rPr>
        <w:t xml:space="preserve"> and December 31, 2021,, there were draws of $45.8 million and zero, respectively, on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September 30, 2022 and December 31, 2021, assets pledged to secure the KeyBank Credit Facility had a fair value of $101.4 million and $57.7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2032 Convertible Notes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On April 1, 2022, the Company issued $15.0 million in aggregate principal amount of 5.25% fixed-rate convertible notes due April 1, 2032 (the “2032 Convertible Notes”).</w:t>
      </w:r>
    </w:p>
    <w:p>
      <w:pPr>
        <w:spacing w:after="0" w:line="123"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3"/>
          <w:szCs w:val="13"/>
          <w:color w:val="auto"/>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spacing w:after="0" w:line="8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3"/>
          <w:szCs w:val="13"/>
          <w:color w:val="auto"/>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September 30, 2022, the Company had $15.0 million in 2032 Convertible Notes outstanding.</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2026 Notes</w:t>
      </w:r>
    </w:p>
    <w:p>
      <w:pPr>
        <w:spacing w:after="0" w:line="11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3"/>
          <w:szCs w:val="13"/>
          <w:color w:val="auto"/>
        </w:rPr>
        <w:t xml:space="preserve">On October 29, 2021, we issued $50.0 million in aggregate principal amount of 5.25% fixed 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6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otherwise have terms substantially identical to those of the 2026 Notes, and to use its commercially reasonable efforts to cause such registration statement to be declared effective.</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September 30, 2022, the Company had approximately $50.0 million in aggregate principal amount of 2026 Notes outstanding.</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Notes</w:t>
      </w:r>
    </w:p>
    <w:p>
      <w:pPr>
        <w:spacing w:after="0" w:line="11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On November 1, 2021, we notified the Trustee for the 2022 Notes of the Company's election to redeem $50.0 million aggregate principal amount of the 2022 Notes outstanding. The redemption was completed on December 6, 2021. On May 31, 2022, the 2022 Notes reached maturity, and the entire outstanding principal of the 2022 Notes became payable and was paid by the Company. Accordingly, as of September 30, 2022, there were no 2022 Notes outstanding.</w:t>
      </w:r>
    </w:p>
    <w:p>
      <w:pPr>
        <w:spacing w:after="0" w:line="8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The 2022 Notes were subject to redemption in whole or in part at any time or from time to time at our option on or after May 31, 2019 at a redemption price equal to 100% of the outstanding principal, plus accrued and unpaid interest. Interest on the 2022 Notes was payable quarterly. The 2022 Notes were listed on the NASDAQ Global Select Market under the trading symbol “CPTAL” with a par value of $25.00 per share.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Convertible Notes</w:t>
      </w:r>
    </w:p>
    <w:p>
      <w:pPr>
        <w:spacing w:after="0" w:line="11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On May 31, 2022, the 2022 Convertible Notes reached maturity, and the entire outstanding principal of the 2022 Convertible Notes became payable, and was paid by the Company. Accordingly, as of September 30, 2022, there were no 2022 Convertible Notes outstanding.</w:t>
      </w:r>
    </w:p>
    <w:p>
      <w:pPr>
        <w:spacing w:after="0" w:line="77"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4"/>
          <w:szCs w:val="14"/>
          <w:color w:val="auto"/>
        </w:rPr>
        <w:t>Interest on the 2022 Convertible Notes was payable quarterly. The 2022 Convertible Notes were listed on the NASDAQ Capital Market under the trading symbol “CPTAG” with a par value of $25.00 per share.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 Coverage Ratio</w:t>
      </w:r>
    </w:p>
    <w:p>
      <w:pPr>
        <w:spacing w:after="0" w:line="11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We are only allowed to borrow money such that our asset coverage, as defined in the 1940 Act, equals at least 150% if certain requirements are met, after such borrowing, with certain limited exceptions. As of September 30, 2022, our asset coverage ratio was 187%. If our asset coverage ratio falls below 150% due a decline in the fair market of our portfolio, we may be limited in our ability to raise additional debt.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September 30, 2022, we had $11.3 million in cash and cash equivalents.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2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3"/>
          <w:szCs w:val="13"/>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79"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 summary of our significant contractual payment obligations as of September 30, 2022 are as follows (dollars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w w:val="96"/>
              </w:rPr>
              <w:t>Contractual Obligations Payments Due by Period</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800" w:type="dxa"/>
            <w:vAlign w:val="bottom"/>
          </w:tcPr>
          <w:p>
            <w:pPr>
              <w:jc w:val="center"/>
              <w:ind w:left="168"/>
              <w:spacing w:after="0" w:line="133" w:lineRule="exact"/>
              <w:rPr>
                <w:sz w:val="20"/>
                <w:szCs w:val="20"/>
                <w:color w:val="auto"/>
              </w:rPr>
            </w:pPr>
            <w:r>
              <w:rPr>
                <w:rFonts w:ascii="Arial" w:cs="Arial" w:eastAsia="Arial" w:hAnsi="Arial"/>
                <w:sz w:val="14"/>
                <w:szCs w:val="14"/>
                <w:b w:val="1"/>
                <w:bCs w:val="1"/>
                <w:color w:val="auto"/>
                <w:w w:val="87"/>
              </w:rPr>
              <w:t>Less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rPr>
              <w:t>More</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240" w:type="dxa"/>
            <w:vAlign w:val="bottom"/>
          </w:tcPr>
          <w:p>
            <w:pPr>
              <w:spacing w:after="0"/>
              <w:rPr>
                <w:sz w:val="13"/>
                <w:szCs w:val="13"/>
                <w:color w:val="auto"/>
              </w:rPr>
            </w:pPr>
          </w:p>
        </w:tc>
        <w:tc>
          <w:tcPr>
            <w:tcW w:w="800" w:type="dxa"/>
            <w:vAlign w:val="bottom"/>
          </w:tcPr>
          <w:p>
            <w:pPr>
              <w:jc w:val="center"/>
              <w:ind w:left="168"/>
              <w:spacing w:after="0" w:line="158" w:lineRule="exact"/>
              <w:rPr>
                <w:sz w:val="20"/>
                <w:szCs w:val="20"/>
                <w:color w:val="auto"/>
              </w:rPr>
            </w:pPr>
            <w:r>
              <w:rPr>
                <w:rFonts w:ascii="Arial" w:cs="Arial" w:eastAsia="Arial" w:hAnsi="Arial"/>
                <w:sz w:val="14"/>
                <w:szCs w:val="14"/>
                <w:b w:val="1"/>
                <w:bCs w:val="1"/>
                <w:color w:val="auto"/>
                <w:w w:val="95"/>
              </w:rPr>
              <w:t>Than</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rPr>
              <w:t>1 – 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3 – 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auto"/>
                <w:w w:val="95"/>
              </w:rPr>
              <w:t>Than</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8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5"/>
              </w:rPr>
              <w:t>1 Year</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5 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 Notes</w:t>
            </w:r>
          </w:p>
        </w:tc>
        <w:tc>
          <w:tcPr>
            <w:tcW w:w="80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rPr>
                <w:sz w:val="20"/>
                <w:szCs w:val="20"/>
                <w:color w:val="auto"/>
              </w:rPr>
            </w:pPr>
            <w:r>
              <w:rPr>
                <w:rFonts w:ascii="Arial" w:cs="Arial" w:eastAsia="Arial" w:hAnsi="Arial"/>
                <w:sz w:val="14"/>
                <w:szCs w:val="14"/>
                <w:color w:val="auto"/>
              </w:rPr>
              <w:t>2032 Convertible Notes</w:t>
            </w:r>
          </w:p>
        </w:tc>
        <w:tc>
          <w:tcPr>
            <w:tcW w:w="80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KeyBank Credit Facility</w:t>
            </w:r>
          </w:p>
        </w:tc>
        <w:tc>
          <w:tcPr>
            <w:tcW w:w="8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45.8</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40" w:type="dxa"/>
            <w:vAlign w:val="bottom"/>
          </w:tcPr>
          <w:p>
            <w:pPr>
              <w:ind w:left="20"/>
              <w:spacing w:after="0"/>
              <w:rPr>
                <w:sz w:val="20"/>
                <w:szCs w:val="20"/>
                <w:color w:val="auto"/>
              </w:rPr>
            </w:pPr>
            <w:r>
              <w:rPr>
                <w:rFonts w:ascii="Arial" w:cs="Arial" w:eastAsia="Arial" w:hAnsi="Arial"/>
                <w:sz w:val="14"/>
                <w:szCs w:val="14"/>
                <w:color w:val="auto"/>
              </w:rPr>
              <w:t>Total Contractual Obligations</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95.8</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15.0</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-145415</wp:posOffset>
            </wp:positionV>
            <wp:extent cx="76835"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-145415</wp:posOffset>
            </wp:positionV>
            <wp:extent cx="68580" cy="146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-145415</wp:posOffset>
            </wp:positionV>
            <wp:extent cx="68580" cy="146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-145415</wp:posOffset>
            </wp:positionV>
            <wp:extent cx="68580" cy="146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1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3"/>
          <w:szCs w:val="13"/>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the first second and third quarters of 2022 and 2021.</w:t>
      </w:r>
    </w:p>
    <w:p>
      <w:pPr>
        <w:spacing w:after="0" w:line="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7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0" w:name="page41"/>
    <w:bookmarkEnd w:id="40"/>
    <w:p>
      <w:pPr>
        <w:jc w:val="both"/>
        <w:ind w:right="20"/>
        <w:spacing w:after="0" w:line="293" w:lineRule="auto"/>
        <w:rPr>
          <w:sz w:val="20"/>
          <w:szCs w:val="20"/>
          <w:color w:val="auto"/>
        </w:rPr>
      </w:pPr>
      <w:r>
        <w:rPr>
          <w:rFonts w:ascii="Arial" w:cs="Arial" w:eastAsia="Arial" w:hAnsi="Arial"/>
          <w:sz w:val="14"/>
          <w:szCs w:val="14"/>
          <w:color w:val="auto"/>
        </w:rPr>
        <w:t>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52"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3"/>
          <w:szCs w:val="13"/>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Company's Board determined not to declare a distribution for any quarter of 2021 and through September 30, 2022.</w:t>
      </w:r>
    </w:p>
    <w:p>
      <w:pPr>
        <w:spacing w:after="0" w:line="10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Tax characteristics of all distributions paid are reported to stockholders on Form 1099 after the end of the calendar year. There were no distributions for the year ended December 31, 2021. Distributions may be subject to reclassification based on future dividends and operating results and will not be determined until the end of the year.</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Parties</w:t>
      </w:r>
    </w:p>
    <w:p>
      <w:pPr>
        <w:spacing w:after="0" w:line="11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On July 1, 2021, we entered into the Investment Advisory Agreement with the Investment Advisor. The Company is externally managed by the Investment Advisor, an affiliate of BC Partners, pursuant to the Investment Advisory Agreement. Mr. Goldthorpe, an interested member of the Board, has a direct or indirect pecuniary interest in the Investment Advisor. The Investment Advisor is a registered investment adviser under the Investment Advisers Act of 1940, as amended. The Investment Advisor is an affiliate of BC Partners Advisors L.P. for U.S. regulatory purposes. Mount Logan Capital Inc. is the ultimate control person of the Investment Advisor.</w:t>
      </w:r>
    </w:p>
    <w:p>
      <w:pPr>
        <w:spacing w:after="0" w:line="7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Under the Investment Advisory Agreement, fees payable to the Investment Advisor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9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4"/>
          <w:szCs w:val="14"/>
          <w:color w:val="auto"/>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8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9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3"/>
          <w:szCs w:val="13"/>
          <w:color w:val="auto"/>
        </w:rPr>
        <w:t>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8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4"/>
          <w:szCs w:val="14"/>
          <w:color w:val="auto"/>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1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4"/>
          <w:szCs w:val="14"/>
          <w:color w:val="auto"/>
        </w:rPr>
        <w:t>As of September 30, 2022, the Company had outstanding unfunded commitments related to debt investments in existing portfolio companies of $2.4 million to Accordion Partners LLC, $2.0 million to Aperture Dodge 18 LLC, $0.5 million to Beta Plus Technologies, $0.5 million to Bradshaw International, Inc., $3.1 million to Critical Nurse Staffing, LLC, $0.9 million to Epic Staffing Group, $0.2 million to Great Lakes II Funding LLC, $0.7 million to GreenPark Infrastructure, LLC, $2.5 million to Marble Point Credit Management LLC, $1.4 million to Premiere Imaging, LLC, and $0.4 million to Wealth Enhancement Group, LLC. As of December 31, 2021, the Company had outstanding unfunded commitments related to debt investments in existing portfolio companies of $9.0 million to Accordion Partners LLC, $0.7 million to Bradshaw International, Inc., $3.1 million to Critical Nursing Staffing, LLC, $3.5 million to J5 Infrastructure Partners, LLC, $0.9 million to Keg Logistics LLC, $2.5 million to Marble Point Credit Management LLC, $1.9 million to Premiere Imaging, LLC, and $3.5 million to Wealth Enhancement Group, LLC.</w:t>
      </w:r>
    </w:p>
    <w:p>
      <w:pPr>
        <w:spacing w:after="0" w:line="95"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4"/>
          <w:szCs w:val="14"/>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13"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nine months ended September 30, 2022, we did not engage in hedging activities.</w:t>
      </w:r>
    </w:p>
    <w:p>
      <w:pPr>
        <w:spacing w:after="0" w:line="70"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3"/>
          <w:szCs w:val="13"/>
          <w:color w:val="auto"/>
        </w:rPr>
        <w:t>As of September 30, 2022, we held 38 securities bearing a variable rate of interest. Our variable rate investments represent approximately 76.3% of the fair value of our total debt investments. As of September 30, 2022, none of our variable rate securities were yielding interest at a rate equal to the established interest rate floor. As of September 30, 2022, we had $45.8 million outstanding on our KeyBank Credit Facility, which has a variable rate of interest at one-month SOFR + 2.90%, subject to an interest rate floor of 0.40%. As of September 30, 2022, all of our other interest paying liabilities, consisting of $50.0 million in 2026 Notes and $15.0 million in 2032 Convertible Notes, were bearing interest at a fixed rate.</w:t>
      </w:r>
    </w:p>
    <w:p>
      <w:pPr>
        <w:spacing w:after="0" w:line="6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4"/>
          <w:szCs w:val="14"/>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1" w:name="page42"/>
    <w:bookmarkEnd w:id="41"/>
    <w:p>
      <w:pPr>
        <w:jc w:val="both"/>
        <w:spacing w:after="0" w:line="293" w:lineRule="auto"/>
        <w:rPr>
          <w:sz w:val="20"/>
          <w:szCs w:val="20"/>
          <w:color w:val="auto"/>
        </w:rPr>
      </w:pPr>
      <w:r>
        <w:rPr>
          <w:rFonts w:ascii="Arial" w:cs="Arial" w:eastAsia="Arial" w:hAnsi="Arial"/>
          <w:sz w:val="14"/>
          <w:szCs w:val="14"/>
          <w:color w:val="auto"/>
        </w:rPr>
        <w:t>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4"/>
          <w:szCs w:val="14"/>
          <w:color w:val="auto"/>
        </w:rPr>
        <w:t>Based on our September 30, 2022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4"/>
                <w:szCs w:val="14"/>
                <w:color w:val="auto"/>
              </w:rPr>
            </w:pPr>
          </w:p>
        </w:tc>
        <w:tc>
          <w:tcPr>
            <w:tcW w:w="154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3"/>
              </w:rPr>
              <w:t>(Increase)</w:t>
            </w: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Increase</w:t>
            </w:r>
          </w:p>
        </w:tc>
      </w:tr>
      <w:tr>
        <w:trPr>
          <w:trHeight w:val="148"/>
        </w:trPr>
        <w:tc>
          <w:tcPr>
            <w:tcW w:w="5320" w:type="dxa"/>
            <w:vAlign w:val="bottom"/>
          </w:tcPr>
          <w:p>
            <w:pPr>
              <w:spacing w:after="0"/>
              <w:rPr>
                <w:sz w:val="12"/>
                <w:szCs w:val="12"/>
                <w:color w:val="auto"/>
              </w:rPr>
            </w:pPr>
          </w:p>
        </w:tc>
        <w:tc>
          <w:tcPr>
            <w:tcW w:w="2900" w:type="dxa"/>
            <w:vAlign w:val="bottom"/>
            <w:gridSpan w:val="3"/>
          </w:tcPr>
          <w:p>
            <w:pPr>
              <w:jc w:val="center"/>
              <w:ind w:left="1148"/>
              <w:spacing w:after="0" w:line="149" w:lineRule="exact"/>
              <w:rPr>
                <w:sz w:val="20"/>
                <w:szCs w:val="20"/>
                <w:color w:val="auto"/>
              </w:rPr>
            </w:pPr>
            <w:r>
              <w:rPr>
                <w:rFonts w:ascii="Arial" w:cs="Arial" w:eastAsia="Arial" w:hAnsi="Arial"/>
                <w:sz w:val="14"/>
                <w:szCs w:val="14"/>
                <w:b w:val="1"/>
                <w:bCs w:val="1"/>
                <w:color w:val="auto"/>
                <w:w w:val="90"/>
              </w:rPr>
              <w:t>(decrease) in interest</w:t>
            </w:r>
          </w:p>
        </w:tc>
        <w:tc>
          <w:tcPr>
            <w:tcW w:w="160" w:type="dxa"/>
            <w:vAlign w:val="bottom"/>
          </w:tcPr>
          <w:p>
            <w:pPr>
              <w:spacing w:after="0"/>
              <w:rPr>
                <w:sz w:val="12"/>
                <w:szCs w:val="12"/>
                <w:color w:val="auto"/>
              </w:rPr>
            </w:pPr>
          </w:p>
        </w:tc>
        <w:tc>
          <w:tcPr>
            <w:tcW w:w="1540" w:type="dxa"/>
            <w:vAlign w:val="bottom"/>
            <w:gridSpan w:val="3"/>
          </w:tcPr>
          <w:p>
            <w:pPr>
              <w:jc w:val="center"/>
              <w:ind w:right="388"/>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(decrease) in</w:t>
            </w:r>
          </w:p>
        </w:tc>
      </w:tr>
      <w:tr>
        <w:trPr>
          <w:trHeight w:val="198"/>
        </w:trPr>
        <w:tc>
          <w:tcPr>
            <w:tcW w:w="5320" w:type="dxa"/>
            <w:vAlign w:val="bottom"/>
          </w:tcPr>
          <w:p>
            <w:pPr>
              <w:ind w:left="2760"/>
              <w:spacing w:after="0"/>
              <w:rPr>
                <w:sz w:val="20"/>
                <w:szCs w:val="20"/>
                <w:color w:val="auto"/>
              </w:rPr>
            </w:pPr>
            <w:r>
              <w:rPr>
                <w:rFonts w:ascii="Arial" w:cs="Arial" w:eastAsia="Arial" w:hAnsi="Arial"/>
                <w:sz w:val="14"/>
                <w:szCs w:val="14"/>
                <w:b w:val="1"/>
                <w:bCs w:val="1"/>
                <w:color w:val="auto"/>
              </w:rPr>
              <w:t>Basis Point Change</w:t>
            </w:r>
          </w:p>
        </w:tc>
        <w:tc>
          <w:tcPr>
            <w:tcW w:w="164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7"/>
                <w:szCs w:val="17"/>
                <w:color w:val="auto"/>
              </w:rPr>
            </w:pPr>
          </w:p>
        </w:tc>
        <w:tc>
          <w:tcPr>
            <w:tcW w:w="154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88"/>
              </w:rPr>
              <w:t>interest expense</w:t>
            </w: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net income</w:t>
            </w:r>
          </w:p>
        </w:tc>
      </w:tr>
      <w:tr>
        <w:trPr>
          <w:trHeight w:val="169"/>
        </w:trPr>
        <w:tc>
          <w:tcPr>
            <w:tcW w:w="5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Up 300 basis points</w:t>
            </w:r>
          </w:p>
        </w:tc>
        <w:tc>
          <w:tcPr>
            <w:tcW w:w="164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3,952</w:t>
            </w: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FF0FC"/>
          </w:tcPr>
          <w:p>
            <w:pPr>
              <w:spacing w:after="0"/>
              <w:rPr>
                <w:sz w:val="14"/>
                <w:szCs w:val="14"/>
                <w:color w:val="auto"/>
              </w:rPr>
            </w:pPr>
          </w:p>
        </w:tc>
      </w:tr>
      <w:tr>
        <w:trPr>
          <w:trHeight w:val="176"/>
        </w:trPr>
        <w:tc>
          <w:tcPr>
            <w:tcW w:w="5320" w:type="dxa"/>
            <w:vAlign w:val="bottom"/>
          </w:tcPr>
          <w:p>
            <w:pPr>
              <w:ind w:left="20"/>
              <w:spacing w:after="0"/>
              <w:rPr>
                <w:sz w:val="20"/>
                <w:szCs w:val="20"/>
                <w:color w:val="auto"/>
              </w:rPr>
            </w:pPr>
            <w:r>
              <w:rPr>
                <w:rFonts w:ascii="Arial" w:cs="Arial" w:eastAsia="Arial" w:hAnsi="Arial"/>
                <w:sz w:val="14"/>
                <w:szCs w:val="14"/>
                <w:color w:val="auto"/>
              </w:rPr>
              <w:t>Up 200 basis points</w:t>
            </w:r>
          </w:p>
        </w:tc>
        <w:tc>
          <w:tcPr>
            <w:tcW w:w="16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(928 )</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5"/>
                <w:szCs w:val="15"/>
                <w:color w:val="auto"/>
              </w:rPr>
            </w:pPr>
          </w:p>
        </w:tc>
      </w:tr>
      <w:tr>
        <w:trPr>
          <w:trHeight w:val="176"/>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Up 100 basis points</w:t>
            </w:r>
          </w:p>
        </w:tc>
        <w:tc>
          <w:tcPr>
            <w:tcW w:w="16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(464 )</w:t>
            </w: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w:t>
            </w:r>
          </w:p>
        </w:tc>
        <w:tc>
          <w:tcPr>
            <w:tcW w:w="100" w:type="dxa"/>
            <w:vAlign w:val="bottom"/>
            <w:shd w:val="clear" w:color="auto" w:fill="CFF0FC"/>
          </w:tcPr>
          <w:p>
            <w:pPr>
              <w:spacing w:after="0"/>
              <w:rPr>
                <w:sz w:val="15"/>
                <w:szCs w:val="15"/>
                <w:color w:val="auto"/>
              </w:rPr>
            </w:pPr>
          </w:p>
        </w:tc>
      </w:tr>
      <w:tr>
        <w:trPr>
          <w:trHeight w:val="175"/>
        </w:trPr>
        <w:tc>
          <w:tcPr>
            <w:tcW w:w="5320" w:type="dxa"/>
            <w:vAlign w:val="bottom"/>
          </w:tcPr>
          <w:p>
            <w:pPr>
              <w:ind w:left="20"/>
              <w:spacing w:after="0"/>
              <w:rPr>
                <w:sz w:val="20"/>
                <w:szCs w:val="20"/>
                <w:color w:val="auto"/>
              </w:rPr>
            </w:pPr>
            <w:r>
              <w:rPr>
                <w:rFonts w:ascii="Arial" w:cs="Arial" w:eastAsia="Arial" w:hAnsi="Arial"/>
                <w:sz w:val="14"/>
                <w:szCs w:val="14"/>
                <w:color w:val="auto"/>
              </w:rPr>
              <w:t>Down 100 basis points</w:t>
            </w:r>
          </w:p>
        </w:tc>
        <w:tc>
          <w:tcPr>
            <w:tcW w:w="16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(1,317 )</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(853 )</w:t>
            </w:r>
          </w:p>
        </w:tc>
      </w:tr>
      <w:tr>
        <w:trPr>
          <w:trHeight w:val="176"/>
        </w:trPr>
        <w:tc>
          <w:tcPr>
            <w:tcW w:w="5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Down 200 basis points</w:t>
            </w:r>
          </w:p>
        </w:tc>
        <w:tc>
          <w:tcPr>
            <w:tcW w:w="16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(2,520 )</w:t>
            </w:r>
          </w:p>
        </w:tc>
        <w:tc>
          <w:tcPr>
            <w:tcW w:w="1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(1,592 )</w:t>
            </w:r>
          </w:p>
        </w:tc>
      </w:tr>
      <w:tr>
        <w:trPr>
          <w:trHeight w:val="182"/>
        </w:trPr>
        <w:tc>
          <w:tcPr>
            <w:tcW w:w="5320" w:type="dxa"/>
            <w:vAlign w:val="bottom"/>
          </w:tcPr>
          <w:p>
            <w:pPr>
              <w:ind w:left="20"/>
              <w:spacing w:after="0"/>
              <w:rPr>
                <w:sz w:val="20"/>
                <w:szCs w:val="20"/>
                <w:color w:val="auto"/>
              </w:rPr>
            </w:pPr>
            <w:r>
              <w:rPr>
                <w:rFonts w:ascii="Arial" w:cs="Arial" w:eastAsia="Arial" w:hAnsi="Arial"/>
                <w:sz w:val="14"/>
                <w:szCs w:val="14"/>
                <w:color w:val="auto"/>
              </w:rPr>
              <w:t>Down 300 basis points</w:t>
            </w:r>
          </w:p>
        </w:tc>
        <w:tc>
          <w:tcPr>
            <w:tcW w:w="16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(3,174 )</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(1,948 )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13" w:lineRule="exact"/>
        <w:rPr>
          <w:sz w:val="20"/>
          <w:szCs w:val="20"/>
          <w:color w:val="auto"/>
        </w:rPr>
      </w:pPr>
    </w:p>
    <w:p>
      <w:pPr>
        <w:ind w:left="1140" w:hanging="383"/>
        <w:spacing w:after="0"/>
        <w:tabs>
          <w:tab w:leader="none" w:pos="1140" w:val="left"/>
        </w:tabs>
        <w:numPr>
          <w:ilvl w:val="0"/>
          <w:numId w:val="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Evaluation of Disclosure Controls and Procedures</w:t>
      </w:r>
    </w:p>
    <w:p>
      <w:pPr>
        <w:spacing w:after="0" w:line="10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4"/>
          <w:szCs w:val="14"/>
          <w:color w:val="auto"/>
        </w:rPr>
        <w:t>As of September 30, 2022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84" w:lineRule="exact"/>
        <w:rPr>
          <w:sz w:val="20"/>
          <w:szCs w:val="20"/>
          <w:color w:val="auto"/>
        </w:rPr>
      </w:pPr>
    </w:p>
    <w:p>
      <w:pPr>
        <w:ind w:left="1140" w:hanging="383"/>
        <w:spacing w:after="0"/>
        <w:tabs>
          <w:tab w:leader="none" w:pos="1140" w:val="left"/>
        </w:tabs>
        <w:numPr>
          <w:ilvl w:val="0"/>
          <w:numId w:val="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Changes in Internal Controls Over Financial Reporting</w:t>
      </w:r>
    </w:p>
    <w:p>
      <w:pPr>
        <w:spacing w:after="0" w:line="109"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4"/>
          <w:szCs w:val="14"/>
          <w:color w:val="auto"/>
        </w:rPr>
        <w:t>Management has not identified any change in the Company’s internal control over financial reporting that occurred during the first quarter of 2022 that has materially affected, or is reasonably likely to materially affect, the Company’s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OTHER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1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4"/>
          <w:szCs w:val="14"/>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2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3"/>
          <w:szCs w:val="13"/>
          <w:color w:val="auto"/>
        </w:rPr>
        <w:t>In addition to the other information set forth in this report, you should carefully consider the factors discussed in Part I, “Item 1A. Risk Factors” in our Annual Report on Form 10-K for the fiscal year ended December 31, 2021 (the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the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None.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Item 6. Exhibits</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following exhibits are filed as part of this report or hereby incorporated by reference to exhibits previously filed with the SEC:</w:t>
      </w:r>
    </w:p>
    <w:p>
      <w:pPr>
        <w:sectPr>
          <w:pgSz w:w="11900" w:h="16838" w:orient="portrait"/>
          <w:cols w:equalWidth="0" w:num="1">
            <w:col w:w="11220"/>
          </w:cols>
          <w:pgMar w:left="320" w:top="535" w:right="359" w:bottom="1440" w:gutter="0" w:footer="0" w:header="0"/>
        </w:sectPr>
      </w:pP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740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6" w:lineRule="exact"/>
        <w:rPr>
          <w:sz w:val="20"/>
          <w:szCs w:val="20"/>
          <w:color w:val="auto"/>
        </w:rPr>
      </w:pPr>
    </w:p>
    <w:p>
      <w:pPr>
        <w:ind w:left="20"/>
        <w:spacing w:after="0"/>
        <w:rPr>
          <w:rFonts w:ascii="Arial" w:cs="Arial" w:eastAsia="Arial" w:hAnsi="Arial"/>
          <w:sz w:val="14"/>
          <w:szCs w:val="14"/>
          <w:u w:val="single" w:color="auto"/>
          <w:color w:val="0000FF"/>
        </w:rPr>
      </w:pPr>
      <w:hyperlink r:id="rId430">
        <w:r>
          <w:rPr>
            <w:rFonts w:ascii="Arial" w:cs="Arial" w:eastAsia="Arial" w:hAnsi="Arial"/>
            <w:sz w:val="14"/>
            <w:szCs w:val="14"/>
            <w:u w:val="single" w:color="auto"/>
            <w:color w:val="0000FF"/>
          </w:rPr>
          <w:t>3.1</w:t>
        </w:r>
      </w:hyperlink>
    </w:p>
    <w:p>
      <w:pPr>
        <w:spacing w:after="0" w:line="271" w:lineRule="exact"/>
        <w:rPr>
          <w:sz w:val="20"/>
          <w:szCs w:val="20"/>
          <w:color w:val="auto"/>
        </w:rPr>
      </w:pPr>
    </w:p>
    <w:p>
      <w:pPr>
        <w:ind w:left="20"/>
        <w:spacing w:after="0"/>
        <w:rPr>
          <w:rFonts w:ascii="Arial" w:cs="Arial" w:eastAsia="Arial" w:hAnsi="Arial"/>
          <w:sz w:val="14"/>
          <w:szCs w:val="14"/>
          <w:u w:val="single" w:color="auto"/>
          <w:color w:val="0000FF"/>
        </w:rPr>
      </w:pPr>
      <w:hyperlink r:id="rId431">
        <w:r>
          <w:rPr>
            <w:rFonts w:ascii="Arial" w:cs="Arial" w:eastAsia="Arial" w:hAnsi="Arial"/>
            <w:sz w:val="14"/>
            <w:szCs w:val="14"/>
            <w:u w:val="single" w:color="auto"/>
            <w:color w:val="0000FF"/>
          </w:rPr>
          <w:t>3.2</w:t>
        </w:r>
      </w:hyperlink>
    </w:p>
    <w:p>
      <w:pPr>
        <w:spacing w:after="0" w:line="271" w:lineRule="exact"/>
        <w:rPr>
          <w:sz w:val="20"/>
          <w:szCs w:val="20"/>
          <w:color w:val="auto"/>
        </w:rPr>
      </w:pPr>
    </w:p>
    <w:p>
      <w:pPr>
        <w:ind w:left="20"/>
        <w:spacing w:after="0"/>
        <w:rPr>
          <w:rFonts w:ascii="Arial" w:cs="Arial" w:eastAsia="Arial" w:hAnsi="Arial"/>
          <w:sz w:val="14"/>
          <w:szCs w:val="14"/>
          <w:u w:val="single" w:color="auto"/>
          <w:color w:val="0000FF"/>
        </w:rPr>
      </w:pPr>
      <w:hyperlink r:id="rId432">
        <w:r>
          <w:rPr>
            <w:rFonts w:ascii="Arial" w:cs="Arial" w:eastAsia="Arial" w:hAnsi="Arial"/>
            <w:sz w:val="14"/>
            <w:szCs w:val="14"/>
            <w:u w:val="single" w:color="auto"/>
            <w:color w:val="0000FF"/>
          </w:rPr>
          <w:t>3.3</w:t>
        </w:r>
      </w:hyperlink>
    </w:p>
    <w:p>
      <w:pPr>
        <w:spacing w:after="0" w:line="271" w:lineRule="exact"/>
        <w:rPr>
          <w:sz w:val="20"/>
          <w:szCs w:val="20"/>
          <w:color w:val="auto"/>
        </w:rPr>
      </w:pPr>
    </w:p>
    <w:p>
      <w:pPr>
        <w:ind w:left="20"/>
        <w:spacing w:after="0"/>
        <w:rPr>
          <w:rFonts w:ascii="Arial" w:cs="Arial" w:eastAsia="Arial" w:hAnsi="Arial"/>
          <w:sz w:val="14"/>
          <w:szCs w:val="14"/>
          <w:u w:val="single" w:color="auto"/>
          <w:color w:val="0000FF"/>
        </w:rPr>
      </w:pPr>
      <w:hyperlink r:id="rId433">
        <w:r>
          <w:rPr>
            <w:rFonts w:ascii="Arial" w:cs="Arial" w:eastAsia="Arial" w:hAnsi="Arial"/>
            <w:sz w:val="14"/>
            <w:szCs w:val="14"/>
            <w:u w:val="single" w:color="auto"/>
            <w:color w:val="0000FF"/>
          </w:rPr>
          <w:t>3.4</w:t>
        </w:r>
      </w:hyperlink>
    </w:p>
    <w:p>
      <w:pPr>
        <w:spacing w:after="0" w:line="271" w:lineRule="exact"/>
        <w:rPr>
          <w:sz w:val="20"/>
          <w:szCs w:val="20"/>
          <w:color w:val="auto"/>
        </w:rPr>
      </w:pPr>
    </w:p>
    <w:p>
      <w:pPr>
        <w:ind w:left="20"/>
        <w:spacing w:after="0"/>
        <w:rPr>
          <w:rFonts w:ascii="Arial" w:cs="Arial" w:eastAsia="Arial" w:hAnsi="Arial"/>
          <w:sz w:val="14"/>
          <w:szCs w:val="14"/>
          <w:u w:val="single" w:color="auto"/>
          <w:color w:val="0000FF"/>
        </w:rPr>
      </w:pPr>
      <w:hyperlink r:id="rId434">
        <w:r>
          <w:rPr>
            <w:rFonts w:ascii="Arial" w:cs="Arial" w:eastAsia="Arial" w:hAnsi="Arial"/>
            <w:sz w:val="14"/>
            <w:szCs w:val="14"/>
            <w:u w:val="single" w:color="auto"/>
            <w:color w:val="0000FF"/>
          </w:rPr>
          <w:t>3.5</w:t>
        </w:r>
      </w:hyperlink>
    </w:p>
    <w:p>
      <w:pPr>
        <w:spacing w:after="0" w:line="271" w:lineRule="exact"/>
        <w:rPr>
          <w:sz w:val="20"/>
          <w:szCs w:val="20"/>
          <w:color w:val="auto"/>
        </w:rPr>
      </w:pPr>
    </w:p>
    <w:p>
      <w:pPr>
        <w:ind w:left="20"/>
        <w:spacing w:after="0"/>
        <w:rPr>
          <w:rFonts w:ascii="Arial" w:cs="Arial" w:eastAsia="Arial" w:hAnsi="Arial"/>
          <w:sz w:val="14"/>
          <w:szCs w:val="14"/>
          <w:u w:val="single" w:color="auto"/>
          <w:color w:val="0000FF"/>
        </w:rPr>
      </w:pPr>
      <w:hyperlink r:id="rId435">
        <w:r>
          <w:rPr>
            <w:rFonts w:ascii="Arial" w:cs="Arial" w:eastAsia="Arial" w:hAnsi="Arial"/>
            <w:sz w:val="14"/>
            <w:szCs w:val="14"/>
            <w:u w:val="single" w:color="auto"/>
            <w:color w:val="0000FF"/>
          </w:rPr>
          <w:t>3.6</w:t>
        </w:r>
      </w:hyperlink>
    </w:p>
    <w:p>
      <w:pPr>
        <w:spacing w:after="0" w:line="271" w:lineRule="exact"/>
        <w:rPr>
          <w:sz w:val="20"/>
          <w:szCs w:val="20"/>
          <w:color w:val="auto"/>
        </w:rPr>
      </w:pPr>
    </w:p>
    <w:p>
      <w:pPr>
        <w:ind w:left="20"/>
        <w:spacing w:after="0"/>
        <w:rPr>
          <w:rFonts w:ascii="Arial" w:cs="Arial" w:eastAsia="Arial" w:hAnsi="Arial"/>
          <w:sz w:val="14"/>
          <w:szCs w:val="14"/>
          <w:u w:val="single" w:color="auto"/>
          <w:color w:val="0000FF"/>
        </w:rPr>
      </w:pPr>
      <w:hyperlink r:id="rId436">
        <w:r>
          <w:rPr>
            <w:rFonts w:ascii="Arial" w:cs="Arial" w:eastAsia="Arial" w:hAnsi="Arial"/>
            <w:sz w:val="14"/>
            <w:szCs w:val="14"/>
            <w:u w:val="single" w:color="auto"/>
            <w:color w:val="0000FF"/>
          </w:rPr>
          <w:t>3.7</w:t>
        </w:r>
      </w:hyperlink>
    </w:p>
    <w:p>
      <w:pPr>
        <w:spacing w:after="0" w:line="393" w:lineRule="exact"/>
        <w:rPr>
          <w:sz w:val="20"/>
          <w:szCs w:val="20"/>
          <w:color w:val="auto"/>
        </w:rPr>
      </w:pPr>
    </w:p>
    <w:p>
      <w:pPr>
        <w:ind w:left="20"/>
        <w:spacing w:after="0"/>
        <w:rPr>
          <w:rFonts w:ascii="Arial" w:cs="Arial" w:eastAsia="Arial" w:hAnsi="Arial"/>
          <w:sz w:val="14"/>
          <w:szCs w:val="14"/>
          <w:u w:val="single" w:color="auto"/>
          <w:color w:val="0000FF"/>
        </w:rPr>
      </w:pPr>
      <w:hyperlink r:id="rId437">
        <w:r>
          <w:rPr>
            <w:rFonts w:ascii="Arial" w:cs="Arial" w:eastAsia="Arial" w:hAnsi="Arial"/>
            <w:sz w:val="14"/>
            <w:szCs w:val="14"/>
            <w:u w:val="single" w:color="auto"/>
            <w:color w:val="0000FF"/>
          </w:rPr>
          <w:t>10.1</w:t>
        </w:r>
      </w:hyperlink>
    </w:p>
    <w:p>
      <w:pPr>
        <w:spacing w:after="0" w:line="271" w:lineRule="exact"/>
        <w:rPr>
          <w:sz w:val="20"/>
          <w:szCs w:val="20"/>
          <w:color w:val="auto"/>
        </w:rPr>
      </w:pPr>
    </w:p>
    <w:p>
      <w:pPr>
        <w:ind w:left="20"/>
        <w:spacing w:after="0"/>
        <w:rPr>
          <w:rFonts w:ascii="Arial" w:cs="Arial" w:eastAsia="Arial" w:hAnsi="Arial"/>
          <w:sz w:val="14"/>
          <w:szCs w:val="14"/>
          <w:u w:val="single" w:color="auto"/>
          <w:color w:val="0000FF"/>
        </w:rPr>
      </w:pPr>
      <w:hyperlink r:id="rId438">
        <w:r>
          <w:rPr>
            <w:rFonts w:ascii="Arial" w:cs="Arial" w:eastAsia="Arial" w:hAnsi="Arial"/>
            <w:sz w:val="14"/>
            <w:szCs w:val="14"/>
            <w:u w:val="single" w:color="auto"/>
            <w:color w:val="0000FF"/>
          </w:rPr>
          <w:t>10.2</w:t>
        </w:r>
      </w:hyperlink>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31.1</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31.2</w:t>
      </w: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32.1</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0000FF"/>
        </w:rPr>
        <w:t>32.2</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4465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45" w:lineRule="exact"/>
        <w:rPr>
          <w:sz w:val="20"/>
          <w:szCs w:val="20"/>
          <w:color w:val="auto"/>
        </w:rPr>
      </w:pPr>
    </w:p>
    <w:p>
      <w:pPr>
        <w:spacing w:after="0"/>
        <w:rPr>
          <w:rFonts w:ascii="Arial" w:cs="Arial" w:eastAsia="Arial" w:hAnsi="Arial"/>
          <w:sz w:val="14"/>
          <w:szCs w:val="14"/>
          <w:u w:val="single" w:color="auto"/>
          <w:color w:val="0000FF"/>
        </w:rPr>
      </w:pPr>
      <w:hyperlink r:id="rId430">
        <w:r>
          <w:rPr>
            <w:rFonts w:ascii="Arial" w:cs="Arial" w:eastAsia="Arial" w:hAnsi="Arial"/>
            <w:sz w:val="14"/>
            <w:szCs w:val="14"/>
            <w:u w:val="single" w:color="auto"/>
            <w:color w:val="0000FF"/>
          </w:rPr>
          <w:t xml:space="preserve">Articles of Amendment and Restatement </w:t>
        </w:r>
        <w:r>
          <w:rPr>
            <w:rFonts w:ascii="Arial" w:cs="Arial" w:eastAsia="Arial" w:hAnsi="Arial"/>
            <w:sz w:val="19"/>
            <w:szCs w:val="19"/>
            <w:u w:val="single" w:color="auto"/>
            <w:color w:val="0000FF"/>
            <w:vertAlign w:val="superscript"/>
          </w:rPr>
          <w:t>(1)</w:t>
        </w:r>
      </w:hyperlink>
    </w:p>
    <w:p>
      <w:pPr>
        <w:spacing w:after="0" w:line="214" w:lineRule="exact"/>
        <w:rPr>
          <w:sz w:val="20"/>
          <w:szCs w:val="20"/>
          <w:color w:val="auto"/>
        </w:rPr>
      </w:pPr>
    </w:p>
    <w:p>
      <w:pPr>
        <w:spacing w:after="0"/>
        <w:rPr>
          <w:rFonts w:ascii="Arial" w:cs="Arial" w:eastAsia="Arial" w:hAnsi="Arial"/>
          <w:sz w:val="14"/>
          <w:szCs w:val="14"/>
          <w:u w:val="single" w:color="auto"/>
          <w:color w:val="0000FF"/>
        </w:rPr>
      </w:pPr>
      <w:hyperlink r:id="rId431">
        <w:r>
          <w:rPr>
            <w:rFonts w:ascii="Arial" w:cs="Arial" w:eastAsia="Arial" w:hAnsi="Arial"/>
            <w:sz w:val="14"/>
            <w:szCs w:val="14"/>
            <w:u w:val="single" w:color="auto"/>
            <w:color w:val="0000FF"/>
          </w:rPr>
          <w:t xml:space="preserve">Articles of Amendment </w:t>
        </w:r>
        <w:r>
          <w:rPr>
            <w:rFonts w:ascii="Arial" w:cs="Arial" w:eastAsia="Arial" w:hAnsi="Arial"/>
            <w:sz w:val="19"/>
            <w:szCs w:val="19"/>
            <w:u w:val="single" w:color="auto"/>
            <w:color w:val="0000FF"/>
            <w:vertAlign w:val="superscript"/>
          </w:rPr>
          <w:t>(4)</w:t>
        </w:r>
      </w:hyperlink>
    </w:p>
    <w:p>
      <w:pPr>
        <w:spacing w:after="0" w:line="214" w:lineRule="exact"/>
        <w:rPr>
          <w:sz w:val="20"/>
          <w:szCs w:val="20"/>
          <w:color w:val="auto"/>
        </w:rPr>
      </w:pPr>
    </w:p>
    <w:p>
      <w:pPr>
        <w:spacing w:after="0"/>
        <w:rPr>
          <w:rFonts w:ascii="Arial" w:cs="Arial" w:eastAsia="Arial" w:hAnsi="Arial"/>
          <w:sz w:val="14"/>
          <w:szCs w:val="14"/>
          <w:u w:val="single" w:color="auto"/>
          <w:color w:val="0000FF"/>
        </w:rPr>
      </w:pPr>
      <w:hyperlink r:id="rId432">
        <w:r>
          <w:rPr>
            <w:rFonts w:ascii="Arial" w:cs="Arial" w:eastAsia="Arial" w:hAnsi="Arial"/>
            <w:sz w:val="14"/>
            <w:szCs w:val="14"/>
            <w:u w:val="single" w:color="auto"/>
            <w:color w:val="0000FF"/>
          </w:rPr>
          <w:t xml:space="preserve">Certificate of Limited Partnership of CapitalSouth Partners Fund II Limited Partnership </w:t>
        </w:r>
        <w:r>
          <w:rPr>
            <w:rFonts w:ascii="Arial" w:cs="Arial" w:eastAsia="Arial" w:hAnsi="Arial"/>
            <w:sz w:val="19"/>
            <w:szCs w:val="19"/>
            <w:u w:val="single" w:color="auto"/>
            <w:color w:val="0000FF"/>
            <w:vertAlign w:val="superscript"/>
          </w:rPr>
          <w:t>(2)</w:t>
        </w:r>
      </w:hyperlink>
    </w:p>
    <w:p>
      <w:pPr>
        <w:spacing w:after="0" w:line="214" w:lineRule="exact"/>
        <w:rPr>
          <w:sz w:val="20"/>
          <w:szCs w:val="20"/>
          <w:color w:val="auto"/>
        </w:rPr>
      </w:pPr>
    </w:p>
    <w:p>
      <w:pPr>
        <w:spacing w:after="0"/>
        <w:rPr>
          <w:rFonts w:ascii="Arial" w:cs="Arial" w:eastAsia="Arial" w:hAnsi="Arial"/>
          <w:sz w:val="14"/>
          <w:szCs w:val="14"/>
          <w:u w:val="single" w:color="auto"/>
          <w:color w:val="0000FF"/>
        </w:rPr>
      </w:pPr>
      <w:hyperlink r:id="rId433">
        <w:r>
          <w:rPr>
            <w:rFonts w:ascii="Arial" w:cs="Arial" w:eastAsia="Arial" w:hAnsi="Arial"/>
            <w:sz w:val="14"/>
            <w:szCs w:val="14"/>
            <w:u w:val="single" w:color="auto"/>
            <w:color w:val="0000FF"/>
          </w:rPr>
          <w:t xml:space="preserve">Certificate of Limited Partnership of CapitalSouth Fund III, L.P. (f/k/a CapitalSouth Partners SBIC Fund III, L.P.) </w:t>
        </w:r>
        <w:r>
          <w:rPr>
            <w:rFonts w:ascii="Arial" w:cs="Arial" w:eastAsia="Arial" w:hAnsi="Arial"/>
            <w:sz w:val="19"/>
            <w:szCs w:val="19"/>
            <w:u w:val="single" w:color="auto"/>
            <w:color w:val="0000FF"/>
            <w:vertAlign w:val="superscript"/>
          </w:rPr>
          <w:t>(2)</w:t>
        </w:r>
      </w:hyperlink>
    </w:p>
    <w:p>
      <w:pPr>
        <w:spacing w:after="0" w:line="214" w:lineRule="exact"/>
        <w:rPr>
          <w:sz w:val="20"/>
          <w:szCs w:val="20"/>
          <w:color w:val="auto"/>
        </w:rPr>
      </w:pPr>
    </w:p>
    <w:p>
      <w:pPr>
        <w:spacing w:after="0"/>
        <w:rPr>
          <w:rFonts w:ascii="Arial" w:cs="Arial" w:eastAsia="Arial" w:hAnsi="Arial"/>
          <w:sz w:val="14"/>
          <w:szCs w:val="14"/>
          <w:u w:val="single" w:color="auto"/>
          <w:color w:val="0000FF"/>
        </w:rPr>
      </w:pPr>
      <w:hyperlink r:id="rId434">
        <w:r>
          <w:rPr>
            <w:rFonts w:ascii="Arial" w:cs="Arial" w:eastAsia="Arial" w:hAnsi="Arial"/>
            <w:sz w:val="14"/>
            <w:szCs w:val="14"/>
            <w:u w:val="single" w:color="auto"/>
            <w:color w:val="0000FF"/>
          </w:rPr>
          <w:t xml:space="preserve">Bylaws </w:t>
        </w:r>
        <w:r>
          <w:rPr>
            <w:rFonts w:ascii="Arial" w:cs="Arial" w:eastAsia="Arial" w:hAnsi="Arial"/>
            <w:sz w:val="19"/>
            <w:szCs w:val="19"/>
            <w:u w:val="single" w:color="auto"/>
            <w:color w:val="0000FF"/>
            <w:vertAlign w:val="superscript"/>
          </w:rPr>
          <w:t>(1)</w:t>
        </w:r>
      </w:hyperlink>
    </w:p>
    <w:p>
      <w:pPr>
        <w:spacing w:after="0" w:line="214" w:lineRule="exact"/>
        <w:rPr>
          <w:sz w:val="20"/>
          <w:szCs w:val="20"/>
          <w:color w:val="auto"/>
        </w:rPr>
      </w:pPr>
    </w:p>
    <w:p>
      <w:pPr>
        <w:spacing w:after="0"/>
        <w:rPr>
          <w:rFonts w:ascii="Arial" w:cs="Arial" w:eastAsia="Arial" w:hAnsi="Arial"/>
          <w:sz w:val="14"/>
          <w:szCs w:val="14"/>
          <w:u w:val="single" w:color="auto"/>
          <w:color w:val="0000FF"/>
        </w:rPr>
      </w:pPr>
      <w:hyperlink r:id="rId435">
        <w:r>
          <w:rPr>
            <w:rFonts w:ascii="Arial" w:cs="Arial" w:eastAsia="Arial" w:hAnsi="Arial"/>
            <w:sz w:val="14"/>
            <w:szCs w:val="14"/>
            <w:u w:val="single" w:color="auto"/>
            <w:color w:val="0000FF"/>
          </w:rPr>
          <w:t xml:space="preserve">Form of Amended and Restated Limited Partnership Agreement of CapitalSouth Partners Fund II Limited Partnership </w:t>
        </w:r>
        <w:r>
          <w:rPr>
            <w:rFonts w:ascii="Arial" w:cs="Arial" w:eastAsia="Arial" w:hAnsi="Arial"/>
            <w:sz w:val="19"/>
            <w:szCs w:val="19"/>
            <w:u w:val="single" w:color="auto"/>
            <w:color w:val="0000FF"/>
            <w:vertAlign w:val="superscript"/>
          </w:rPr>
          <w:t>(3)</w:t>
        </w:r>
      </w:hyperlink>
    </w:p>
    <w:p>
      <w:pPr>
        <w:spacing w:after="0" w:line="194" w:lineRule="exact"/>
        <w:rPr>
          <w:sz w:val="20"/>
          <w:szCs w:val="20"/>
          <w:color w:val="auto"/>
        </w:rPr>
      </w:pPr>
    </w:p>
    <w:p>
      <w:pPr>
        <w:spacing w:after="0" w:line="234" w:lineRule="auto"/>
        <w:rPr>
          <w:rFonts w:ascii="Arial" w:cs="Arial" w:eastAsia="Arial" w:hAnsi="Arial"/>
          <w:sz w:val="14"/>
          <w:szCs w:val="14"/>
          <w:u w:val="single" w:color="auto"/>
          <w:color w:val="0000FF"/>
        </w:rPr>
      </w:pPr>
      <w:hyperlink r:id="rId436">
        <w:r>
          <w:rPr>
            <w:rFonts w:ascii="Arial" w:cs="Arial" w:eastAsia="Arial" w:hAnsi="Arial"/>
            <w:sz w:val="14"/>
            <w:szCs w:val="14"/>
            <w:u w:val="single" w:color="auto"/>
            <w:color w:val="0000FF"/>
          </w:rPr>
          <w:t>Form of Amended and Restated Agreement of Limited Partnership of Certificate of Limited Partnership of CapitalSouth Fund III, L.P. (f/k/a CapitalSouth Partners SBIC Fund</w:t>
        </w:r>
      </w:hyperlink>
      <w:r>
        <w:rPr>
          <w:rFonts w:ascii="Arial" w:cs="Arial" w:eastAsia="Arial" w:hAnsi="Arial"/>
          <w:sz w:val="14"/>
          <w:szCs w:val="14"/>
          <w:u w:val="single" w:color="auto"/>
          <w:color w:val="0000FF"/>
        </w:rPr>
        <w:t xml:space="preserve"> </w:t>
      </w:r>
      <w:hyperlink r:id="rId436">
        <w:r>
          <w:rPr>
            <w:rFonts w:ascii="Arial" w:cs="Arial" w:eastAsia="Arial" w:hAnsi="Arial"/>
            <w:sz w:val="14"/>
            <w:szCs w:val="14"/>
            <w:u w:val="single" w:color="auto"/>
            <w:color w:val="0000FF"/>
          </w:rPr>
          <w:t xml:space="preserve">III, L.P.) </w:t>
        </w:r>
        <w:r>
          <w:rPr>
            <w:rFonts w:ascii="Arial" w:cs="Arial" w:eastAsia="Arial" w:hAnsi="Arial"/>
            <w:sz w:val="19"/>
            <w:szCs w:val="19"/>
            <w:u w:val="single" w:color="auto"/>
            <w:color w:val="0000FF"/>
            <w:vertAlign w:val="superscript"/>
          </w:rPr>
          <w:t>(3)</w:t>
        </w:r>
      </w:hyperlink>
    </w:p>
    <w:p>
      <w:pPr>
        <w:spacing w:after="0" w:line="203" w:lineRule="exact"/>
        <w:rPr>
          <w:sz w:val="20"/>
          <w:szCs w:val="20"/>
          <w:color w:val="auto"/>
        </w:rPr>
      </w:pPr>
    </w:p>
    <w:p>
      <w:pPr>
        <w:spacing w:after="0"/>
        <w:rPr>
          <w:rFonts w:ascii="Arial" w:cs="Arial" w:eastAsia="Arial" w:hAnsi="Arial"/>
          <w:sz w:val="14"/>
          <w:szCs w:val="14"/>
          <w:u w:val="single" w:color="auto"/>
          <w:color w:val="0000FF"/>
        </w:rPr>
      </w:pPr>
      <w:hyperlink r:id="rId437">
        <w:r>
          <w:rPr>
            <w:rFonts w:ascii="Arial" w:cs="Arial" w:eastAsia="Arial" w:hAnsi="Arial"/>
            <w:sz w:val="14"/>
            <w:szCs w:val="14"/>
            <w:u w:val="single" w:color="auto"/>
            <w:color w:val="0000FF"/>
          </w:rPr>
          <w:t xml:space="preserve">Note Purchase Agreement, dated as of April 1, 2022, by and among Logan Ridge Finance Corporation and the Purchasers (as defined therein.) </w:t>
        </w:r>
        <w:r>
          <w:rPr>
            <w:rFonts w:ascii="Arial" w:cs="Arial" w:eastAsia="Arial" w:hAnsi="Arial"/>
            <w:sz w:val="19"/>
            <w:szCs w:val="19"/>
            <w:u w:val="single" w:color="auto"/>
            <w:color w:val="0000FF"/>
            <w:vertAlign w:val="superscript"/>
          </w:rPr>
          <w:t>(5)</w:t>
        </w:r>
      </w:hyperlink>
    </w:p>
    <w:p>
      <w:pPr>
        <w:spacing w:after="0" w:line="194" w:lineRule="exact"/>
        <w:rPr>
          <w:sz w:val="20"/>
          <w:szCs w:val="20"/>
          <w:color w:val="auto"/>
        </w:rPr>
      </w:pPr>
    </w:p>
    <w:p>
      <w:pPr>
        <w:jc w:val="both"/>
        <w:ind w:right="60"/>
        <w:spacing w:after="0" w:line="230" w:lineRule="auto"/>
        <w:rPr>
          <w:rFonts w:ascii="Arial" w:cs="Arial" w:eastAsia="Arial" w:hAnsi="Arial"/>
          <w:sz w:val="14"/>
          <w:szCs w:val="14"/>
          <w:color w:val="0000FF"/>
        </w:rPr>
      </w:pPr>
      <w:hyperlink r:id="rId438">
        <w:r>
          <w:rPr>
            <w:rFonts w:ascii="Arial" w:cs="Arial" w:eastAsia="Arial" w:hAnsi="Arial"/>
            <w:sz w:val="14"/>
            <w:szCs w:val="14"/>
            <w:u w:val="single" w:color="auto"/>
            <w:color w:val="0000FF"/>
          </w:rPr>
          <w:t>Form of Revolving Credit and Security Agreement, dated as of May 10, 2022, among Capitala Business Lending, LLC, as the borrower, Mount Logan Management, LLC, as</w:t>
        </w:r>
      </w:hyperlink>
      <w:r>
        <w:rPr>
          <w:rFonts w:ascii="Arial" w:cs="Arial" w:eastAsia="Arial" w:hAnsi="Arial"/>
          <w:sz w:val="14"/>
          <w:szCs w:val="14"/>
          <w:u w:val="single" w:color="auto"/>
          <w:color w:val="0000FF"/>
        </w:rPr>
        <w:t xml:space="preserve"> </w:t>
      </w:r>
      <w:hyperlink r:id="rId438">
        <w:r>
          <w:rPr>
            <w:rFonts w:ascii="Arial" w:cs="Arial" w:eastAsia="Arial" w:hAnsi="Arial"/>
            <w:sz w:val="14"/>
            <w:szCs w:val="14"/>
            <w:u w:val="single" w:color="auto"/>
            <w:color w:val="0000FF"/>
          </w:rPr>
          <w:t>the collateral manager, the lenders from to time to time parties thereto, KeyBank National Association, as the administrative agent, and U.S. Bank National Association, as the</w:t>
        </w:r>
      </w:hyperlink>
      <w:r>
        <w:rPr>
          <w:rFonts w:ascii="Arial" w:cs="Arial" w:eastAsia="Arial" w:hAnsi="Arial"/>
          <w:sz w:val="14"/>
          <w:szCs w:val="14"/>
          <w:u w:val="single" w:color="auto"/>
          <w:color w:val="0000FF"/>
        </w:rPr>
        <w:t xml:space="preserve"> </w:t>
      </w:r>
      <w:hyperlink r:id="rId438">
        <w:r>
          <w:rPr>
            <w:rFonts w:ascii="Arial" w:cs="Arial" w:eastAsia="Arial" w:hAnsi="Arial"/>
            <w:sz w:val="14"/>
            <w:szCs w:val="14"/>
            <w:u w:val="single" w:color="auto"/>
            <w:color w:val="0000FF"/>
          </w:rPr>
          <w:t>custodian.</w:t>
        </w:r>
        <w:r>
          <w:rPr>
            <w:rFonts w:ascii="Arial" w:cs="Arial" w:eastAsia="Arial" w:hAnsi="Arial"/>
            <w:sz w:val="14"/>
            <w:szCs w:val="14"/>
            <w:color w:val="0000FF"/>
          </w:rPr>
          <w:t xml:space="preserve"> </w:t>
        </w:r>
        <w:r>
          <w:rPr>
            <w:rFonts w:ascii="Arial" w:cs="Arial" w:eastAsia="Arial" w:hAnsi="Arial"/>
            <w:sz w:val="19"/>
            <w:szCs w:val="19"/>
            <w:color w:val="000000"/>
            <w:vertAlign w:val="superscript"/>
          </w:rPr>
          <w:t>(6)</w:t>
        </w:r>
      </w:hyperlink>
    </w:p>
    <w:p>
      <w:pPr>
        <w:spacing w:after="0" w:line="184" w:lineRule="exact"/>
        <w:rPr>
          <w:rFonts w:ascii="Arial" w:cs="Arial" w:eastAsia="Arial" w:hAnsi="Arial"/>
          <w:sz w:val="14"/>
          <w:szCs w:val="14"/>
          <w:u w:val="single" w:color="auto"/>
          <w:color w:val="0000FF"/>
        </w:rPr>
      </w:pPr>
    </w:p>
    <w:p>
      <w:pPr>
        <w:spacing w:after="0" w:line="253" w:lineRule="auto"/>
        <w:rPr>
          <w:sz w:val="20"/>
          <w:szCs w:val="20"/>
          <w:color w:val="auto"/>
        </w:rPr>
      </w:pPr>
      <w:r>
        <w:rPr>
          <w:rFonts w:ascii="Arial" w:cs="Arial" w:eastAsia="Arial" w:hAnsi="Arial"/>
          <w:sz w:val="14"/>
          <w:szCs w:val="14"/>
          <w:u w:val="single" w:color="auto"/>
          <w:color w:val="0000FF"/>
        </w:rPr>
        <w:t>Certification of Chief Executive Officer pursuant to Rule 13a-14 of the Securities Exchange Act of 1934, as adopted pursuant to Section 302 of the Sarbanes-Oxley Act of 2002 (filed herewith)</w:t>
      </w:r>
    </w:p>
    <w:p>
      <w:pPr>
        <w:spacing w:after="0" w:line="201" w:lineRule="exact"/>
        <w:rPr>
          <w:rFonts w:ascii="Arial" w:cs="Arial" w:eastAsia="Arial" w:hAnsi="Arial"/>
          <w:sz w:val="14"/>
          <w:szCs w:val="14"/>
          <w:u w:val="single" w:color="auto"/>
          <w:color w:val="0000FF"/>
        </w:rPr>
      </w:pPr>
    </w:p>
    <w:p>
      <w:pPr>
        <w:spacing w:after="0" w:line="253" w:lineRule="auto"/>
        <w:rPr>
          <w:sz w:val="20"/>
          <w:szCs w:val="20"/>
          <w:color w:val="auto"/>
        </w:rPr>
      </w:pPr>
      <w:r>
        <w:rPr>
          <w:rFonts w:ascii="Arial" w:cs="Arial" w:eastAsia="Arial" w:hAnsi="Arial"/>
          <w:sz w:val="14"/>
          <w:szCs w:val="14"/>
          <w:u w:val="single" w:color="auto"/>
          <w:color w:val="0000FF"/>
        </w:rPr>
        <w:t>Certification of Chief Financial Officer pursuant to Rule 13a-14 of the Securities Exchange Act of 1934, as adopted pursuant to Section 302 of the Sarbanes-Oxley Act of 2002 (filed herewith)</w:t>
      </w:r>
    </w:p>
    <w:p>
      <w:pPr>
        <w:spacing w:after="0" w:line="241"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u w:val="single" w:color="auto"/>
          <w:color w:val="0000FF"/>
        </w:rPr>
        <w:t>Certification of Chief Executive Officer pursuant to 18 U.S.C. Section 1350, as adopted pursuant to section 906 of the Sarbanes-Oxley Act of 2002 (filed herewith)</w:t>
      </w:r>
    </w:p>
    <w:p>
      <w:pPr>
        <w:spacing w:after="0" w:line="271"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u w:val="single" w:color="auto"/>
          <w:color w:val="0000FF"/>
        </w:rPr>
        <w:t>Certification of Chief Financial Officer pursuant to 18 U.S.C. Section 1350, as adopted pursuant to section 906 of the Sarbanes-Oxley Act of 2002 (filed herewith)</w:t>
      </w:r>
    </w:p>
    <w:p>
      <w:pPr>
        <w:spacing w:after="0" w:line="231" w:lineRule="exact"/>
        <w:rPr>
          <w:rFonts w:ascii="Arial" w:cs="Arial" w:eastAsia="Arial" w:hAnsi="Arial"/>
          <w:sz w:val="14"/>
          <w:szCs w:val="14"/>
          <w:u w:val="single" w:color="auto"/>
          <w:color w:val="0000FF"/>
        </w:rPr>
      </w:pPr>
    </w:p>
    <w:p>
      <w:pPr>
        <w:spacing w:after="0" w:line="253" w:lineRule="auto"/>
        <w:rPr>
          <w:sz w:val="20"/>
          <w:szCs w:val="20"/>
          <w:color w:val="auto"/>
        </w:rPr>
      </w:pPr>
      <w:r>
        <w:rPr>
          <w:rFonts w:ascii="Arial" w:cs="Arial" w:eastAsia="Arial" w:hAnsi="Arial"/>
          <w:sz w:val="14"/>
          <w:szCs w:val="14"/>
          <w:color w:val="auto"/>
        </w:rPr>
        <w:t>Previously filed in connection with the Pre-Effective Amendment No. 1 to Logan Ridge Finance Corporation’s registration statement on Form N-2 (File No. 333-188956) filed on September 9, 2013.</w:t>
      </w:r>
    </w:p>
    <w:p>
      <w:pPr>
        <w:spacing w:after="0" w:line="115" w:lineRule="exact"/>
        <w:rPr>
          <w:rFonts w:ascii="Arial" w:cs="Arial" w:eastAsia="Arial" w:hAnsi="Arial"/>
          <w:sz w:val="14"/>
          <w:szCs w:val="14"/>
          <w:u w:val="single" w:color="auto"/>
          <w:color w:val="0000FF"/>
        </w:rPr>
      </w:pPr>
    </w:p>
    <w:p>
      <w:pPr>
        <w:sectPr>
          <w:pgSz w:w="11900" w:h="16838" w:orient="portrait"/>
          <w:cols w:equalWidth="0" w:num="2">
            <w:col w:w="540" w:space="560"/>
            <w:col w:w="10120"/>
          </w:cols>
          <w:pgMar w:left="320" w:top="535" w:right="359" w:bottom="1440" w:gutter="0" w:footer="0" w:header="0"/>
          <w:type w:val="continuous"/>
        </w:sectPr>
      </w:pPr>
    </w:p>
    <w:p>
      <w:pPr>
        <w:ind w:left="20"/>
        <w:spacing w:after="0"/>
        <w:rPr>
          <w:sz w:val="20"/>
          <w:szCs w:val="20"/>
          <w:color w:val="auto"/>
        </w:rPr>
      </w:pPr>
      <w:r>
        <w:rPr>
          <w:rFonts w:ascii="Arial" w:cs="Arial" w:eastAsia="Arial" w:hAnsi="Arial"/>
          <w:sz w:val="11"/>
          <w:szCs w:val="11"/>
          <w:color w:val="auto"/>
        </w:rPr>
        <w:t>(2)</w:t>
      </w:r>
    </w:p>
    <w:p>
      <w:pPr>
        <w:spacing w:after="0" w:line="200" w:lineRule="exact"/>
        <w:rPr>
          <w:rFonts w:ascii="Arial" w:cs="Arial" w:eastAsia="Arial" w:hAnsi="Arial"/>
          <w:sz w:val="14"/>
          <w:szCs w:val="14"/>
          <w:u w:val="single" w:color="auto"/>
          <w:color w:val="0000FF"/>
        </w:rPr>
      </w:pPr>
    </w:p>
    <w:p>
      <w:pPr>
        <w:spacing w:after="0" w:line="214" w:lineRule="exact"/>
        <w:rPr>
          <w:rFonts w:ascii="Arial" w:cs="Arial" w:eastAsia="Arial" w:hAnsi="Arial"/>
          <w:sz w:val="14"/>
          <w:szCs w:val="14"/>
          <w:u w:val="single" w:color="auto"/>
          <w:color w:val="0000FF"/>
        </w:rPr>
      </w:pPr>
    </w:p>
    <w:p>
      <w:pPr>
        <w:ind w:left="20"/>
        <w:spacing w:after="0"/>
        <w:rPr>
          <w:sz w:val="20"/>
          <w:szCs w:val="20"/>
          <w:color w:val="auto"/>
        </w:rPr>
      </w:pPr>
      <w:r>
        <w:rPr>
          <w:rFonts w:ascii="Arial" w:cs="Arial" w:eastAsia="Arial" w:hAnsi="Arial"/>
          <w:sz w:val="11"/>
          <w:szCs w:val="11"/>
          <w:color w:val="auto"/>
        </w:rPr>
        <w:t>(3)</w:t>
      </w:r>
    </w:p>
    <w:p>
      <w:pPr>
        <w:spacing w:after="0" w:line="200" w:lineRule="exact"/>
        <w:rPr>
          <w:rFonts w:ascii="Arial" w:cs="Arial" w:eastAsia="Arial" w:hAnsi="Arial"/>
          <w:sz w:val="14"/>
          <w:szCs w:val="14"/>
          <w:u w:val="single" w:color="auto"/>
          <w:color w:val="0000FF"/>
        </w:rPr>
      </w:pPr>
    </w:p>
    <w:p>
      <w:pPr>
        <w:spacing w:after="0" w:line="214" w:lineRule="exact"/>
        <w:rPr>
          <w:rFonts w:ascii="Arial" w:cs="Arial" w:eastAsia="Arial" w:hAnsi="Arial"/>
          <w:sz w:val="14"/>
          <w:szCs w:val="14"/>
          <w:u w:val="single" w:color="auto"/>
          <w:color w:val="0000FF"/>
        </w:rPr>
      </w:pPr>
    </w:p>
    <w:p>
      <w:pPr>
        <w:ind w:left="20"/>
        <w:spacing w:after="0"/>
        <w:rPr>
          <w:sz w:val="20"/>
          <w:szCs w:val="20"/>
          <w:color w:val="auto"/>
        </w:rPr>
      </w:pPr>
      <w:r>
        <w:rPr>
          <w:rFonts w:ascii="Arial" w:cs="Arial" w:eastAsia="Arial" w:hAnsi="Arial"/>
          <w:sz w:val="11"/>
          <w:szCs w:val="11"/>
          <w:color w:val="auto"/>
        </w:rPr>
        <w:t>(4)</w:t>
      </w:r>
    </w:p>
    <w:p>
      <w:pPr>
        <w:spacing w:after="0" w:line="306" w:lineRule="exact"/>
        <w:rPr>
          <w:rFonts w:ascii="Arial" w:cs="Arial" w:eastAsia="Arial" w:hAnsi="Arial"/>
          <w:sz w:val="14"/>
          <w:szCs w:val="14"/>
          <w:u w:val="single" w:color="auto"/>
          <w:color w:val="0000FF"/>
        </w:rPr>
      </w:pPr>
    </w:p>
    <w:p>
      <w:pPr>
        <w:ind w:left="20"/>
        <w:spacing w:after="0"/>
        <w:rPr>
          <w:sz w:val="20"/>
          <w:szCs w:val="20"/>
          <w:color w:val="auto"/>
        </w:rPr>
      </w:pPr>
      <w:r>
        <w:rPr>
          <w:rFonts w:ascii="Arial" w:cs="Arial" w:eastAsia="Arial" w:hAnsi="Arial"/>
          <w:sz w:val="11"/>
          <w:szCs w:val="11"/>
          <w:color w:val="auto"/>
        </w:rPr>
        <w:t>(5)</w:t>
      </w:r>
    </w:p>
    <w:p>
      <w:pPr>
        <w:spacing w:after="0" w:line="306" w:lineRule="exact"/>
        <w:rPr>
          <w:rFonts w:ascii="Arial" w:cs="Arial" w:eastAsia="Arial" w:hAnsi="Arial"/>
          <w:sz w:val="14"/>
          <w:szCs w:val="14"/>
          <w:u w:val="single" w:color="auto"/>
          <w:color w:val="0000FF"/>
        </w:rPr>
      </w:pPr>
    </w:p>
    <w:p>
      <w:pPr>
        <w:ind w:left="20"/>
        <w:spacing w:after="0"/>
        <w:rPr>
          <w:sz w:val="20"/>
          <w:szCs w:val="20"/>
          <w:color w:val="auto"/>
        </w:rPr>
      </w:pPr>
      <w:r>
        <w:rPr>
          <w:rFonts w:ascii="Arial" w:cs="Arial" w:eastAsia="Arial" w:hAnsi="Arial"/>
          <w:sz w:val="11"/>
          <w:szCs w:val="11"/>
          <w:color w:val="auto"/>
        </w:rPr>
        <w:t>(6)</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66" w:lineRule="exact"/>
        <w:rPr>
          <w:rFonts w:ascii="Arial" w:cs="Arial" w:eastAsia="Arial" w:hAnsi="Arial"/>
          <w:sz w:val="14"/>
          <w:szCs w:val="14"/>
          <w:u w:val="single" w:color="auto"/>
          <w:color w:val="0000FF"/>
        </w:rPr>
      </w:pPr>
    </w:p>
    <w:p>
      <w:pPr>
        <w:spacing w:after="0" w:line="253" w:lineRule="auto"/>
        <w:rPr>
          <w:sz w:val="20"/>
          <w:szCs w:val="20"/>
          <w:color w:val="auto"/>
        </w:rPr>
      </w:pPr>
      <w:r>
        <w:rPr>
          <w:rFonts w:ascii="Arial" w:cs="Arial" w:eastAsia="Arial" w:hAnsi="Arial"/>
          <w:sz w:val="14"/>
          <w:szCs w:val="14"/>
          <w:color w:val="auto"/>
        </w:rPr>
        <w:t>Previously filed in connection with Pre-Effective Amendment No. 2 to Logan Ridge Finance Corporation’s registration statement on Form N-2 (File No. 333-188956) filed on September 17, 2013.</w:t>
      </w:r>
    </w:p>
    <w:p>
      <w:pPr>
        <w:spacing w:after="0" w:line="201" w:lineRule="exact"/>
        <w:rPr>
          <w:rFonts w:ascii="Arial" w:cs="Arial" w:eastAsia="Arial" w:hAnsi="Arial"/>
          <w:sz w:val="14"/>
          <w:szCs w:val="14"/>
          <w:u w:val="single" w:color="auto"/>
          <w:color w:val="0000FF"/>
        </w:rPr>
      </w:pPr>
    </w:p>
    <w:p>
      <w:pPr>
        <w:spacing w:after="0" w:line="253" w:lineRule="auto"/>
        <w:rPr>
          <w:sz w:val="20"/>
          <w:szCs w:val="20"/>
          <w:color w:val="auto"/>
        </w:rPr>
      </w:pPr>
      <w:r>
        <w:rPr>
          <w:rFonts w:ascii="Arial" w:cs="Arial" w:eastAsia="Arial" w:hAnsi="Arial"/>
          <w:sz w:val="14"/>
          <w:szCs w:val="14"/>
          <w:color w:val="auto"/>
        </w:rPr>
        <w:t>Previously filed in connection with Pre-Effective Amendment No. 5 to Logan Ridge Finance Corporation’s registration statement on Form N-2 (File No. 333-188956) filed on September 24, 2013.</w:t>
      </w:r>
    </w:p>
    <w:p>
      <w:pPr>
        <w:spacing w:after="0" w:line="241"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Previously filed in connection with Logan Ridge Finance Corporation's report on Form 8-K on August 4, 2020.</w:t>
      </w:r>
    </w:p>
    <w:p>
      <w:pPr>
        <w:spacing w:after="0" w:line="271"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Previously filed in connection with Logan Ridge Finance Corporation's report on Form 8-K on April 6, 2022.</w:t>
      </w:r>
    </w:p>
    <w:p>
      <w:pPr>
        <w:spacing w:after="0" w:line="271" w:lineRule="exact"/>
        <w:rPr>
          <w:rFonts w:ascii="Arial" w:cs="Arial" w:eastAsia="Arial" w:hAnsi="Arial"/>
          <w:sz w:val="14"/>
          <w:szCs w:val="14"/>
          <w:u w:val="single" w:color="auto"/>
          <w:color w:val="0000FF"/>
        </w:rPr>
      </w:pPr>
    </w:p>
    <w:p>
      <w:pPr>
        <w:spacing w:after="0"/>
        <w:rPr>
          <w:sz w:val="20"/>
          <w:szCs w:val="20"/>
          <w:color w:val="auto"/>
        </w:rPr>
      </w:pPr>
      <w:r>
        <w:rPr>
          <w:rFonts w:ascii="Arial" w:cs="Arial" w:eastAsia="Arial" w:hAnsi="Arial"/>
          <w:sz w:val="14"/>
          <w:szCs w:val="14"/>
          <w:color w:val="auto"/>
        </w:rPr>
        <w:t>Previously filed in connection with Logan Ridge Finance Corporation's report on Form 8-K on May 12, 2022.</w:t>
      </w:r>
    </w:p>
    <w:p>
      <w:pPr>
        <w:spacing w:after="0" w:line="200" w:lineRule="exact"/>
        <w:rPr>
          <w:rFonts w:ascii="Arial" w:cs="Arial" w:eastAsia="Arial" w:hAnsi="Arial"/>
          <w:sz w:val="14"/>
          <w:szCs w:val="14"/>
          <w:u w:val="single" w:color="auto"/>
          <w:color w:val="0000FF"/>
        </w:rPr>
      </w:pPr>
    </w:p>
    <w:p>
      <w:pPr>
        <w:spacing w:after="0" w:line="224" w:lineRule="exact"/>
        <w:rPr>
          <w:rFonts w:ascii="Arial" w:cs="Arial" w:eastAsia="Arial" w:hAnsi="Arial"/>
          <w:sz w:val="14"/>
          <w:szCs w:val="14"/>
          <w:u w:val="single" w:color="auto"/>
          <w:color w:val="0000FF"/>
        </w:rPr>
      </w:pPr>
    </w:p>
    <w:p>
      <w:pPr>
        <w:jc w:val="center"/>
        <w:ind w:right="1080"/>
        <w:spacing w:after="0"/>
        <w:rPr>
          <w:sz w:val="20"/>
          <w:szCs w:val="20"/>
          <w:color w:val="auto"/>
        </w:rPr>
      </w:pPr>
      <w:r>
        <w:rPr>
          <w:rFonts w:ascii="Arial" w:cs="Arial" w:eastAsia="Arial" w:hAnsi="Arial"/>
          <w:sz w:val="18"/>
          <w:szCs w:val="18"/>
          <w:color w:val="auto"/>
        </w:rPr>
        <w:t>43</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-705485</wp:posOffset>
            </wp:positionH>
            <wp:positionV relativeFrom="paragraph">
              <wp:posOffset>62230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80" w:space="720"/>
            <w:col w:w="10120"/>
          </w:cols>
          <w:pgMar w:left="320" w:top="535" w:right="359" w:bottom="1440" w:gutter="0" w:footer="0" w:header="0"/>
          <w:type w:val="continuous"/>
        </w:sectPr>
      </w:pPr>
    </w:p>
    <w:bookmarkStart w:id="43" w:name="page44"/>
    <w:bookmarkEnd w:id="43"/>
    <w:p>
      <w:pPr>
        <w:ind w:left="5160"/>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authorized.</w:t>
      </w:r>
    </w:p>
    <w:p>
      <w:pPr>
        <w:spacing w:after="0" w:line="219" w:lineRule="exact"/>
        <w:rPr>
          <w:sz w:val="20"/>
          <w:szCs w:val="20"/>
          <w:color w:val="auto"/>
        </w:rPr>
      </w:pPr>
    </w:p>
    <w:p>
      <w:pPr>
        <w:ind w:left="20"/>
        <w:spacing w:after="0"/>
        <w:tabs>
          <w:tab w:leader="none" w:pos="5700" w:val="left"/>
          <w:tab w:leader="none" w:pos="6100" w:val="left"/>
        </w:tabs>
        <w:rPr>
          <w:sz w:val="20"/>
          <w:szCs w:val="20"/>
          <w:color w:val="auto"/>
        </w:rPr>
      </w:pPr>
      <w:r>
        <w:rPr>
          <w:rFonts w:ascii="Arial" w:cs="Arial" w:eastAsia="Arial" w:hAnsi="Arial"/>
          <w:sz w:val="14"/>
          <w:szCs w:val="14"/>
          <w:color w:val="auto"/>
        </w:rPr>
        <w:t>Date: November 8,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20955</wp:posOffset>
            </wp:positionV>
            <wp:extent cx="32575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Ted Goldthorpe</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Executive Officer and President</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Executive Officer)</w:t>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Logan Ridge Finance Corporation</w:t>
      </w:r>
    </w:p>
    <w:p>
      <w:pPr>
        <w:spacing w:after="0" w:line="183" w:lineRule="exact"/>
        <w:rPr>
          <w:sz w:val="20"/>
          <w:szCs w:val="20"/>
          <w:color w:val="auto"/>
        </w:rPr>
      </w:pPr>
    </w:p>
    <w:p>
      <w:pPr>
        <w:ind w:left="20"/>
        <w:spacing w:after="0"/>
        <w:tabs>
          <w:tab w:leader="none" w:pos="5700" w:val="left"/>
          <w:tab w:leader="none" w:pos="6100" w:val="left"/>
        </w:tabs>
        <w:rPr>
          <w:sz w:val="20"/>
          <w:szCs w:val="20"/>
          <w:color w:val="auto"/>
        </w:rPr>
      </w:pPr>
      <w:r>
        <w:rPr>
          <w:rFonts w:ascii="Arial" w:cs="Arial" w:eastAsia="Arial" w:hAnsi="Arial"/>
          <w:sz w:val="14"/>
          <w:szCs w:val="14"/>
          <w:color w:val="auto"/>
        </w:rPr>
        <w:t>Date: November 8,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20955</wp:posOffset>
            </wp:positionV>
            <wp:extent cx="325755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2"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Jason Roos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Chief Financial Officer</w:t>
      </w:r>
    </w:p>
    <w:p>
      <w:pPr>
        <w:spacing w:after="0" w:line="48" w:lineRule="exact"/>
        <w:rPr>
          <w:sz w:val="20"/>
          <w:szCs w:val="20"/>
          <w:color w:val="auto"/>
        </w:rPr>
      </w:pPr>
    </w:p>
    <w:p>
      <w:pPr>
        <w:ind w:left="6120"/>
        <w:spacing w:after="0"/>
        <w:rPr>
          <w:sz w:val="20"/>
          <w:szCs w:val="20"/>
          <w:color w:val="auto"/>
        </w:rPr>
      </w:pPr>
      <w:r>
        <w:rPr>
          <w:rFonts w:ascii="Arial" w:cs="Arial" w:eastAsia="Arial" w:hAnsi="Arial"/>
          <w:sz w:val="14"/>
          <w:szCs w:val="14"/>
          <w:i w:val="1"/>
          <w:iCs w:val="1"/>
          <w:color w:val="auto"/>
        </w:rPr>
        <w:t>(Principal Financial Officer)</w:t>
      </w:r>
    </w:p>
    <w:p>
      <w:pPr>
        <w:spacing w:after="0" w:line="55" w:lineRule="exact"/>
        <w:rPr>
          <w:sz w:val="20"/>
          <w:szCs w:val="20"/>
          <w:color w:val="auto"/>
        </w:rPr>
      </w:pPr>
    </w:p>
    <w:p>
      <w:pPr>
        <w:ind w:left="6120"/>
        <w:spacing w:after="0"/>
        <w:rPr>
          <w:sz w:val="20"/>
          <w:szCs w:val="20"/>
          <w:color w:val="auto"/>
        </w:rPr>
      </w:pPr>
      <w:r>
        <w:rPr>
          <w:rFonts w:ascii="Arial" w:cs="Arial" w:eastAsia="Arial" w:hAnsi="Arial"/>
          <w:sz w:val="14"/>
          <w:szCs w:val="14"/>
          <w:color w:val="auto"/>
        </w:rPr>
        <w:t>Logan Ridge Finance Corporation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31.1</w:t>
      </w:r>
    </w:p>
    <w:p>
      <w:pPr>
        <w:spacing w:after="0" w:line="217" w:lineRule="exact"/>
        <w:rPr>
          <w:sz w:val="20"/>
          <w:szCs w:val="20"/>
          <w:color w:val="auto"/>
        </w:rPr>
      </w:pPr>
    </w:p>
    <w:p>
      <w:pPr>
        <w:jc w:val="center"/>
        <w:ind w:right="20"/>
        <w:spacing w:after="0" w:line="260" w:lineRule="auto"/>
        <w:rPr>
          <w:sz w:val="20"/>
          <w:szCs w:val="20"/>
          <w:color w:val="auto"/>
        </w:rPr>
      </w:pPr>
      <w:r>
        <w:rPr>
          <w:rFonts w:ascii="Arial" w:cs="Arial" w:eastAsia="Arial" w:hAnsi="Arial"/>
          <w:sz w:val="14"/>
          <w:szCs w:val="14"/>
          <w:b w:val="1"/>
          <w:bCs w:val="1"/>
          <w:color w:val="auto"/>
        </w:rPr>
        <w:t>CERTIFICATION OF CHIEF EXECUTIVE OFFICER PURSUANT TO RULE 13A-14 OF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Ted Goldthorpe, certify that:</w:t>
      </w:r>
    </w:p>
    <w:p>
      <w:pPr>
        <w:spacing w:after="0" w:line="231" w:lineRule="exact"/>
        <w:rPr>
          <w:sz w:val="20"/>
          <w:szCs w:val="20"/>
          <w:color w:val="auto"/>
        </w:rPr>
      </w:pPr>
    </w:p>
    <w:p>
      <w:pPr>
        <w:ind w:left="460" w:hanging="317"/>
        <w:spacing w:after="0"/>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Logan Ridge Finance Corporation;</w:t>
      </w:r>
    </w:p>
    <w:p>
      <w:pPr>
        <w:spacing w:after="0" w:line="217" w:lineRule="exact"/>
        <w:rPr>
          <w:rFonts w:ascii="Arial" w:cs="Arial" w:eastAsia="Arial" w:hAnsi="Arial"/>
          <w:sz w:val="14"/>
          <w:szCs w:val="14"/>
          <w:color w:val="auto"/>
        </w:rPr>
      </w:pPr>
    </w:p>
    <w:p>
      <w:pPr>
        <w:ind w:left="460" w:right="20" w:hanging="317"/>
        <w:spacing w:after="0" w:line="253"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4"/>
          <w:szCs w:val="14"/>
          <w:color w:val="auto"/>
        </w:rPr>
      </w:pPr>
    </w:p>
    <w:p>
      <w:pPr>
        <w:ind w:left="460" w:right="20" w:hanging="317"/>
        <w:spacing w:after="0" w:line="253"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4"/>
          <w:szCs w:val="14"/>
          <w:color w:val="auto"/>
        </w:rPr>
      </w:pPr>
    </w:p>
    <w:p>
      <w:pPr>
        <w:jc w:val="both"/>
        <w:ind w:left="460" w:right="20" w:hanging="317"/>
        <w:spacing w:after="0" w:line="24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4"/>
          <w:szCs w:val="14"/>
          <w:color w:val="auto"/>
        </w:rPr>
      </w:pPr>
    </w:p>
    <w:p>
      <w:pPr>
        <w:ind w:left="1620" w:right="20" w:hanging="789"/>
        <w:spacing w:after="0" w:line="290" w:lineRule="auto"/>
        <w:tabs>
          <w:tab w:leader="none" w:pos="1620" w:val="left"/>
        </w:tabs>
        <w:numPr>
          <w:ilvl w:val="1"/>
          <w:numId w:val="3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65" w:lineRule="exact"/>
        <w:rPr>
          <w:rFonts w:ascii="Arial" w:cs="Arial" w:eastAsia="Arial" w:hAnsi="Arial"/>
          <w:sz w:val="13"/>
          <w:szCs w:val="13"/>
          <w:color w:val="auto"/>
        </w:rPr>
      </w:pPr>
    </w:p>
    <w:p>
      <w:pPr>
        <w:jc w:val="both"/>
        <w:ind w:left="1620" w:right="20" w:hanging="789"/>
        <w:spacing w:after="0" w:line="238" w:lineRule="auto"/>
        <w:tabs>
          <w:tab w:leader="none" w:pos="16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4"/>
          <w:szCs w:val="14"/>
          <w:color w:val="auto"/>
        </w:rPr>
      </w:pPr>
    </w:p>
    <w:p>
      <w:pPr>
        <w:ind w:left="1620" w:right="20" w:hanging="789"/>
        <w:spacing w:after="0" w:line="273" w:lineRule="auto"/>
        <w:tabs>
          <w:tab w:leader="none" w:pos="16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3" w:lineRule="exact"/>
        <w:rPr>
          <w:rFonts w:ascii="Arial" w:cs="Arial" w:eastAsia="Arial" w:hAnsi="Arial"/>
          <w:sz w:val="14"/>
          <w:szCs w:val="14"/>
          <w:color w:val="auto"/>
        </w:rPr>
      </w:pPr>
    </w:p>
    <w:p>
      <w:pPr>
        <w:jc w:val="both"/>
        <w:ind w:left="1620" w:right="20" w:hanging="789"/>
        <w:spacing w:after="0" w:line="238" w:lineRule="auto"/>
        <w:tabs>
          <w:tab w:leader="none" w:pos="16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4"/>
          <w:szCs w:val="14"/>
          <w:color w:val="auto"/>
        </w:rPr>
      </w:pPr>
    </w:p>
    <w:p>
      <w:pPr>
        <w:ind w:left="460" w:right="20" w:hanging="317"/>
        <w:spacing w:after="0" w:line="253"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4"/>
          <w:szCs w:val="14"/>
          <w:color w:val="auto"/>
        </w:rPr>
      </w:pPr>
    </w:p>
    <w:p>
      <w:pPr>
        <w:ind w:left="1620" w:right="20" w:hanging="789"/>
        <w:spacing w:after="0" w:line="273" w:lineRule="auto"/>
        <w:tabs>
          <w:tab w:leader="none" w:pos="16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left="1620" w:right="20" w:hanging="789"/>
        <w:spacing w:after="0" w:line="253" w:lineRule="auto"/>
        <w:tabs>
          <w:tab w:leader="none" w:pos="162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8, 2022</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20955</wp:posOffset>
            </wp:positionV>
            <wp:extent cx="35661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Ted Goldthorpe</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Chief Executive Officer and President</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(Principal Executive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31.2</w:t>
      </w:r>
    </w:p>
    <w:p>
      <w:pPr>
        <w:spacing w:after="0" w:line="217" w:lineRule="exact"/>
        <w:rPr>
          <w:sz w:val="20"/>
          <w:szCs w:val="20"/>
          <w:color w:val="auto"/>
        </w:rPr>
      </w:pPr>
    </w:p>
    <w:p>
      <w:pPr>
        <w:jc w:val="center"/>
        <w:ind w:right="20"/>
        <w:spacing w:after="0" w:line="260" w:lineRule="auto"/>
        <w:rPr>
          <w:sz w:val="20"/>
          <w:szCs w:val="20"/>
          <w:color w:val="auto"/>
        </w:rPr>
      </w:pPr>
      <w:r>
        <w:rPr>
          <w:rFonts w:ascii="Arial" w:cs="Arial" w:eastAsia="Arial" w:hAnsi="Arial"/>
          <w:sz w:val="14"/>
          <w:szCs w:val="14"/>
          <w:b w:val="1"/>
          <w:bCs w:val="1"/>
          <w:color w:val="auto"/>
        </w:rPr>
        <w:t>CERTIFICATION OF CHIEF FINANCIAL OFFICER PURSUANT TO RULE 13A-14 OF THE SECURITIES EXCHANGE ACT OF 1934, AS ADOPTED PURSUANT TO 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I, Jason Roos, certify that:</w:t>
      </w:r>
    </w:p>
    <w:p>
      <w:pPr>
        <w:spacing w:after="0" w:line="231" w:lineRule="exact"/>
        <w:rPr>
          <w:sz w:val="20"/>
          <w:szCs w:val="20"/>
          <w:color w:val="auto"/>
        </w:rPr>
      </w:pPr>
    </w:p>
    <w:p>
      <w:pPr>
        <w:ind w:left="380" w:hanging="359"/>
        <w:spacing w:after="0"/>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Logan Ridge Finance Corporation;</w:t>
      </w:r>
    </w:p>
    <w:p>
      <w:pPr>
        <w:spacing w:after="0" w:line="217" w:lineRule="exact"/>
        <w:rPr>
          <w:rFonts w:ascii="Arial" w:cs="Arial" w:eastAsia="Arial" w:hAnsi="Arial"/>
          <w:sz w:val="14"/>
          <w:szCs w:val="14"/>
          <w:color w:val="auto"/>
        </w:rPr>
      </w:pPr>
    </w:p>
    <w:p>
      <w:pPr>
        <w:ind w:left="380" w:right="20" w:hanging="359"/>
        <w:spacing w:after="0" w:line="25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4"/>
          <w:szCs w:val="14"/>
          <w:color w:val="auto"/>
        </w:rPr>
      </w:pPr>
    </w:p>
    <w:p>
      <w:pPr>
        <w:ind w:left="380" w:right="20" w:hanging="359"/>
        <w:spacing w:after="0" w:line="25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4"/>
          <w:szCs w:val="14"/>
          <w:color w:val="auto"/>
        </w:rPr>
      </w:pPr>
    </w:p>
    <w:p>
      <w:pPr>
        <w:jc w:val="both"/>
        <w:ind w:left="380" w:right="20" w:hanging="359"/>
        <w:spacing w:after="0" w:line="247"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4"/>
          <w:szCs w:val="14"/>
          <w:color w:val="auto"/>
        </w:rPr>
      </w:pPr>
    </w:p>
    <w:p>
      <w:pPr>
        <w:ind w:left="1620" w:right="20" w:hanging="789"/>
        <w:spacing w:after="0" w:line="290" w:lineRule="auto"/>
        <w:tabs>
          <w:tab w:leader="none" w:pos="1620" w:val="left"/>
        </w:tabs>
        <w:numPr>
          <w:ilvl w:val="1"/>
          <w:numId w:val="3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65" w:lineRule="exact"/>
        <w:rPr>
          <w:rFonts w:ascii="Arial" w:cs="Arial" w:eastAsia="Arial" w:hAnsi="Arial"/>
          <w:sz w:val="13"/>
          <w:szCs w:val="13"/>
          <w:color w:val="auto"/>
        </w:rPr>
      </w:pPr>
    </w:p>
    <w:p>
      <w:pPr>
        <w:jc w:val="both"/>
        <w:ind w:left="1620" w:right="20" w:hanging="789"/>
        <w:spacing w:after="0" w:line="238" w:lineRule="auto"/>
        <w:tabs>
          <w:tab w:leader="none" w:pos="16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4"/>
          <w:szCs w:val="14"/>
          <w:color w:val="auto"/>
        </w:rPr>
      </w:pPr>
    </w:p>
    <w:p>
      <w:pPr>
        <w:ind w:left="1620" w:right="20" w:hanging="789"/>
        <w:spacing w:after="0" w:line="273" w:lineRule="auto"/>
        <w:tabs>
          <w:tab w:leader="none" w:pos="16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73" w:lineRule="exact"/>
        <w:rPr>
          <w:rFonts w:ascii="Arial" w:cs="Arial" w:eastAsia="Arial" w:hAnsi="Arial"/>
          <w:sz w:val="14"/>
          <w:szCs w:val="14"/>
          <w:color w:val="auto"/>
        </w:rPr>
      </w:pPr>
    </w:p>
    <w:p>
      <w:pPr>
        <w:jc w:val="both"/>
        <w:ind w:left="1620" w:right="20" w:hanging="789"/>
        <w:spacing w:after="0" w:line="238" w:lineRule="auto"/>
        <w:tabs>
          <w:tab w:leader="none" w:pos="16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4"/>
          <w:szCs w:val="14"/>
          <w:color w:val="auto"/>
        </w:rPr>
      </w:pPr>
    </w:p>
    <w:p>
      <w:pPr>
        <w:ind w:left="380" w:right="20" w:hanging="359"/>
        <w:spacing w:after="0" w:line="253"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4"/>
          <w:szCs w:val="14"/>
          <w:color w:val="auto"/>
        </w:rPr>
      </w:pPr>
    </w:p>
    <w:p>
      <w:pPr>
        <w:ind w:left="1620" w:right="20" w:hanging="789"/>
        <w:spacing w:after="0" w:line="273" w:lineRule="auto"/>
        <w:tabs>
          <w:tab w:leader="none" w:pos="16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left="1620" w:right="20" w:hanging="789"/>
        <w:spacing w:after="0" w:line="253" w:lineRule="auto"/>
        <w:tabs>
          <w:tab w:leader="none" w:pos="16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Date: November 8, 2022</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20955</wp:posOffset>
            </wp:positionV>
            <wp:extent cx="35661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Jason Roos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Chief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(Principal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32.1</w:t>
      </w:r>
    </w:p>
    <w:p>
      <w:pPr>
        <w:spacing w:after="0" w:line="217"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PURSUANT TO 18 U.S.C. SECTION 1350, AS ADOPTED</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20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4"/>
          <w:szCs w:val="14"/>
          <w:color w:val="auto"/>
        </w:rPr>
        <w:t>I, Ted Goldthorpe, Chief Executive Officer and President, in connection with the Quarterly Report of Logan Ridge Finance Corporation (the “Company”) on Form 10-Q for the quarterly period ended September 30, 2022, as filed with the U.S. Securities and Exchange Commission on the date hereof (the “Quarterly Report”), certify, pursuant to Section 906 of the Sarbanes-Oxley Act of 2002, that:</w:t>
      </w:r>
    </w:p>
    <w:p>
      <w:pPr>
        <w:spacing w:after="0" w:line="198" w:lineRule="exact"/>
        <w:rPr>
          <w:sz w:val="20"/>
          <w:szCs w:val="20"/>
          <w:color w:val="auto"/>
        </w:rPr>
      </w:pPr>
    </w:p>
    <w:p>
      <w:pPr>
        <w:ind w:left="1620" w:hanging="789"/>
        <w:spacing w:after="0"/>
        <w:tabs>
          <w:tab w:leader="none" w:pos="1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Quarterly Report fully complies with the requirements of Section 13(a) or 15(d) of the Securities Exchange Act of 1934, as amended; and</w:t>
      </w:r>
    </w:p>
    <w:p>
      <w:pPr>
        <w:spacing w:after="0" w:line="217" w:lineRule="exact"/>
        <w:rPr>
          <w:rFonts w:ascii="Arial" w:cs="Arial" w:eastAsia="Arial" w:hAnsi="Arial"/>
          <w:sz w:val="14"/>
          <w:szCs w:val="14"/>
          <w:color w:val="auto"/>
        </w:rPr>
      </w:pPr>
    </w:p>
    <w:p>
      <w:pPr>
        <w:ind w:left="1620" w:hanging="789"/>
        <w:spacing w:after="0"/>
        <w:tabs>
          <w:tab w:leader="none" w:pos="16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1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Date: November 8, 2022</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20955</wp:posOffset>
            </wp:positionV>
            <wp:extent cx="3566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Ted Goldthorpe</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Chief Executive Officer and President</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(Principal Executive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32.2</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PURSUANT TO 18 U.S.C. SECTION 1350, AS ADOPTED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205" w:lineRule="exact"/>
        <w:rPr>
          <w:sz w:val="20"/>
          <w:szCs w:val="20"/>
          <w:color w:val="auto"/>
        </w:rPr>
      </w:pPr>
    </w:p>
    <w:p>
      <w:pPr>
        <w:jc w:val="both"/>
        <w:ind w:firstLine="374"/>
        <w:spacing w:after="0" w:line="257" w:lineRule="auto"/>
        <w:rPr>
          <w:sz w:val="20"/>
          <w:szCs w:val="20"/>
          <w:color w:val="auto"/>
        </w:rPr>
      </w:pPr>
      <w:r>
        <w:rPr>
          <w:rFonts w:ascii="Arial" w:cs="Arial" w:eastAsia="Arial" w:hAnsi="Arial"/>
          <w:sz w:val="14"/>
          <w:szCs w:val="14"/>
          <w:color w:val="auto"/>
        </w:rPr>
        <w:t>I, Jason Roos, Chief Financial Officer, in connection with the Quarterly Report of Logan Ridge Finance Corporation (the “Company”) on Form 10-Q for the quarterly period ended September 30, 2022, as filed with the U.S. Securities and Exchange Commission on the date hereof (the “Quarterly Report”), certify, pursuant to Section 906 of the Sarbanes-Oxley Act of 2002, that:</w:t>
      </w:r>
    </w:p>
    <w:p>
      <w:pPr>
        <w:spacing w:after="0" w:line="198" w:lineRule="exact"/>
        <w:rPr>
          <w:sz w:val="20"/>
          <w:szCs w:val="20"/>
          <w:color w:val="auto"/>
        </w:rPr>
      </w:pPr>
    </w:p>
    <w:p>
      <w:pPr>
        <w:ind w:left="1620" w:hanging="789"/>
        <w:spacing w:after="0"/>
        <w:tabs>
          <w:tab w:leader="none" w:pos="1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Quarterly Report fully complies with the requirements of Section 13(a) or 15(d) of the Securities Exchange Act of 1934, as amended; and</w:t>
      </w:r>
    </w:p>
    <w:p>
      <w:pPr>
        <w:spacing w:after="0" w:line="217" w:lineRule="exact"/>
        <w:rPr>
          <w:rFonts w:ascii="Arial" w:cs="Arial" w:eastAsia="Arial" w:hAnsi="Arial"/>
          <w:sz w:val="14"/>
          <w:szCs w:val="14"/>
          <w:color w:val="auto"/>
        </w:rPr>
      </w:pPr>
    </w:p>
    <w:p>
      <w:pPr>
        <w:ind w:left="1620" w:hanging="789"/>
        <w:spacing w:after="0"/>
        <w:tabs>
          <w:tab w:leader="none" w:pos="1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contained in the Quarterly Report fairly presents, in all material respects, the financial condition and results of operations of the Company.</w:t>
      </w:r>
    </w:p>
    <w:p>
      <w:pPr>
        <w:spacing w:after="0" w:line="21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Date: November 8, 2022</w:t>
      </w:r>
    </w:p>
    <w:p>
      <w:pPr>
        <w:spacing w:after="0" w:line="21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20955</wp:posOffset>
            </wp:positionV>
            <wp:extent cx="35661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Jason Roos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Chief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i w:val="1"/>
          <w:iCs w:val="1"/>
          <w:color w:val="auto"/>
        </w:rPr>
        <w:t>(Principal Financial Officer)</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20"/>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2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lowerRoman"/>
      <w:start w:val="2"/>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lvl>
    <w:lvl w:ilvl="1">
      <w:lvlJc w:val="left"/>
      <w:lvlText w:val="$"/>
      <w:numFmt w:val="bullet"/>
      <w:start w:val="1"/>
    </w:lvl>
  </w:abstractNum>
  <w:abstractNum w:abstractNumId="16">
    <w:nsid w:val="4353D0CD"/>
    <w:multiLevelType w:val="hybridMultilevel"/>
    <w:lvl w:ilvl="0">
      <w:lvlJc w:val="left"/>
      <w:lvlText w:val="(%1)"/>
      <w:numFmt w:val="decimal"/>
    </w:lvl>
    <w:lvl w:ilvl="1">
      <w:lvlJc w:val="left"/>
      <w:lvlText w:val="$"/>
      <w:numFmt w:val="bullet"/>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decimal"/>
      <w:start w:val="2"/>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upperLetter"/>
      <w:start w:val="6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Roman"/>
      <w:start w:val="2"/>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9" Type="http://schemas.openxmlformats.org/officeDocument/2006/relationships/image" Target="media/image423.png"/><Relationship Id="rId440" Type="http://schemas.openxmlformats.org/officeDocument/2006/relationships/image" Target="media/image424.png"/><Relationship Id="rId441" Type="http://schemas.openxmlformats.org/officeDocument/2006/relationships/image" Target="media/image425.png"/><Relationship Id="rId442" Type="http://schemas.openxmlformats.org/officeDocument/2006/relationships/image" Target="media/image426.png"/><Relationship Id="rId443" Type="http://schemas.openxmlformats.org/officeDocument/2006/relationships/image" Target="media/image427.png"/><Relationship Id="rId444" Type="http://schemas.openxmlformats.org/officeDocument/2006/relationships/image" Target="media/image428.png"/><Relationship Id="rId445" Type="http://schemas.openxmlformats.org/officeDocument/2006/relationships/image" Target="media/image429.png"/><Relationship Id="rId446" Type="http://schemas.openxmlformats.org/officeDocument/2006/relationships/image" Target="media/image430.png"/><Relationship Id="rId447" Type="http://schemas.openxmlformats.org/officeDocument/2006/relationships/image" Target="media/image431.png"/><Relationship Id="rId448" Type="http://schemas.openxmlformats.org/officeDocument/2006/relationships/image" Target="media/image432.png"/><Relationship Id="rId449" Type="http://schemas.openxmlformats.org/officeDocument/2006/relationships/image" Target="media/image433.png"/><Relationship Id="rId450" Type="http://schemas.openxmlformats.org/officeDocument/2006/relationships/image" Target="media/image434.png"/><Relationship Id="rId451" Type="http://schemas.openxmlformats.org/officeDocument/2006/relationships/image" Target="media/image435.png"/><Relationship Id="rId430" Type="http://schemas.openxmlformats.org/officeDocument/2006/relationships/hyperlink" Target="https://www.sec.gov/Archives/edgar/data/1221483/000119312513361263/d505298dex99a1.htm" TargetMode="External"/><Relationship Id="rId431" Type="http://schemas.openxmlformats.org/officeDocument/2006/relationships/hyperlink" Target="https://www.sec.gov/Archives/edgar/data/1571329/000110465920090336/tm2026478d1_ex3-1.htm" TargetMode="External"/><Relationship Id="rId432" Type="http://schemas.openxmlformats.org/officeDocument/2006/relationships/hyperlink" Target="https://www.sec.gov/Archives/edgar/data/1221483/000119312513368161/d505298dex99a2.htm" TargetMode="External"/><Relationship Id="rId433" Type="http://schemas.openxmlformats.org/officeDocument/2006/relationships/hyperlink" Target="https://www.sec.gov/Archives/edgar/data/1221483/000119312513368161/d505298dex99a3.htm" TargetMode="External"/><Relationship Id="rId434" Type="http://schemas.openxmlformats.org/officeDocument/2006/relationships/hyperlink" Target="https://www.sec.gov/Archives/edgar/data/1221483/000119312513361263/d505298dex99b1.htm" TargetMode="External"/><Relationship Id="rId435" Type="http://schemas.openxmlformats.org/officeDocument/2006/relationships/hyperlink" Target="https://www.sec.gov/Archives/edgar/data/1571329/000119312513376445/d505298dex99b2.htm" TargetMode="External"/><Relationship Id="rId436" Type="http://schemas.openxmlformats.org/officeDocument/2006/relationships/hyperlink" Target="https://www.sec.gov/Archives/edgar/data/1571329/000119312513376445/d505298dex99b3.htm" TargetMode="External"/><Relationship Id="rId437" Type="http://schemas.openxmlformats.org/officeDocument/2006/relationships/hyperlink" Target="https://www.sec.gov/Archives/edgar/data/1571329/000119312522097684/d329551dex41.htm" TargetMode="External"/><Relationship Id="rId438" Type="http://schemas.openxmlformats.org/officeDocument/2006/relationships/hyperlink" Target="https://www.sec.gov/Archives/edgar/data/1571329/000119312522148849/d3196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2022-11-08T15:32:47Z</dcterms:created>
  <dcterms:modified xsi:type="dcterms:W3CDTF">2022-11-08T15:32:47Z</dcterms:modified>
</cp:coreProperties>
</file>