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4200" w:right="4200" w:hanging="4192"/>
        <w:spacing w:after="0" w:line="545" w:lineRule="auto"/>
        <w:tabs>
          <w:tab w:leader="none" w:pos="329"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 Ended March 31, 2015</w:t>
      </w:r>
    </w:p>
    <w:p>
      <w:pPr>
        <w:spacing w:after="0" w:line="2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260"/>
              <w:spacing w:after="0"/>
              <w:rPr>
                <w:sz w:val="20"/>
                <w:szCs w:val="20"/>
                <w:color w:val="auto"/>
              </w:rPr>
            </w:pPr>
            <w:r>
              <w:rPr>
                <w:rFonts w:ascii="Arial" w:cs="Arial" w:eastAsia="Arial" w:hAnsi="Arial"/>
                <w:sz w:val="14"/>
                <w:szCs w:val="14"/>
                <w:b w:val="1"/>
                <w:bCs w:val="1"/>
                <w:color w:val="auto"/>
              </w:rPr>
              <w:t>Commission</w:t>
            </w:r>
          </w:p>
        </w:tc>
        <w:tc>
          <w:tcPr>
            <w:tcW w:w="8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Exact name of registrant as specified in its charter, address of principal executive</w:t>
            </w:r>
          </w:p>
        </w:tc>
        <w:tc>
          <w:tcPr>
            <w:tcW w:w="1940" w:type="dxa"/>
            <w:vAlign w:val="bottom"/>
          </w:tcPr>
          <w:p>
            <w:pPr>
              <w:ind w:left="540"/>
              <w:spacing w:after="0"/>
              <w:rPr>
                <w:sz w:val="20"/>
                <w:szCs w:val="20"/>
                <w:color w:val="auto"/>
              </w:rPr>
            </w:pPr>
            <w:r>
              <w:rPr>
                <w:rFonts w:ascii="Arial" w:cs="Arial" w:eastAsia="Arial" w:hAnsi="Arial"/>
                <w:sz w:val="14"/>
                <w:szCs w:val="14"/>
                <w:b w:val="1"/>
                <w:bCs w:val="1"/>
                <w:color w:val="auto"/>
              </w:rPr>
              <w:t>I.R.S. Employer</w:t>
            </w:r>
          </w:p>
        </w:tc>
      </w:tr>
      <w:tr>
        <w:trPr>
          <w:trHeight w:val="176"/>
        </w:trPr>
        <w:tc>
          <w:tcPr>
            <w:tcW w:w="1380" w:type="dxa"/>
            <w:vAlign w:val="bottom"/>
            <w:gridSpan w:val="2"/>
          </w:tcPr>
          <w:p>
            <w:pPr>
              <w:ind w:left="240"/>
              <w:spacing w:after="0"/>
              <w:rPr>
                <w:sz w:val="20"/>
                <w:szCs w:val="20"/>
                <w:color w:val="auto"/>
              </w:rPr>
            </w:pPr>
            <w:r>
              <w:rPr>
                <w:rFonts w:ascii="Arial" w:cs="Arial" w:eastAsia="Arial" w:hAnsi="Arial"/>
                <w:sz w:val="14"/>
                <w:szCs w:val="14"/>
                <w:b w:val="1"/>
                <w:bCs w:val="1"/>
                <w:color w:val="auto"/>
              </w:rPr>
              <w:t>File Number</w:t>
            </w:r>
          </w:p>
        </w:tc>
        <w:tc>
          <w:tcPr>
            <w:tcW w:w="8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office, telephone number and state of incorporation</w:t>
            </w:r>
          </w:p>
        </w:tc>
        <w:tc>
          <w:tcPr>
            <w:tcW w:w="1940" w:type="dxa"/>
            <w:vAlign w:val="bottom"/>
          </w:tcPr>
          <w:p>
            <w:pPr>
              <w:ind w:left="340"/>
              <w:spacing w:after="0"/>
              <w:rPr>
                <w:sz w:val="20"/>
                <w:szCs w:val="20"/>
                <w:color w:val="auto"/>
              </w:rPr>
            </w:pPr>
            <w:r>
              <w:rPr>
                <w:rFonts w:ascii="Arial" w:cs="Arial" w:eastAsia="Arial" w:hAnsi="Arial"/>
                <w:sz w:val="14"/>
                <w:szCs w:val="14"/>
                <w:b w:val="1"/>
                <w:bCs w:val="1"/>
                <w:color w:val="auto"/>
              </w:rPr>
              <w:t>Identification Number</w:t>
            </w:r>
          </w:p>
        </w:tc>
      </w:tr>
      <w:tr>
        <w:trPr>
          <w:trHeight w:val="218"/>
        </w:trPr>
        <w:tc>
          <w:tcPr>
            <w:tcW w:w="126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814-01022</w:t>
            </w:r>
          </w:p>
        </w:tc>
        <w:tc>
          <w:tcPr>
            <w:tcW w:w="120" w:type="dxa"/>
            <w:vAlign w:val="bottom"/>
          </w:tcPr>
          <w:p>
            <w:pPr>
              <w:spacing w:after="0"/>
              <w:rPr>
                <w:sz w:val="18"/>
                <w:szCs w:val="18"/>
                <w:color w:val="auto"/>
              </w:rPr>
            </w:pPr>
          </w:p>
        </w:tc>
        <w:tc>
          <w:tcPr>
            <w:tcW w:w="8000" w:type="dxa"/>
            <w:vAlign w:val="bottom"/>
            <w:tcBorders>
              <w:top w:val="single" w:sz="8" w:color="auto"/>
            </w:tcBorders>
          </w:tcPr>
          <w:p>
            <w:pPr>
              <w:jc w:val="center"/>
              <w:spacing w:after="0" w:line="219" w:lineRule="exact"/>
              <w:rPr>
                <w:sz w:val="20"/>
                <w:szCs w:val="20"/>
                <w:color w:val="auto"/>
              </w:rPr>
            </w:pPr>
            <w:r>
              <w:rPr>
                <w:rFonts w:ascii="Arial" w:cs="Arial" w:eastAsia="Arial" w:hAnsi="Arial"/>
                <w:sz w:val="22"/>
                <w:szCs w:val="22"/>
                <w:b w:val="1"/>
                <w:bCs w:val="1"/>
                <w:color w:val="auto"/>
                <w:w w:val="90"/>
              </w:rPr>
              <w:t>Capitala Finance Corp.</w:t>
            </w:r>
          </w:p>
        </w:tc>
        <w:tc>
          <w:tcPr>
            <w:tcW w:w="100" w:type="dxa"/>
            <w:vAlign w:val="bottom"/>
          </w:tcPr>
          <w:p>
            <w:pPr>
              <w:spacing w:after="0"/>
              <w:rPr>
                <w:sz w:val="18"/>
                <w:szCs w:val="18"/>
                <w:color w:val="auto"/>
              </w:rPr>
            </w:pPr>
          </w:p>
        </w:tc>
        <w:tc>
          <w:tcPr>
            <w:tcW w:w="1940" w:type="dxa"/>
            <w:vAlign w:val="bottom"/>
            <w:tcBorders>
              <w:top w:val="single" w:sz="8" w:color="auto"/>
            </w:tcBorders>
          </w:tcPr>
          <w:p>
            <w:pPr>
              <w:ind w:left="540"/>
              <w:spacing w:after="0"/>
              <w:rPr>
                <w:sz w:val="20"/>
                <w:szCs w:val="20"/>
                <w:color w:val="auto"/>
              </w:rPr>
            </w:pPr>
            <w:r>
              <w:rPr>
                <w:rFonts w:ascii="Arial" w:cs="Arial" w:eastAsia="Arial" w:hAnsi="Arial"/>
                <w:sz w:val="18"/>
                <w:szCs w:val="18"/>
                <w:b w:val="1"/>
                <w:bCs w:val="1"/>
                <w:color w:val="auto"/>
              </w:rPr>
              <w:t>90-0945675</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4201 Congress St., Suite 360</w:t>
            </w:r>
          </w:p>
        </w:tc>
        <w:tc>
          <w:tcPr>
            <w:tcW w:w="19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Charlotte, North Carolina</w:t>
            </w:r>
          </w:p>
        </w:tc>
        <w:tc>
          <w:tcPr>
            <w:tcW w:w="19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Telephone: (704) 376-5502</w:t>
            </w:r>
          </w:p>
        </w:tc>
        <w:tc>
          <w:tcPr>
            <w:tcW w:w="194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State of Incorporation: Maryland</w:t>
            </w:r>
          </w:p>
        </w:tc>
        <w:tc>
          <w:tcPr>
            <w:tcW w:w="1940" w:type="dxa"/>
            <w:vAlign w:val="bottom"/>
          </w:tcPr>
          <w:p>
            <w:pPr>
              <w:spacing w:after="0"/>
              <w:rPr>
                <w:sz w:val="20"/>
                <w:szCs w:val="20"/>
                <w:color w:val="auto"/>
              </w:rPr>
            </w:pPr>
          </w:p>
        </w:tc>
      </w:tr>
    </w:tbl>
    <w:p>
      <w:pPr>
        <w:spacing w:after="0" w:line="202" w:lineRule="exact"/>
        <w:rPr>
          <w:sz w:val="24"/>
          <w:szCs w:val="24"/>
          <w:color w:val="auto"/>
        </w:rPr>
      </w:pPr>
    </w:p>
    <w:p>
      <w:pPr>
        <w:ind w:firstLine="881"/>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1300"/>
        <w:spacing w:after="0" w:line="207" w:lineRule="exact"/>
        <w:tabs>
          <w:tab w:leader="none" w:pos="6840" w:val="left"/>
          <w:tab w:leader="none" w:pos="784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jc w:val="both"/>
        <w:ind w:right="20" w:firstLine="881"/>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49" w:lineRule="exact"/>
        <w:rPr>
          <w:sz w:val="24"/>
          <w:szCs w:val="24"/>
          <w:color w:val="auto"/>
        </w:rPr>
      </w:pPr>
    </w:p>
    <w:p>
      <w:pPr>
        <w:ind w:left="1300"/>
        <w:spacing w:after="0" w:line="207" w:lineRule="exact"/>
        <w:tabs>
          <w:tab w:leader="none" w:pos="6840" w:val="left"/>
          <w:tab w:leader="none" w:pos="790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right="400" w:firstLine="88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06" w:right="239" w:bottom="144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Capitala Finance Corp.</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5">
            <w:col w:w="2480" w:space="720"/>
            <w:col w:w="2160" w:space="720"/>
            <w:col w:w="160" w:space="400"/>
            <w:col w:w="3500" w:space="720"/>
            <w:col w:w="560"/>
          </w:cols>
          <w:pgMar w:left="240" w:top="206" w:right="239" w:bottom="1440" w:gutter="0" w:footer="0" w:header="0"/>
          <w:type w:val="continuous"/>
        </w:sectPr>
      </w:pPr>
    </w:p>
    <w:p>
      <w:pPr>
        <w:spacing w:after="0" w:line="3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5360" w:space="720"/>
            <w:col w:w="160" w:space="400"/>
            <w:col w:w="3500" w:space="720"/>
            <w:col w:w="560"/>
          </w:cols>
          <w:pgMar w:left="240" w:top="206" w:right="239" w:bottom="1440" w:gutter="0" w:footer="0" w:header="0"/>
          <w:type w:val="continuous"/>
        </w:sectPr>
      </w:pPr>
    </w:p>
    <w:p>
      <w:pPr>
        <w:spacing w:after="0" w:line="48" w:lineRule="exact"/>
        <w:rPr>
          <w:sz w:val="24"/>
          <w:szCs w:val="24"/>
          <w:color w:val="auto"/>
        </w:rPr>
      </w:pPr>
    </w:p>
    <w:p>
      <w:pPr>
        <w:ind w:left="9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4"/>
          <w:szCs w:val="24"/>
          <w:color w:val="auto"/>
        </w:rPr>
      </w:pPr>
    </w:p>
    <w:p>
      <w:pPr>
        <w:ind w:left="1300"/>
        <w:spacing w:after="0" w:line="207" w:lineRule="exact"/>
        <w:tabs>
          <w:tab w:leader="none" w:pos="6960" w:val="left"/>
          <w:tab w:leader="none" w:pos="802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 x</w:t>
      </w:r>
    </w:p>
    <w:p>
      <w:pPr>
        <w:spacing w:after="0" w:line="258" w:lineRule="exact"/>
        <w:rPr>
          <w:sz w:val="24"/>
          <w:szCs w:val="24"/>
          <w:color w:val="auto"/>
        </w:rPr>
      </w:pPr>
    </w:p>
    <w:p>
      <w:pPr>
        <w:ind w:left="880"/>
        <w:spacing w:after="0"/>
        <w:rPr>
          <w:sz w:val="20"/>
          <w:szCs w:val="20"/>
          <w:color w:val="auto"/>
        </w:rPr>
      </w:pPr>
      <w:r>
        <w:rPr>
          <w:rFonts w:ascii="Arial" w:cs="Arial" w:eastAsia="Arial" w:hAnsi="Arial"/>
          <w:sz w:val="16"/>
          <w:szCs w:val="16"/>
          <w:color w:val="auto"/>
        </w:rPr>
        <w:t>The number of shares of Capitala Finance Corp.’s common stock, $0.01 par value, outstanding as of May 11, 2015 was 16,477,242.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00" w:type="dxa"/>
            <w:vAlign w:val="bottom"/>
            <w:gridSpan w:val="9"/>
          </w:tcPr>
          <w:p>
            <w:pPr>
              <w:ind w:left="1100"/>
              <w:spacing w:after="0"/>
              <w:rPr>
                <w:sz w:val="20"/>
                <w:szCs w:val="20"/>
                <w:color w:val="auto"/>
              </w:rPr>
            </w:pPr>
            <w:r>
              <w:rPr>
                <w:rFonts w:ascii="Arial" w:cs="Arial" w:eastAsia="Arial" w:hAnsi="Arial"/>
                <w:sz w:val="18"/>
                <w:szCs w:val="18"/>
                <w:b w:val="1"/>
                <w:bCs w:val="1"/>
                <w:color w:val="auto"/>
              </w:rPr>
              <w:t>TABLE OF CONTENTS</w:t>
            </w:r>
          </w:p>
        </w:tc>
      </w:tr>
      <w:tr>
        <w:trPr>
          <w:trHeight w:val="82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8400" w:type="dxa"/>
            <w:vAlign w:val="bottom"/>
            <w:gridSpan w:val="1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9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5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Financial Statements</w:t>
              </w:r>
            </w:hyperlink>
          </w:p>
        </w:tc>
        <w:tc>
          <w:tcPr>
            <w:tcW w:w="5900" w:type="dxa"/>
            <w:vAlign w:val="bottom"/>
            <w:gridSpan w:val="9"/>
          </w:tcPr>
          <w:p>
            <w:pPr>
              <w:spacing w:after="0"/>
              <w:rPr>
                <w:sz w:val="24"/>
                <w:szCs w:val="24"/>
                <w:color w:val="auto"/>
              </w:rPr>
            </w:pPr>
          </w:p>
        </w:tc>
      </w:tr>
      <w:tr>
        <w:trPr>
          <w:trHeight w:val="399"/>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0" w:type="dxa"/>
            <w:vAlign w:val="bottom"/>
            <w:gridSpan w:val="19"/>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Consolidated Statements of Assets and Liabilities as of March 31, 2015 (unaudited) and December 31, 2014</w:t>
              </w:r>
            </w:hyperlink>
          </w:p>
        </w:tc>
      </w:tr>
      <w:tr>
        <w:trPr>
          <w:trHeight w:val="399"/>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three months ended March 31, 2015 and 2014 (unaudited)</w:t>
              </w:r>
            </w:hyperlink>
          </w:p>
        </w:tc>
        <w:tc>
          <w:tcPr>
            <w:tcW w:w="220" w:type="dxa"/>
            <w:vAlign w:val="bottom"/>
            <w:tcBorders>
              <w:top w:val="single" w:sz="8" w:color="0000EE"/>
            </w:tcBorders>
            <w:gridSpan w:val="2"/>
          </w:tcPr>
          <w:p>
            <w:pPr>
              <w:spacing w:after="0"/>
              <w:rPr>
                <w:sz w:val="24"/>
                <w:szCs w:val="24"/>
                <w:color w:val="auto"/>
              </w:rPr>
            </w:pPr>
          </w:p>
        </w:tc>
        <w:tc>
          <w:tcPr>
            <w:tcW w:w="620" w:type="dxa"/>
            <w:vAlign w:val="bottom"/>
          </w:tcPr>
          <w:p>
            <w:pPr>
              <w:spacing w:after="0"/>
              <w:rPr>
                <w:sz w:val="24"/>
                <w:szCs w:val="24"/>
                <w:color w:val="auto"/>
              </w:rPr>
            </w:pPr>
          </w:p>
        </w:tc>
      </w:tr>
      <w:tr>
        <w:trPr>
          <w:trHeight w:val="399"/>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Changes in Net Assets for the three months ended March 31, 2015 and 2014 (unaudited)</w:t>
              </w:r>
            </w:hyperlink>
          </w:p>
        </w:tc>
      </w:tr>
      <w:tr>
        <w:trPr>
          <w:trHeight w:val="399"/>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three months ended March 31, 2015 and 2014 (unaudited)</w:t>
              </w:r>
            </w:hyperlink>
          </w:p>
        </w:tc>
        <w:tc>
          <w:tcPr>
            <w:tcW w:w="780" w:type="dxa"/>
            <w:vAlign w:val="bottom"/>
            <w:gridSpan w:val="2"/>
          </w:tcPr>
          <w:p>
            <w:pPr>
              <w:spacing w:after="0"/>
              <w:rPr>
                <w:sz w:val="24"/>
                <w:szCs w:val="24"/>
                <w:color w:val="auto"/>
              </w:rPr>
            </w:pPr>
          </w:p>
        </w:tc>
      </w:tr>
      <w:tr>
        <w:trPr>
          <w:trHeight w:val="399"/>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March 31, 2015 (unaudited) and December 31, 2014</w:t>
              </w:r>
            </w:hyperlink>
          </w:p>
        </w:tc>
      </w:tr>
      <w:tr>
        <w:trPr>
          <w:trHeight w:val="399"/>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Notes to Consolidated Financial Statements as of March 31, 2015 (unaudited)</w:t>
              </w:r>
            </w:hyperlink>
          </w:p>
        </w:tc>
        <w:tc>
          <w:tcPr>
            <w:tcW w:w="1440" w:type="dxa"/>
            <w:vAlign w:val="bottom"/>
            <w:tcBorders>
              <w:top w:val="single" w:sz="8" w:color="0000EE"/>
            </w:tcBorders>
            <w:gridSpan w:val="2"/>
          </w:tcPr>
          <w:p>
            <w:pPr>
              <w:spacing w:after="0"/>
              <w:rPr>
                <w:sz w:val="24"/>
                <w:szCs w:val="24"/>
                <w:color w:val="auto"/>
              </w:rPr>
            </w:pPr>
          </w:p>
        </w:tc>
        <w:tc>
          <w:tcPr>
            <w:tcW w:w="1360" w:type="dxa"/>
            <w:vAlign w:val="bottom"/>
            <w:gridSpan w:val="4"/>
          </w:tcPr>
          <w:p>
            <w:pPr>
              <w:spacing w:after="0"/>
              <w:rPr>
                <w:sz w:val="24"/>
                <w:szCs w:val="24"/>
                <w:color w:val="auto"/>
              </w:rPr>
            </w:pPr>
          </w:p>
        </w:tc>
      </w:tr>
      <w:tr>
        <w:trPr>
          <w:trHeight w:val="39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Management’s Discussion and Analysis of Financial Condition and Results of Operations</w:t>
              </w:r>
            </w:hyperlink>
          </w:p>
        </w:tc>
        <w:tc>
          <w:tcPr>
            <w:tcW w:w="1940" w:type="dxa"/>
            <w:vAlign w:val="bottom"/>
            <w:gridSpan w:val="5"/>
          </w:tcPr>
          <w:p>
            <w:pPr>
              <w:spacing w:after="0"/>
              <w:rPr>
                <w:sz w:val="24"/>
                <w:szCs w:val="24"/>
                <w:color w:val="auto"/>
              </w:rPr>
            </w:pPr>
          </w:p>
        </w:tc>
      </w:tr>
      <w:tr>
        <w:trPr>
          <w:trHeight w:val="39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Quantitative and Qualitative Disclosures About Market Risk</w:t>
              </w:r>
            </w:hyperlink>
          </w:p>
        </w:tc>
        <w:tc>
          <w:tcPr>
            <w:tcW w:w="4040" w:type="dxa"/>
            <w:vAlign w:val="bottom"/>
            <w:gridSpan w:val="7"/>
          </w:tcPr>
          <w:p>
            <w:pPr>
              <w:spacing w:after="0"/>
              <w:rPr>
                <w:sz w:val="24"/>
                <w:szCs w:val="24"/>
                <w:color w:val="auto"/>
              </w:rPr>
            </w:pPr>
          </w:p>
        </w:tc>
      </w:tr>
      <w:tr>
        <w:trPr>
          <w:trHeight w:val="39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63">
              <w:r>
                <w:rPr>
                  <w:rFonts w:ascii="Arial" w:cs="Arial" w:eastAsia="Arial" w:hAnsi="Arial"/>
                  <w:sz w:val="18"/>
                  <w:szCs w:val="18"/>
                  <w:color w:val="0000EE"/>
                  <w:w w:val="88"/>
                </w:rPr>
                <w:t>Controls and Procedures</w:t>
              </w:r>
            </w:hyperlink>
          </w:p>
        </w:tc>
        <w:tc>
          <w:tcPr>
            <w:tcW w:w="6620" w:type="dxa"/>
            <w:vAlign w:val="bottom"/>
            <w:gridSpan w:val="13"/>
          </w:tcPr>
          <w:p>
            <w:pPr>
              <w:spacing w:after="0"/>
              <w:rPr>
                <w:sz w:val="24"/>
                <w:szCs w:val="24"/>
                <w:color w:val="auto"/>
              </w:rPr>
            </w:pPr>
          </w:p>
        </w:tc>
      </w:tr>
      <w:tr>
        <w:trPr>
          <w:trHeight w:val="399"/>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OTHER INFORMATION</w:t>
              </w:r>
            </w:hyperlink>
          </w:p>
        </w:tc>
        <w:tc>
          <w:tcPr>
            <w:tcW w:w="6380" w:type="dxa"/>
            <w:vAlign w:val="bottom"/>
            <w:gridSpan w:val="12"/>
          </w:tcPr>
          <w:p>
            <w:pPr>
              <w:spacing w:after="0"/>
              <w:rPr>
                <w:sz w:val="24"/>
                <w:szCs w:val="24"/>
                <w:color w:val="auto"/>
              </w:rPr>
            </w:pPr>
          </w:p>
        </w:tc>
      </w:tr>
      <w:tr>
        <w:trPr>
          <w:trHeight w:val="39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64">
              <w:r>
                <w:rPr>
                  <w:rFonts w:ascii="Arial" w:cs="Arial" w:eastAsia="Arial" w:hAnsi="Arial"/>
                  <w:sz w:val="18"/>
                  <w:szCs w:val="18"/>
                  <w:color w:val="0000EE"/>
                  <w:w w:val="88"/>
                </w:rPr>
                <w:t>Legal Proceedings</w:t>
              </w:r>
            </w:hyperlink>
          </w:p>
        </w:tc>
        <w:tc>
          <w:tcPr>
            <w:tcW w:w="7060" w:type="dxa"/>
            <w:vAlign w:val="bottom"/>
            <w:gridSpan w:val="15"/>
          </w:tcPr>
          <w:p>
            <w:pPr>
              <w:spacing w:after="0"/>
              <w:rPr>
                <w:sz w:val="24"/>
                <w:szCs w:val="24"/>
                <w:color w:val="auto"/>
              </w:rPr>
            </w:pPr>
          </w:p>
        </w:tc>
      </w:tr>
      <w:tr>
        <w:trPr>
          <w:trHeight w:val="399"/>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400" w:type="dxa"/>
            <w:vAlign w:val="bottom"/>
            <w:gridSpan w:val="1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Risk Factors</w:t>
              </w:r>
            </w:hyperlink>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060" w:type="dxa"/>
            <w:vAlign w:val="bottom"/>
            <w:gridSpan w:val="8"/>
          </w:tcPr>
          <w:p>
            <w:pPr>
              <w:spacing w:after="0" w:line="20" w:lineRule="exact"/>
              <w:rPr>
                <w:sz w:val="1"/>
                <w:szCs w:val="1"/>
                <w:color w:val="auto"/>
              </w:rPr>
            </w:pPr>
          </w:p>
        </w:tc>
      </w:tr>
      <w:tr>
        <w:trPr>
          <w:trHeight w:val="39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400" w:type="dxa"/>
            <w:vAlign w:val="bottom"/>
            <w:gridSpan w:val="1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Unregistered Sales of Equity Securities and Use of Proceeds</w:t>
              </w:r>
            </w:hyperlink>
          </w:p>
        </w:tc>
      </w:tr>
      <w:tr>
        <w:trPr>
          <w:trHeight w:val="39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1"/>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Defaults upon Senior Securities</w:t>
              </w:r>
            </w:hyperlink>
          </w:p>
        </w:tc>
        <w:tc>
          <w:tcPr>
            <w:tcW w:w="4060" w:type="dxa"/>
            <w:vAlign w:val="bottom"/>
            <w:gridSpan w:val="8"/>
          </w:tcPr>
          <w:p>
            <w:pPr>
              <w:spacing w:after="0"/>
              <w:rPr>
                <w:sz w:val="24"/>
                <w:szCs w:val="24"/>
                <w:color w:val="auto"/>
              </w:rPr>
            </w:pPr>
          </w:p>
        </w:tc>
      </w:tr>
      <w:tr>
        <w:trPr>
          <w:trHeight w:val="39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280" w:type="dxa"/>
            <w:vAlign w:val="bottom"/>
            <w:tcBorders>
              <w:top w:val="single" w:sz="8" w:color="0000EE"/>
            </w:tcBorders>
            <w:gridSpan w:val="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Mine Safety Disclosures</w:t>
              </w:r>
            </w:hyperlink>
          </w:p>
        </w:tc>
        <w:tc>
          <w:tcPr>
            <w:tcW w:w="6120" w:type="dxa"/>
            <w:vAlign w:val="bottom"/>
            <w:gridSpan w:val="11"/>
          </w:tcPr>
          <w:p>
            <w:pPr>
              <w:spacing w:after="0"/>
              <w:rPr>
                <w:sz w:val="24"/>
                <w:szCs w:val="24"/>
                <w:color w:val="auto"/>
              </w:rPr>
            </w:pPr>
          </w:p>
        </w:tc>
      </w:tr>
      <w:tr>
        <w:trPr>
          <w:trHeight w:val="399"/>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6640" w:type="dxa"/>
            <w:vAlign w:val="bottom"/>
            <w:gridSpan w:val="14"/>
          </w:tcPr>
          <w:p>
            <w:pPr>
              <w:spacing w:after="0"/>
              <w:rPr>
                <w:sz w:val="24"/>
                <w:szCs w:val="24"/>
                <w:color w:val="auto"/>
              </w:rPr>
            </w:pPr>
          </w:p>
        </w:tc>
      </w:tr>
      <w:tr>
        <w:trPr>
          <w:trHeight w:val="399"/>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400" w:type="dxa"/>
            <w:vAlign w:val="bottom"/>
            <w:gridSpan w:val="1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r>
      <w:tr>
        <w:trPr>
          <w:trHeight w:val="399"/>
        </w:trPr>
        <w:tc>
          <w:tcPr>
            <w:tcW w:w="1160" w:type="dxa"/>
            <w:vAlign w:val="bottom"/>
            <w:gridSpan w:val="2"/>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655"/>
        </w:trPr>
        <w:tc>
          <w:tcPr>
            <w:tcW w:w="7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5600" w:type="dxa"/>
            <w:vAlign w:val="bottom"/>
            <w:gridSpan w:val="13"/>
          </w:tcPr>
          <w:p>
            <w:pPr>
              <w:ind w:left="450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-5590540</wp:posOffset>
            </wp:positionV>
            <wp:extent cx="72466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-5325110</wp:posOffset>
            </wp:positionV>
            <wp:extent cx="72466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-5059045</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-4792980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-4261485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-3995420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-3729990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-3463925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-3197860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-2932430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-2666365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-2134870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-1868805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-1602740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-1337310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17145</wp:posOffset>
            </wp:positionV>
            <wp:extent cx="7200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ectPr>
          <w:pgSz w:w="11900" w:h="16838" w:orient="portrait"/>
          <w:cols w:equalWidth="0" w:num="2">
            <w:col w:w="9940" w:space="720"/>
            <w:col w:w="760"/>
          </w:cols>
          <w:pgMar w:left="240" w:top="8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60" w:type="dxa"/>
            <w:vAlign w:val="bottom"/>
          </w:tcPr>
          <w:p>
            <w:pPr>
              <w:jc w:val="center"/>
              <w:ind w:left="313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60" w:type="dxa"/>
            <w:vAlign w:val="bottom"/>
          </w:tcPr>
          <w:p>
            <w:pPr>
              <w:jc w:val="center"/>
              <w:ind w:left="3150"/>
              <w:spacing w:after="0"/>
              <w:rPr>
                <w:sz w:val="20"/>
                <w:szCs w:val="20"/>
                <w:color w:val="auto"/>
              </w:rPr>
            </w:pPr>
            <w:r>
              <w:rPr>
                <w:rFonts w:ascii="Arial" w:cs="Arial" w:eastAsia="Arial" w:hAnsi="Arial"/>
                <w:sz w:val="18"/>
                <w:szCs w:val="18"/>
                <w:b w:val="1"/>
                <w:bCs w:val="1"/>
                <w:color w:val="auto"/>
                <w:w w:val="92"/>
              </w:rPr>
              <w:t>Capitala Finance Corp.</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60" w:type="dxa"/>
            <w:vAlign w:val="bottom"/>
          </w:tcPr>
          <w:p>
            <w:pPr>
              <w:jc w:val="center"/>
              <w:ind w:left="313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60" w:type="dxa"/>
            <w:vAlign w:val="bottom"/>
          </w:tcPr>
          <w:p>
            <w:pPr>
              <w:jc w:val="center"/>
              <w:ind w:left="31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As of</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6"/>
          </w:tcPr>
          <w:p>
            <w:pPr>
              <w:jc w:val="right"/>
              <w:spacing w:after="0"/>
              <w:rPr>
                <w:sz w:val="20"/>
                <w:szCs w:val="20"/>
                <w:color w:val="auto"/>
              </w:rPr>
            </w:pPr>
            <w:r>
              <w:rPr>
                <w:rFonts w:ascii="Arial" w:cs="Arial" w:eastAsia="Arial" w:hAnsi="Arial"/>
                <w:sz w:val="18"/>
                <w:szCs w:val="18"/>
                <w:b w:val="1"/>
                <w:bCs w:val="1"/>
                <w:color w:val="auto"/>
                <w:w w:val="95"/>
              </w:rPr>
              <w:t>March 31, 2015   December 31, 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4"/>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Non-control/non-affiliate investments (amortized cost of $256,792 and $219,163, respectively)</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278,690</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236,804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 (amortized cost of $156,307 and $154,552, respectively)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173,585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171,471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Control investments (amortized cost of $70,936 and $67,440, respectively)</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66,652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72,062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investments at fair value (amortized cost of $484,035 and $441,155, respectively)</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518,927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32,007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receivable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 (net of accumulated amortization of $3,755 and $3,288, respectively)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566,975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549,866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192,200</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Notes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113,438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113,438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Distribution payable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5,840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Management and incentive fee payable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328,803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tcPr>
          <w:p>
            <w:pPr>
              <w:spacing w:after="0" w:line="201" w:lineRule="exact"/>
              <w:rPr>
                <w:sz w:val="20"/>
                <w:szCs w:val="20"/>
                <w:color w:val="auto"/>
              </w:rPr>
            </w:pPr>
            <w:r>
              <w:rPr>
                <w:rFonts w:ascii="Arial" w:cs="Arial" w:eastAsia="Arial" w:hAnsi="Arial"/>
                <w:sz w:val="18"/>
                <w:szCs w:val="18"/>
                <w:color w:val="auto"/>
                <w:w w:val="92"/>
              </w:rPr>
              <w:t>Common stock, par value $.01, 100,000,000 common shares authorized, 12,977,242 and 12,974,420 common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tcPr>
          <w:p>
            <w:pPr>
              <w:ind w:left="120"/>
              <w:spacing w:after="0"/>
              <w:rPr>
                <w:sz w:val="20"/>
                <w:szCs w:val="20"/>
                <w:color w:val="auto"/>
              </w:rPr>
            </w:pPr>
            <w:r>
              <w:rPr>
                <w:rFonts w:ascii="Arial" w:cs="Arial" w:eastAsia="Arial" w:hAnsi="Arial"/>
                <w:sz w:val="18"/>
                <w:szCs w:val="18"/>
                <w:color w:val="auto"/>
              </w:rPr>
              <w:t>shares issued and outstanding, respectively</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188,458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Accumulated undistributed net investment income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11,033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Accumulated undistributed net realized gain from investments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Net unrealized appreciation on investments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34,892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39,182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net assets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238,172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net assets</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566,975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60" w:type="dxa"/>
            <w:vAlign w:val="bottom"/>
          </w:tcPr>
          <w:p>
            <w:pPr>
              <w:jc w:val="center"/>
              <w:ind w:left="315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60" w:type="dxa"/>
            <w:vAlign w:val="bottom"/>
            <w:tcBorders>
              <w:bottom w:val="single" w:sz="8" w:color="auto"/>
            </w:tcBorders>
          </w:tcPr>
          <w:p>
            <w:pPr>
              <w:jc w:val="center"/>
              <w:ind w:left="3130"/>
              <w:spacing w:after="0"/>
              <w:rPr>
                <w:sz w:val="20"/>
                <w:szCs w:val="20"/>
                <w:color w:val="auto"/>
              </w:rPr>
            </w:pPr>
            <w:r>
              <w:rPr>
                <w:rFonts w:ascii="Arial" w:cs="Arial" w:eastAsia="Arial" w:hAnsi="Arial"/>
                <w:sz w:val="18"/>
                <w:szCs w:val="18"/>
                <w:color w:val="auto"/>
                <w:w w:val="99"/>
              </w:rPr>
              <w:t>3</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40" w:type="dxa"/>
            <w:vAlign w:val="bottom"/>
          </w:tcPr>
          <w:p>
            <w:pPr>
              <w:jc w:val="center"/>
              <w:ind w:left="2970"/>
              <w:spacing w:after="0"/>
              <w:rPr>
                <w:sz w:val="20"/>
                <w:szCs w:val="20"/>
                <w:color w:val="auto"/>
              </w:rPr>
            </w:pPr>
            <w:r>
              <w:rPr>
                <w:rFonts w:ascii="Arial" w:cs="Arial" w:eastAsia="Arial" w:hAnsi="Arial"/>
                <w:sz w:val="18"/>
                <w:szCs w:val="18"/>
                <w:b w:val="1"/>
                <w:bCs w:val="1"/>
                <w:color w:val="auto"/>
                <w:w w:val="92"/>
              </w:rPr>
              <w:t>Capitala Finance Corp.</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340" w:type="dxa"/>
            <w:vAlign w:val="bottom"/>
          </w:tcPr>
          <w:p>
            <w:pPr>
              <w:jc w:val="center"/>
              <w:ind w:left="297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jc w:val="center"/>
              <w:ind w:left="295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tcPr>
          <w:p>
            <w:pPr>
              <w:jc w:val="center"/>
              <w:ind w:left="2950"/>
              <w:spacing w:after="0"/>
              <w:rPr>
                <w:sz w:val="20"/>
                <w:szCs w:val="20"/>
                <w:color w:val="auto"/>
              </w:rPr>
            </w:pPr>
            <w:r>
              <w:rPr>
                <w:rFonts w:ascii="Arial" w:cs="Arial" w:eastAsia="Arial" w:hAnsi="Arial"/>
                <w:sz w:val="18"/>
                <w:szCs w:val="18"/>
                <w:b w:val="1"/>
                <w:bCs w:val="1"/>
                <w:color w:val="auto"/>
                <w:w w:val="91"/>
              </w:rPr>
              <w:t>(unaudited)</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3060" w:type="dxa"/>
            <w:vAlign w:val="bottom"/>
            <w:gridSpan w:val="6"/>
          </w:tcPr>
          <w:p>
            <w:pPr>
              <w:spacing w:after="0"/>
              <w:rPr>
                <w:sz w:val="20"/>
                <w:szCs w:val="20"/>
                <w:color w:val="auto"/>
              </w:rPr>
            </w:pPr>
            <w:r>
              <w:rPr>
                <w:rFonts w:ascii="Arial" w:cs="Arial" w:eastAsia="Arial" w:hAnsi="Arial"/>
                <w:sz w:val="18"/>
                <w:szCs w:val="18"/>
                <w:b w:val="1"/>
                <w:bCs w:val="1"/>
                <w:color w:val="auto"/>
                <w:w w:val="93"/>
              </w:rPr>
              <w:t>For the 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Interest and fee income:</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7,675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8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3,591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8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1,639</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interest and fee income</w:t>
            </w:r>
          </w:p>
        </w:tc>
        <w:tc>
          <w:tcPr>
            <w:tcW w:w="8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12,905</w:t>
            </w:r>
          </w:p>
        </w:tc>
        <w:tc>
          <w:tcPr>
            <w:tcW w:w="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Non-control/Non-affiliate investments</w:t>
            </w:r>
          </w:p>
        </w:tc>
        <w:tc>
          <w:tcPr>
            <w:tcW w:w="8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314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Control investments</w:t>
            </w:r>
          </w:p>
        </w:tc>
        <w:tc>
          <w:tcPr>
            <w:tcW w:w="86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payment-in-kind interest and dividend income</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Dividend income:</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8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8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dividend income</w:t>
            </w:r>
          </w:p>
        </w:tc>
        <w:tc>
          <w:tcPr>
            <w:tcW w:w="8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cash and cash equivalents</w:t>
            </w: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investment income</w:t>
            </w: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14,041</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EXPENSES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Base management fee</w:t>
            </w:r>
          </w:p>
        </w:tc>
        <w:tc>
          <w:tcPr>
            <w:tcW w:w="8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2,410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8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275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8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722</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Expenses before management fee waiver</w:t>
            </w: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9,224</w:t>
            </w: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 fee waiver (See Note 5)</w:t>
            </w:r>
          </w:p>
        </w:tc>
        <w:tc>
          <w:tcPr>
            <w:tcW w:w="8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expenses net of management fee waiver</w:t>
            </w:r>
          </w:p>
        </w:tc>
        <w:tc>
          <w:tcPr>
            <w:tcW w:w="8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9,224</w:t>
            </w:r>
          </w:p>
        </w:tc>
        <w:tc>
          <w:tcPr>
            <w:tcW w:w="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86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4,817</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864" w:right="239" w:bottom="1440" w:gutter="0" w:footer="0" w:header="0"/>
        </w:sectPr>
      </w:pPr>
    </w:p>
    <w:p>
      <w:pPr>
        <w:spacing w:after="0"/>
        <w:rPr>
          <w:sz w:val="20"/>
          <w:szCs w:val="20"/>
          <w:color w:val="auto"/>
        </w:rPr>
      </w:pPr>
      <w:r>
        <w:rPr>
          <w:rFonts w:ascii="Arial" w:cs="Arial" w:eastAsia="Arial" w:hAnsi="Arial"/>
          <w:sz w:val="17"/>
          <w:szCs w:val="17"/>
          <w:color w:val="auto"/>
        </w:rPr>
        <w:t>REALIZED AND UNREALIZED GAIN (LOSS) ON INVESTMENTS: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 realized gain from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Non-control/Non-affiliate investments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Control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realized gain from investments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unrealized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Net gain (loss) on investments</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1360" w:type="dxa"/>
            <w:vAlign w:val="bottom"/>
          </w:tcPr>
          <w:p>
            <w:pPr>
              <w:jc w:val="right"/>
              <w:spacing w:after="0"/>
              <w:rPr>
                <w:sz w:val="20"/>
                <w:szCs w:val="20"/>
                <w:color w:val="auto"/>
              </w:rPr>
            </w:pPr>
            <w:r>
              <w:rPr>
                <w:rFonts w:ascii="Arial" w:cs="Arial" w:eastAsia="Arial" w:hAnsi="Arial"/>
                <w:sz w:val="18"/>
                <w:szCs w:val="18"/>
                <w:color w:val="auto"/>
              </w:rPr>
              <w:t>1,158</w:t>
            </w:r>
          </w:p>
        </w:tc>
        <w:tc>
          <w:tcPr>
            <w:tcW w:w="60" w:type="dxa"/>
            <w:vAlign w:val="bottom"/>
          </w:tcPr>
          <w:p>
            <w:pPr>
              <w:spacing w:after="0"/>
              <w:rPr>
                <w:sz w:val="19"/>
                <w:szCs w:val="19"/>
                <w:color w:val="auto"/>
              </w:rPr>
            </w:pPr>
          </w:p>
        </w:tc>
      </w:tr>
      <w:tr>
        <w:trPr>
          <w:trHeight w:val="230"/>
        </w:trPr>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9,312</w:t>
            </w:r>
          </w:p>
        </w:tc>
        <w:tc>
          <w:tcPr>
            <w:tcW w:w="136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0"/>
                <w:szCs w:val="20"/>
                <w:color w:val="auto"/>
              </w:rPr>
            </w:pPr>
          </w:p>
        </w:tc>
      </w:tr>
      <w:tr>
        <w:trPr>
          <w:trHeight w:val="195"/>
        </w:trPr>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9,340</w:t>
            </w:r>
          </w:p>
        </w:tc>
        <w:tc>
          <w:tcPr>
            <w:tcW w:w="240" w:type="dxa"/>
            <w:vAlign w:val="bottom"/>
          </w:tcPr>
          <w:p>
            <w:pPr>
              <w:spacing w:after="0"/>
              <w:rPr>
                <w:sz w:val="16"/>
                <w:szCs w:val="16"/>
                <w:color w:val="auto"/>
              </w:rPr>
            </w:pP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1,220</w:t>
            </w:r>
          </w:p>
        </w:tc>
        <w:tc>
          <w:tcPr>
            <w:tcW w:w="60" w:type="dxa"/>
            <w:vAlign w:val="bottom"/>
          </w:tcPr>
          <w:p>
            <w:pPr>
              <w:spacing w:after="0"/>
              <w:rPr>
                <w:sz w:val="16"/>
                <w:szCs w:val="16"/>
                <w:color w:val="auto"/>
              </w:rPr>
            </w:pPr>
          </w:p>
        </w:tc>
      </w:tr>
      <w:tr>
        <w:trPr>
          <w:trHeight w:val="244"/>
        </w:trPr>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(4,290)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(5,723)</w:t>
            </w:r>
          </w:p>
        </w:tc>
      </w:tr>
      <w:tr>
        <w:trPr>
          <w:trHeight w:val="210"/>
        </w:trPr>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5,050</w:t>
            </w:r>
          </w:p>
        </w:tc>
        <w:tc>
          <w:tcPr>
            <w:tcW w:w="24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p>
    <w:p>
      <w:pPr>
        <w:sectPr>
          <w:pgSz w:w="11900" w:h="16838" w:orient="portrait"/>
          <w:cols w:equalWidth="0" w:num="2">
            <w:col w:w="7640" w:space="720"/>
            <w:col w:w="3060"/>
          </w:cols>
          <w:pgMar w:left="240" w:top="86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36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9,867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340" w:type="dxa"/>
            <w:vAlign w:val="bottom"/>
          </w:tcPr>
          <w:p>
            <w:pPr>
              <w:spacing w:after="0" w:line="201" w:lineRule="exact"/>
              <w:rPr>
                <w:sz w:val="20"/>
                <w:szCs w:val="20"/>
                <w:color w:val="auto"/>
              </w:rPr>
            </w:pPr>
            <w:r>
              <w:rPr>
                <w:rFonts w:ascii="Arial" w:cs="Arial" w:eastAsia="Arial" w:hAnsi="Arial"/>
                <w:sz w:val="18"/>
                <w:szCs w:val="18"/>
                <w:color w:val="auto"/>
              </w:rPr>
              <w:t>NET INCREASE IN NET ASSETS PER SHARE RESULTING FROM OPERATIONS – BASIC AND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0.76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WEIGHTED AVERAGE COMMON STOCK OUTSTANDING - BASIC AND DILUTED</w:t>
            </w:r>
          </w:p>
        </w:tc>
        <w:tc>
          <w:tcPr>
            <w:tcW w:w="3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12,974,483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12,974,420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DISTRIBUTIONS DECLARED AND PAID PER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0.52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DISTRIBUTIONS DECLARED AND PAYABLE PER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0.45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340" w:type="dxa"/>
            <w:vAlign w:val="bottom"/>
          </w:tcPr>
          <w:p>
            <w:pPr>
              <w:jc w:val="right"/>
              <w:ind w:right="290"/>
              <w:spacing w:after="0"/>
              <w:rPr>
                <w:sz w:val="20"/>
                <w:szCs w:val="20"/>
                <w:color w:val="auto"/>
              </w:rPr>
            </w:pPr>
            <w:r>
              <w:rPr>
                <w:rFonts w:ascii="Arial" w:cs="Arial" w:eastAsia="Arial" w:hAnsi="Arial"/>
                <w:sz w:val="18"/>
                <w:szCs w:val="18"/>
                <w:color w:val="auto"/>
              </w:rPr>
              <w:t>See accompanying notes to consolidated financial statements.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8340" w:type="dxa"/>
            <w:vAlign w:val="bottom"/>
            <w:tcBorders>
              <w:bottom w:val="single" w:sz="8" w:color="auto"/>
            </w:tcBorders>
          </w:tcPr>
          <w:p>
            <w:pPr>
              <w:jc w:val="right"/>
              <w:ind w:right="2510"/>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4" w:right="239" w:bottom="1440" w:gutter="0" w:footer="0" w:header="0"/>
          <w:type w:val="continuous"/>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Consolidated Statements of Changes in Net Assets</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360"/>
          </w:cols>
          <w:pgMar w:left="240" w:top="864" w:right="299" w:bottom="1440" w:gutter="0" w:footer="0" w:header="0"/>
        </w:sect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3"/>
              </w:rPr>
              <w:t>Additional</w:t>
            </w:r>
          </w:p>
        </w:tc>
        <w:tc>
          <w:tcPr>
            <w:tcW w:w="280" w:type="dxa"/>
            <w:vAlign w:val="bottom"/>
          </w:tcPr>
          <w:p>
            <w:pPr>
              <w:spacing w:after="0"/>
              <w:rPr>
                <w:sz w:val="14"/>
                <w:szCs w:val="14"/>
                <w:color w:val="auto"/>
              </w:rPr>
            </w:pPr>
          </w:p>
        </w:tc>
      </w:tr>
      <w:tr>
        <w:trPr>
          <w:trHeight w:val="200"/>
        </w:trPr>
        <w:tc>
          <w:tcPr>
            <w:tcW w:w="208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7"/>
                <w:szCs w:val="17"/>
                <w:color w:val="auto"/>
              </w:rPr>
            </w:pPr>
          </w:p>
        </w:tc>
        <w:tc>
          <w:tcPr>
            <w:tcW w:w="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Par</w:t>
            </w:r>
          </w:p>
        </w:tc>
        <w:tc>
          <w:tcPr>
            <w:tcW w:w="6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Paid in</w:t>
            </w:r>
          </w:p>
        </w:tc>
        <w:tc>
          <w:tcPr>
            <w:tcW w:w="280" w:type="dxa"/>
            <w:vAlign w:val="bottom"/>
          </w:tcPr>
          <w:p>
            <w:pPr>
              <w:spacing w:after="0"/>
              <w:rPr>
                <w:sz w:val="17"/>
                <w:szCs w:val="17"/>
                <w:color w:val="auto"/>
              </w:rPr>
            </w:pPr>
          </w:p>
        </w:tc>
      </w:tr>
      <w:tr>
        <w:trPr>
          <w:trHeight w:val="186"/>
        </w:trPr>
        <w:tc>
          <w:tcPr>
            <w:tcW w:w="2080" w:type="dxa"/>
            <w:vAlign w:val="bottom"/>
          </w:tcPr>
          <w:p>
            <w:pPr>
              <w:spacing w:after="0"/>
              <w:rPr>
                <w:sz w:val="16"/>
                <w:szCs w:val="16"/>
                <w:color w:val="auto"/>
              </w:rPr>
            </w:pP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6"/>
                <w:szCs w:val="16"/>
                <w:color w:val="auto"/>
              </w:rPr>
            </w:pPr>
          </w:p>
        </w:tc>
      </w:tr>
      <w:tr>
        <w:trPr>
          <w:trHeight w:val="26"/>
        </w:trPr>
        <w:tc>
          <w:tcPr>
            <w:tcW w:w="2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441"/>
        </w:trPr>
        <w:tc>
          <w:tcPr>
            <w:tcW w:w="2080" w:type="dxa"/>
            <w:vAlign w:val="bottom"/>
          </w:tcPr>
          <w:p>
            <w:pPr>
              <w:spacing w:after="0"/>
              <w:rPr>
                <w:sz w:val="20"/>
                <w:szCs w:val="20"/>
                <w:color w:val="auto"/>
              </w:rPr>
            </w:pPr>
            <w:r>
              <w:rPr>
                <w:rFonts w:ascii="Arial" w:cs="Arial" w:eastAsia="Arial" w:hAnsi="Arial"/>
                <w:sz w:val="14"/>
                <w:szCs w:val="14"/>
                <w:color w:val="auto"/>
              </w:rPr>
              <w:t>BALANCE, December 31, 2013</w:t>
            </w:r>
          </w:p>
        </w:tc>
        <w:tc>
          <w:tcPr>
            <w:tcW w:w="1040" w:type="dxa"/>
            <w:vAlign w:val="bottom"/>
          </w:tcPr>
          <w:p>
            <w:pPr>
              <w:jc w:val="right"/>
              <w:spacing w:after="0"/>
              <w:rPr>
                <w:sz w:val="20"/>
                <w:szCs w:val="20"/>
                <w:color w:val="auto"/>
              </w:rPr>
            </w:pPr>
            <w:r>
              <w:rPr>
                <w:rFonts w:ascii="Arial" w:cs="Arial" w:eastAsia="Arial" w:hAnsi="Arial"/>
                <w:sz w:val="14"/>
                <w:szCs w:val="14"/>
                <w:color w:val="auto"/>
              </w:rPr>
              <w:t>12,974,420</w:t>
            </w:r>
          </w:p>
        </w:tc>
        <w:tc>
          <w:tcPr>
            <w:tcW w:w="2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130</w:t>
            </w:r>
          </w:p>
        </w:tc>
        <w:tc>
          <w:tcPr>
            <w:tcW w:w="2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188,408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2080" w:type="dxa"/>
            <w:vAlign w:val="bottom"/>
          </w:tcPr>
          <w:p>
            <w:pPr>
              <w:ind w:left="180"/>
              <w:spacing w:after="0"/>
              <w:rPr>
                <w:sz w:val="20"/>
                <w:szCs w:val="20"/>
                <w:color w:val="auto"/>
              </w:rPr>
            </w:pPr>
            <w:r>
              <w:rPr>
                <w:rFonts w:ascii="Arial" w:cs="Arial" w:eastAsia="Arial" w:hAnsi="Arial"/>
                <w:sz w:val="14"/>
                <w:szCs w:val="14"/>
                <w:color w:val="auto"/>
              </w:rPr>
              <w:t>Net investment income</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r>
      <w:tr>
        <w:trPr>
          <w:trHeight w:val="216"/>
        </w:trPr>
        <w:tc>
          <w:tcPr>
            <w:tcW w:w="2080" w:type="dxa"/>
            <w:vAlign w:val="bottom"/>
          </w:tcPr>
          <w:p>
            <w:pPr>
              <w:ind w:left="180"/>
              <w:spacing w:after="0"/>
              <w:rPr>
                <w:sz w:val="20"/>
                <w:szCs w:val="20"/>
                <w:color w:val="auto"/>
              </w:rPr>
            </w:pPr>
            <w:r>
              <w:rPr>
                <w:rFonts w:ascii="Arial" w:cs="Arial" w:eastAsia="Arial" w:hAnsi="Arial"/>
                <w:sz w:val="14"/>
                <w:szCs w:val="14"/>
                <w:color w:val="auto"/>
              </w:rPr>
              <w:t>Net realized gain on</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82"/>
        </w:trPr>
        <w:tc>
          <w:tcPr>
            <w:tcW w:w="2080" w:type="dxa"/>
            <w:vAlign w:val="bottom"/>
          </w:tcPr>
          <w:p>
            <w:pPr>
              <w:ind w:left="180"/>
              <w:spacing w:after="0"/>
              <w:rPr>
                <w:sz w:val="20"/>
                <w:szCs w:val="20"/>
                <w:color w:val="auto"/>
              </w:rPr>
            </w:pPr>
            <w:r>
              <w:rPr>
                <w:rFonts w:ascii="Arial" w:cs="Arial" w:eastAsia="Arial" w:hAnsi="Arial"/>
                <w:sz w:val="14"/>
                <w:szCs w:val="14"/>
                <w:color w:val="auto"/>
              </w:rPr>
              <w:t>portfolio investments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49"/>
        </w:trPr>
        <w:tc>
          <w:tcPr>
            <w:tcW w:w="2080" w:type="dxa"/>
            <w:vAlign w:val="bottom"/>
          </w:tcPr>
          <w:p>
            <w:pPr>
              <w:ind w:left="180"/>
              <w:spacing w:after="0" w:line="149" w:lineRule="exact"/>
              <w:rPr>
                <w:sz w:val="20"/>
                <w:szCs w:val="20"/>
                <w:color w:val="auto"/>
              </w:rPr>
            </w:pPr>
            <w:r>
              <w:rPr>
                <w:rFonts w:ascii="Arial" w:cs="Arial" w:eastAsia="Arial" w:hAnsi="Arial"/>
                <w:sz w:val="14"/>
                <w:szCs w:val="14"/>
                <w:color w:val="auto"/>
              </w:rPr>
              <w:t>Net change in unrealized</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9"/>
        </w:trPr>
        <w:tc>
          <w:tcPr>
            <w:tcW w:w="2080" w:type="dxa"/>
            <w:vAlign w:val="bottom"/>
          </w:tcPr>
          <w:p>
            <w:pPr>
              <w:ind w:left="180"/>
              <w:spacing w:after="0" w:line="149" w:lineRule="exact"/>
              <w:rPr>
                <w:sz w:val="20"/>
                <w:szCs w:val="20"/>
                <w:color w:val="auto"/>
              </w:rPr>
            </w:pPr>
            <w:r>
              <w:rPr>
                <w:rFonts w:ascii="Arial" w:cs="Arial" w:eastAsia="Arial" w:hAnsi="Arial"/>
                <w:sz w:val="14"/>
                <w:szCs w:val="14"/>
                <w:color w:val="auto"/>
              </w:rPr>
              <w:t>appreciation/(depreciation) on</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82"/>
        </w:trPr>
        <w:tc>
          <w:tcPr>
            <w:tcW w:w="2080" w:type="dxa"/>
            <w:vAlign w:val="bottom"/>
          </w:tcPr>
          <w:p>
            <w:pPr>
              <w:ind w:left="180"/>
              <w:spacing w:after="0"/>
              <w:rPr>
                <w:sz w:val="20"/>
                <w:szCs w:val="20"/>
                <w:color w:val="auto"/>
              </w:rPr>
            </w:pPr>
            <w:r>
              <w:rPr>
                <w:rFonts w:ascii="Arial" w:cs="Arial" w:eastAsia="Arial" w:hAnsi="Arial"/>
                <w:sz w:val="14"/>
                <w:szCs w:val="14"/>
                <w:color w:val="auto"/>
              </w:rPr>
              <w:t>portfolio investments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201"/>
        </w:trPr>
        <w:tc>
          <w:tcPr>
            <w:tcW w:w="2080" w:type="dxa"/>
            <w:vAlign w:val="bottom"/>
          </w:tcPr>
          <w:p>
            <w:pPr>
              <w:ind w:left="180"/>
              <w:spacing w:after="0"/>
              <w:rPr>
                <w:sz w:val="20"/>
                <w:szCs w:val="20"/>
                <w:color w:val="auto"/>
              </w:rPr>
            </w:pPr>
            <w:r>
              <w:rPr>
                <w:rFonts w:ascii="Arial" w:cs="Arial" w:eastAsia="Arial" w:hAnsi="Arial"/>
                <w:sz w:val="14"/>
                <w:szCs w:val="14"/>
                <w:color w:val="auto"/>
              </w:rPr>
              <w:t>Distributions declared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r>
      <w:tr>
        <w:trPr>
          <w:trHeight w:val="210"/>
        </w:trPr>
        <w:tc>
          <w:tcPr>
            <w:tcW w:w="2080" w:type="dxa"/>
            <w:vAlign w:val="bottom"/>
          </w:tcPr>
          <w:p>
            <w:pPr>
              <w:spacing w:after="0"/>
              <w:rPr>
                <w:sz w:val="20"/>
                <w:szCs w:val="20"/>
                <w:color w:val="auto"/>
              </w:rPr>
            </w:pPr>
            <w:r>
              <w:rPr>
                <w:rFonts w:ascii="Arial" w:cs="Arial" w:eastAsia="Arial" w:hAnsi="Arial"/>
                <w:sz w:val="14"/>
                <w:szCs w:val="14"/>
                <w:color w:val="auto"/>
              </w:rPr>
              <w:t>BALANCE, March 31, 2014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12,974,420</w:t>
            </w: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24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188,408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28"/>
        </w:trPr>
        <w:tc>
          <w:tcPr>
            <w:tcW w:w="2080" w:type="dxa"/>
            <w:vAlign w:val="bottom"/>
          </w:tcPr>
          <w:p>
            <w:pPr>
              <w:spacing w:after="0"/>
              <w:rPr>
                <w:sz w:val="20"/>
                <w:szCs w:val="20"/>
                <w:color w:val="auto"/>
              </w:rPr>
            </w:pPr>
            <w:r>
              <w:rPr>
                <w:rFonts w:ascii="Arial" w:cs="Arial" w:eastAsia="Arial" w:hAnsi="Arial"/>
                <w:sz w:val="14"/>
                <w:szCs w:val="14"/>
                <w:color w:val="auto"/>
              </w:rPr>
              <w:t>BALANCE, December 31, 2014</w:t>
            </w:r>
          </w:p>
        </w:tc>
        <w:tc>
          <w:tcPr>
            <w:tcW w:w="1040" w:type="dxa"/>
            <w:vAlign w:val="bottom"/>
          </w:tcPr>
          <w:p>
            <w:pPr>
              <w:jc w:val="right"/>
              <w:spacing w:after="0"/>
              <w:rPr>
                <w:sz w:val="20"/>
                <w:szCs w:val="20"/>
                <w:color w:val="auto"/>
              </w:rPr>
            </w:pPr>
            <w:r>
              <w:rPr>
                <w:rFonts w:ascii="Arial" w:cs="Arial" w:eastAsia="Arial" w:hAnsi="Arial"/>
                <w:sz w:val="14"/>
                <w:szCs w:val="14"/>
                <w:color w:val="auto"/>
              </w:rPr>
              <w:t>12,974,420</w:t>
            </w:r>
          </w:p>
        </w:tc>
        <w:tc>
          <w:tcPr>
            <w:tcW w:w="2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130</w:t>
            </w:r>
          </w:p>
        </w:tc>
        <w:tc>
          <w:tcPr>
            <w:tcW w:w="2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188,408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2080" w:type="dxa"/>
            <w:vAlign w:val="bottom"/>
          </w:tcPr>
          <w:p>
            <w:pPr>
              <w:ind w:left="180"/>
              <w:spacing w:after="0"/>
              <w:rPr>
                <w:sz w:val="20"/>
                <w:szCs w:val="20"/>
                <w:color w:val="auto"/>
              </w:rPr>
            </w:pPr>
            <w:r>
              <w:rPr>
                <w:rFonts w:ascii="Arial" w:cs="Arial" w:eastAsia="Arial" w:hAnsi="Arial"/>
                <w:sz w:val="14"/>
                <w:szCs w:val="14"/>
                <w:color w:val="auto"/>
              </w:rPr>
              <w:t>Net investment income</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49"/>
        </w:trPr>
        <w:tc>
          <w:tcPr>
            <w:tcW w:w="2080" w:type="dxa"/>
            <w:vAlign w:val="bottom"/>
          </w:tcPr>
          <w:p>
            <w:pPr>
              <w:ind w:left="180"/>
              <w:spacing w:after="0" w:line="149" w:lineRule="exact"/>
              <w:rPr>
                <w:sz w:val="20"/>
                <w:szCs w:val="20"/>
                <w:color w:val="auto"/>
              </w:rPr>
            </w:pPr>
            <w:r>
              <w:rPr>
                <w:rFonts w:ascii="Arial" w:cs="Arial" w:eastAsia="Arial" w:hAnsi="Arial"/>
                <w:sz w:val="14"/>
                <w:szCs w:val="14"/>
                <w:color w:val="auto"/>
              </w:rPr>
              <w:t>Net realized gain from</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9"/>
        </w:trPr>
        <w:tc>
          <w:tcPr>
            <w:tcW w:w="2080" w:type="dxa"/>
            <w:vAlign w:val="bottom"/>
          </w:tcPr>
          <w:p>
            <w:pPr>
              <w:ind w:left="180"/>
              <w:spacing w:after="0" w:line="149" w:lineRule="exact"/>
              <w:rPr>
                <w:sz w:val="20"/>
                <w:szCs w:val="20"/>
                <w:color w:val="auto"/>
              </w:rPr>
            </w:pPr>
            <w:r>
              <w:rPr>
                <w:rFonts w:ascii="Arial" w:cs="Arial" w:eastAsia="Arial" w:hAnsi="Arial"/>
                <w:sz w:val="14"/>
                <w:szCs w:val="14"/>
                <w:color w:val="auto"/>
              </w:rPr>
              <w:t>investments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r>
      <w:tr>
        <w:trPr>
          <w:trHeight w:val="149"/>
        </w:trPr>
        <w:tc>
          <w:tcPr>
            <w:tcW w:w="2080" w:type="dxa"/>
            <w:vAlign w:val="bottom"/>
          </w:tcPr>
          <w:p>
            <w:pPr>
              <w:ind w:left="180"/>
              <w:spacing w:after="0" w:line="149" w:lineRule="exact"/>
              <w:rPr>
                <w:sz w:val="20"/>
                <w:szCs w:val="20"/>
                <w:color w:val="auto"/>
              </w:rPr>
            </w:pPr>
            <w:r>
              <w:rPr>
                <w:rFonts w:ascii="Arial" w:cs="Arial" w:eastAsia="Arial" w:hAnsi="Arial"/>
                <w:sz w:val="14"/>
                <w:szCs w:val="14"/>
                <w:color w:val="auto"/>
              </w:rPr>
              <w:t>Net change in unrealized</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9"/>
        </w:trPr>
        <w:tc>
          <w:tcPr>
            <w:tcW w:w="2080" w:type="dxa"/>
            <w:vAlign w:val="bottom"/>
          </w:tcPr>
          <w:p>
            <w:pPr>
              <w:ind w:left="180"/>
              <w:spacing w:after="0" w:line="149" w:lineRule="exact"/>
              <w:rPr>
                <w:sz w:val="20"/>
                <w:szCs w:val="20"/>
                <w:color w:val="auto"/>
              </w:rPr>
            </w:pPr>
            <w:r>
              <w:rPr>
                <w:rFonts w:ascii="Arial" w:cs="Arial" w:eastAsia="Arial" w:hAnsi="Arial"/>
                <w:sz w:val="14"/>
                <w:szCs w:val="14"/>
                <w:color w:val="auto"/>
              </w:rPr>
              <w:t>appreciation/(depreciation) on</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82"/>
        </w:trPr>
        <w:tc>
          <w:tcPr>
            <w:tcW w:w="2080" w:type="dxa"/>
            <w:vAlign w:val="bottom"/>
          </w:tcPr>
          <w:p>
            <w:pPr>
              <w:ind w:left="180"/>
              <w:spacing w:after="0"/>
              <w:rPr>
                <w:sz w:val="20"/>
                <w:szCs w:val="20"/>
                <w:color w:val="auto"/>
              </w:rPr>
            </w:pPr>
            <w:r>
              <w:rPr>
                <w:rFonts w:ascii="Arial" w:cs="Arial" w:eastAsia="Arial" w:hAnsi="Arial"/>
                <w:sz w:val="14"/>
                <w:szCs w:val="14"/>
                <w:color w:val="auto"/>
              </w:rPr>
              <w:t>portfolio investments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2"/>
        </w:trPr>
        <w:tc>
          <w:tcPr>
            <w:tcW w:w="2080" w:type="dxa"/>
            <w:vAlign w:val="bottom"/>
          </w:tcPr>
          <w:p>
            <w:pPr>
              <w:ind w:left="180"/>
              <w:spacing w:after="0"/>
              <w:rPr>
                <w:sz w:val="20"/>
                <w:szCs w:val="20"/>
                <w:color w:val="auto"/>
              </w:rPr>
            </w:pPr>
            <w:r>
              <w:rPr>
                <w:rFonts w:ascii="Arial" w:cs="Arial" w:eastAsia="Arial" w:hAnsi="Arial"/>
                <w:sz w:val="14"/>
                <w:szCs w:val="14"/>
                <w:color w:val="auto"/>
              </w:rPr>
              <w:t>Distributions to shareholders:</w:t>
            </w: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49"/>
        </w:trPr>
        <w:tc>
          <w:tcPr>
            <w:tcW w:w="2080" w:type="dxa"/>
            <w:vAlign w:val="bottom"/>
          </w:tcPr>
          <w:p>
            <w:pPr>
              <w:ind w:left="340"/>
              <w:spacing w:after="0" w:line="149" w:lineRule="exact"/>
              <w:rPr>
                <w:sz w:val="20"/>
                <w:szCs w:val="20"/>
                <w:color w:val="auto"/>
              </w:rPr>
            </w:pPr>
            <w:r>
              <w:rPr>
                <w:rFonts w:ascii="Arial" w:cs="Arial" w:eastAsia="Arial" w:hAnsi="Arial"/>
                <w:sz w:val="14"/>
                <w:szCs w:val="14"/>
                <w:color w:val="auto"/>
              </w:rPr>
              <w:t>Stock issued under</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82"/>
        </w:trPr>
        <w:tc>
          <w:tcPr>
            <w:tcW w:w="2080" w:type="dxa"/>
            <w:vAlign w:val="bottom"/>
          </w:tcPr>
          <w:p>
            <w:pPr>
              <w:ind w:left="340"/>
              <w:spacing w:after="0"/>
              <w:rPr>
                <w:sz w:val="20"/>
                <w:szCs w:val="20"/>
                <w:color w:val="auto"/>
              </w:rPr>
            </w:pPr>
            <w:r>
              <w:rPr>
                <w:rFonts w:ascii="Arial" w:cs="Arial" w:eastAsia="Arial" w:hAnsi="Arial"/>
                <w:sz w:val="14"/>
                <w:szCs w:val="14"/>
                <w:color w:val="auto"/>
              </w:rPr>
              <w:t>dividend reinvestment plan</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2,822</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280" w:type="dxa"/>
            <w:vAlign w:val="bottom"/>
          </w:tcPr>
          <w:p>
            <w:pPr>
              <w:spacing w:after="0"/>
              <w:rPr>
                <w:sz w:val="15"/>
                <w:szCs w:val="15"/>
                <w:color w:val="auto"/>
              </w:rPr>
            </w:pPr>
          </w:p>
        </w:tc>
      </w:tr>
      <w:tr>
        <w:trPr>
          <w:trHeight w:val="201"/>
        </w:trPr>
        <w:tc>
          <w:tcPr>
            <w:tcW w:w="2080" w:type="dxa"/>
            <w:vAlign w:val="bottom"/>
          </w:tcPr>
          <w:p>
            <w:pPr>
              <w:ind w:left="340"/>
              <w:spacing w:after="0"/>
              <w:rPr>
                <w:sz w:val="20"/>
                <w:szCs w:val="20"/>
                <w:color w:val="auto"/>
              </w:rPr>
            </w:pPr>
            <w:r>
              <w:rPr>
                <w:rFonts w:ascii="Arial" w:cs="Arial" w:eastAsia="Arial" w:hAnsi="Arial"/>
                <w:sz w:val="14"/>
                <w:szCs w:val="14"/>
                <w:color w:val="auto"/>
              </w:rPr>
              <w:t>Distributions declared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r>
      <w:tr>
        <w:trPr>
          <w:trHeight w:val="210"/>
        </w:trPr>
        <w:tc>
          <w:tcPr>
            <w:tcW w:w="2080" w:type="dxa"/>
            <w:vAlign w:val="bottom"/>
          </w:tcPr>
          <w:p>
            <w:pPr>
              <w:spacing w:after="0"/>
              <w:rPr>
                <w:sz w:val="20"/>
                <w:szCs w:val="20"/>
                <w:color w:val="auto"/>
              </w:rPr>
            </w:pPr>
            <w:r>
              <w:rPr>
                <w:rFonts w:ascii="Arial" w:cs="Arial" w:eastAsia="Arial" w:hAnsi="Arial"/>
                <w:sz w:val="14"/>
                <w:szCs w:val="14"/>
                <w:color w:val="auto"/>
              </w:rPr>
              <w:t>BALANCE, March 31, 2015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12,977,242</w:t>
            </w: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24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188,458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Accumulated</w:t>
            </w:r>
          </w:p>
        </w:tc>
        <w:tc>
          <w:tcPr>
            <w:tcW w:w="180" w:type="dxa"/>
            <w:vAlign w:val="bottom"/>
          </w:tcPr>
          <w:p>
            <w:pPr>
              <w:spacing w:after="0"/>
              <w:rPr>
                <w:sz w:val="15"/>
                <w:szCs w:val="15"/>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Net Unrealized</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7"/>
        </w:trPr>
        <w:tc>
          <w:tcPr>
            <w:tcW w:w="1820" w:type="dxa"/>
            <w:vAlign w:val="bottom"/>
          </w:tcPr>
          <w:p>
            <w:pPr>
              <w:jc w:val="right"/>
              <w:ind w:right="748"/>
              <w:spacing w:after="0"/>
              <w:rPr>
                <w:sz w:val="20"/>
                <w:szCs w:val="20"/>
                <w:color w:val="auto"/>
              </w:rPr>
            </w:pPr>
            <w:r>
              <w:rPr>
                <w:rFonts w:ascii="Arial" w:cs="Arial" w:eastAsia="Arial" w:hAnsi="Arial"/>
                <w:sz w:val="14"/>
                <w:szCs w:val="14"/>
                <w:b w:val="1"/>
                <w:bCs w:val="1"/>
                <w:color w:val="auto"/>
              </w:rPr>
              <w:t>Accumulated</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Undistributed Net</w:t>
            </w:r>
          </w:p>
        </w:tc>
        <w:tc>
          <w:tcPr>
            <w:tcW w:w="180" w:type="dxa"/>
            <w:vAlign w:val="bottom"/>
          </w:tcPr>
          <w:p>
            <w:pPr>
              <w:spacing w:after="0"/>
              <w:rPr>
                <w:sz w:val="19"/>
                <w:szCs w:val="19"/>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1820" w:type="dxa"/>
            <w:vAlign w:val="bottom"/>
          </w:tcPr>
          <w:p>
            <w:pPr>
              <w:spacing w:after="0"/>
              <w:rPr>
                <w:sz w:val="20"/>
                <w:szCs w:val="20"/>
                <w:color w:val="auto"/>
              </w:rPr>
            </w:pPr>
            <w:r>
              <w:rPr>
                <w:rFonts w:ascii="Arial" w:cs="Arial" w:eastAsia="Arial" w:hAnsi="Arial"/>
                <w:sz w:val="14"/>
                <w:szCs w:val="14"/>
                <w:b w:val="1"/>
                <w:bCs w:val="1"/>
                <w:color w:val="auto"/>
              </w:rPr>
              <w:t>Undistributed Net</w:t>
            </w:r>
          </w:p>
        </w:tc>
        <w:tc>
          <w:tcPr>
            <w:tcW w:w="100" w:type="dxa"/>
            <w:vAlign w:val="bottom"/>
          </w:tcPr>
          <w:p>
            <w:pPr>
              <w:spacing w:after="0"/>
              <w:rPr>
                <w:sz w:val="17"/>
                <w:szCs w:val="17"/>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Realized Gains</w:t>
            </w:r>
          </w:p>
        </w:tc>
        <w:tc>
          <w:tcPr>
            <w:tcW w:w="180" w:type="dxa"/>
            <w:vAlign w:val="bottom"/>
          </w:tcPr>
          <w:p>
            <w:pPr>
              <w:spacing w:after="0"/>
              <w:rPr>
                <w:sz w:val="17"/>
                <w:szCs w:val="17"/>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(Depreciation) on</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1820" w:type="dxa"/>
            <w:vAlign w:val="bottom"/>
          </w:tcPr>
          <w:p>
            <w:pPr>
              <w:spacing w:after="0"/>
              <w:rPr>
                <w:sz w:val="20"/>
                <w:szCs w:val="20"/>
                <w:color w:val="auto"/>
              </w:rPr>
            </w:pPr>
            <w:r>
              <w:rPr>
                <w:rFonts w:ascii="Arial" w:cs="Arial" w:eastAsia="Arial" w:hAnsi="Arial"/>
                <w:sz w:val="14"/>
                <w:szCs w:val="14"/>
                <w:b w:val="1"/>
                <w:bCs w:val="1"/>
                <w:color w:val="auto"/>
              </w:rPr>
              <w:t>Investment Income</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Investments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8"/>
                <w:szCs w:val="18"/>
                <w:color w:val="auto"/>
              </w:rPr>
            </w:pPr>
          </w:p>
        </w:tc>
      </w:tr>
      <w:tr>
        <w:trPr>
          <w:trHeight w:val="447"/>
        </w:trPr>
        <w:tc>
          <w:tcPr>
            <w:tcW w:w="1820" w:type="dxa"/>
            <w:vAlign w:val="bottom"/>
          </w:tcPr>
          <w:p>
            <w:pPr>
              <w:jc w:val="right"/>
              <w:ind w:right="148"/>
              <w:spacing w:after="0"/>
              <w:rPr>
                <w:sz w:val="20"/>
                <w:szCs w:val="20"/>
                <w:color w:val="auto"/>
              </w:rPr>
            </w:pPr>
            <w:r>
              <w:rPr>
                <w:rFonts w:ascii="Arial" w:cs="Arial" w:eastAsia="Arial" w:hAnsi="Arial"/>
                <w:sz w:val="14"/>
                <w:szCs w:val="14"/>
                <w:color w:val="auto"/>
              </w:rPr>
              <w:t>16,760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(48)</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63,420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268,670</w:t>
            </w:r>
          </w:p>
        </w:tc>
        <w:tc>
          <w:tcPr>
            <w:tcW w:w="40" w:type="dxa"/>
            <w:vAlign w:val="bottom"/>
          </w:tcPr>
          <w:p>
            <w:pPr>
              <w:spacing w:after="0"/>
              <w:rPr>
                <w:sz w:val="24"/>
                <w:szCs w:val="24"/>
                <w:color w:val="auto"/>
              </w:rPr>
            </w:pPr>
          </w:p>
        </w:tc>
      </w:tr>
      <w:tr>
        <w:trPr>
          <w:trHeight w:val="216"/>
        </w:trPr>
        <w:tc>
          <w:tcPr>
            <w:tcW w:w="1820" w:type="dxa"/>
            <w:vAlign w:val="bottom"/>
          </w:tcPr>
          <w:p>
            <w:pPr>
              <w:jc w:val="right"/>
              <w:ind w:right="148"/>
              <w:spacing w:after="0"/>
              <w:rPr>
                <w:sz w:val="20"/>
                <w:szCs w:val="20"/>
                <w:color w:val="auto"/>
              </w:rPr>
            </w:pPr>
            <w:r>
              <w:rPr>
                <w:rFonts w:ascii="Arial" w:cs="Arial" w:eastAsia="Arial" w:hAnsi="Arial"/>
                <w:sz w:val="14"/>
                <w:szCs w:val="14"/>
                <w:color w:val="auto"/>
              </w:rPr>
              <w:t>5,721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5,721</w:t>
            </w:r>
          </w:p>
        </w:tc>
        <w:tc>
          <w:tcPr>
            <w:tcW w:w="40" w:type="dxa"/>
            <w:vAlign w:val="bottom"/>
          </w:tcPr>
          <w:p>
            <w:pPr>
              <w:spacing w:after="0"/>
              <w:rPr>
                <w:sz w:val="18"/>
                <w:szCs w:val="18"/>
                <w:color w:val="auto"/>
              </w:rPr>
            </w:pPr>
          </w:p>
        </w:tc>
      </w:tr>
      <w:tr>
        <w:trPr>
          <w:trHeight w:val="432"/>
        </w:trPr>
        <w:tc>
          <w:tcPr>
            <w:tcW w:w="18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1,220</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1,220</w:t>
            </w:r>
          </w:p>
        </w:tc>
        <w:tc>
          <w:tcPr>
            <w:tcW w:w="40" w:type="dxa"/>
            <w:vAlign w:val="bottom"/>
          </w:tcPr>
          <w:p>
            <w:pPr>
              <w:spacing w:after="0"/>
              <w:rPr>
                <w:sz w:val="24"/>
                <w:szCs w:val="24"/>
                <w:color w:val="auto"/>
              </w:rPr>
            </w:pPr>
          </w:p>
        </w:tc>
      </w:tr>
      <w:tr>
        <w:trPr>
          <w:trHeight w:val="446"/>
        </w:trPr>
        <w:tc>
          <w:tcPr>
            <w:tcW w:w="18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(5,723)</w:t>
            </w:r>
          </w:p>
        </w:tc>
        <w:tc>
          <w:tcPr>
            <w:tcW w:w="1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(5,723)</w:t>
            </w:r>
          </w:p>
        </w:tc>
      </w:tr>
      <w:tr>
        <w:trPr>
          <w:trHeight w:val="201"/>
        </w:trPr>
        <w:tc>
          <w:tcPr>
            <w:tcW w:w="1820" w:type="dxa"/>
            <w:vAlign w:val="bottom"/>
          </w:tcPr>
          <w:p>
            <w:pPr>
              <w:jc w:val="right"/>
              <w:ind w:right="88"/>
              <w:spacing w:after="0"/>
              <w:rPr>
                <w:sz w:val="20"/>
                <w:szCs w:val="20"/>
                <w:color w:val="auto"/>
              </w:rPr>
            </w:pPr>
            <w:r>
              <w:rPr>
                <w:rFonts w:ascii="Arial" w:cs="Arial" w:eastAsia="Arial" w:hAnsi="Arial"/>
                <w:sz w:val="14"/>
                <w:szCs w:val="14"/>
                <w:color w:val="auto"/>
              </w:rPr>
              <w:t>(6,098)</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(6,098)</w:t>
            </w:r>
          </w:p>
        </w:tc>
      </w:tr>
      <w:tr>
        <w:trPr>
          <w:trHeight w:val="20"/>
        </w:trPr>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820" w:type="dxa"/>
            <w:vAlign w:val="bottom"/>
          </w:tcPr>
          <w:p>
            <w:pPr>
              <w:jc w:val="right"/>
              <w:ind w:right="148"/>
              <w:spacing w:after="0"/>
              <w:rPr>
                <w:sz w:val="20"/>
                <w:szCs w:val="20"/>
                <w:color w:val="auto"/>
              </w:rPr>
            </w:pPr>
            <w:r>
              <w:rPr>
                <w:rFonts w:ascii="Arial" w:cs="Arial" w:eastAsia="Arial" w:hAnsi="Arial"/>
                <w:sz w:val="14"/>
                <w:szCs w:val="14"/>
                <w:color w:val="auto"/>
              </w:rPr>
              <w:t>16,383</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1,172</w:t>
            </w:r>
          </w:p>
        </w:tc>
        <w:tc>
          <w:tcPr>
            <w:tcW w:w="220" w:type="dxa"/>
            <w:vAlign w:val="bottom"/>
          </w:tcPr>
          <w:p>
            <w:pPr>
              <w:spacing w:after="0"/>
              <w:rPr>
                <w:sz w:val="18"/>
                <w:szCs w:val="18"/>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57,697</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263,790</w:t>
            </w:r>
          </w:p>
        </w:tc>
        <w:tc>
          <w:tcPr>
            <w:tcW w:w="40" w:type="dxa"/>
            <w:vAlign w:val="bottom"/>
          </w:tcPr>
          <w:p>
            <w:pPr>
              <w:spacing w:after="0"/>
              <w:rPr>
                <w:sz w:val="18"/>
                <w:szCs w:val="18"/>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8"/>
        </w:trPr>
        <w:tc>
          <w:tcPr>
            <w:tcW w:w="1820" w:type="dxa"/>
            <w:vAlign w:val="bottom"/>
          </w:tcPr>
          <w:p>
            <w:pPr>
              <w:jc w:val="right"/>
              <w:ind w:right="148"/>
              <w:spacing w:after="0"/>
              <w:rPr>
                <w:sz w:val="20"/>
                <w:szCs w:val="20"/>
                <w:color w:val="auto"/>
              </w:rPr>
            </w:pPr>
            <w:r>
              <w:rPr>
                <w:rFonts w:ascii="Arial" w:cs="Arial" w:eastAsia="Arial" w:hAnsi="Arial"/>
                <w:sz w:val="14"/>
                <w:szCs w:val="14"/>
                <w:color w:val="auto"/>
              </w:rPr>
              <w:t>12,314</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803</w:t>
            </w:r>
          </w:p>
        </w:tc>
        <w:tc>
          <w:tcPr>
            <w:tcW w:w="220" w:type="dxa"/>
            <w:vAlign w:val="bottom"/>
          </w:tcPr>
          <w:p>
            <w:pPr>
              <w:spacing w:after="0"/>
              <w:rPr>
                <w:sz w:val="24"/>
                <w:szCs w:val="24"/>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39,182</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240,837</w:t>
            </w:r>
          </w:p>
        </w:tc>
        <w:tc>
          <w:tcPr>
            <w:tcW w:w="40" w:type="dxa"/>
            <w:vAlign w:val="bottom"/>
          </w:tcPr>
          <w:p>
            <w:pPr>
              <w:spacing w:after="0"/>
              <w:rPr>
                <w:sz w:val="24"/>
                <w:szCs w:val="24"/>
                <w:color w:val="auto"/>
              </w:rPr>
            </w:pPr>
          </w:p>
        </w:tc>
      </w:tr>
      <w:tr>
        <w:trPr>
          <w:trHeight w:val="216"/>
        </w:trPr>
        <w:tc>
          <w:tcPr>
            <w:tcW w:w="1820" w:type="dxa"/>
            <w:vAlign w:val="bottom"/>
          </w:tcPr>
          <w:p>
            <w:pPr>
              <w:jc w:val="right"/>
              <w:ind w:right="148"/>
              <w:spacing w:after="0"/>
              <w:rPr>
                <w:sz w:val="20"/>
                <w:szCs w:val="20"/>
                <w:color w:val="auto"/>
              </w:rPr>
            </w:pPr>
            <w:r>
              <w:rPr>
                <w:rFonts w:ascii="Arial" w:cs="Arial" w:eastAsia="Arial" w:hAnsi="Arial"/>
                <w:sz w:val="14"/>
                <w:szCs w:val="14"/>
                <w:color w:val="auto"/>
              </w:rPr>
              <w:t>4,817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4,817</w:t>
            </w:r>
          </w:p>
        </w:tc>
        <w:tc>
          <w:tcPr>
            <w:tcW w:w="40" w:type="dxa"/>
            <w:vAlign w:val="bottom"/>
          </w:tcPr>
          <w:p>
            <w:pPr>
              <w:spacing w:after="0"/>
              <w:rPr>
                <w:sz w:val="18"/>
                <w:szCs w:val="18"/>
                <w:color w:val="auto"/>
              </w:rPr>
            </w:pPr>
          </w:p>
        </w:tc>
      </w:tr>
      <w:tr>
        <w:trPr>
          <w:trHeight w:val="297"/>
        </w:trPr>
        <w:tc>
          <w:tcPr>
            <w:tcW w:w="18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9,340</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9,340</w:t>
            </w:r>
          </w:p>
        </w:tc>
        <w:tc>
          <w:tcPr>
            <w:tcW w:w="40" w:type="dxa"/>
            <w:vAlign w:val="bottom"/>
          </w:tcPr>
          <w:p>
            <w:pPr>
              <w:spacing w:after="0"/>
              <w:rPr>
                <w:sz w:val="24"/>
                <w:szCs w:val="24"/>
                <w:color w:val="auto"/>
              </w:rPr>
            </w:pPr>
          </w:p>
        </w:tc>
      </w:tr>
      <w:tr>
        <w:trPr>
          <w:trHeight w:val="446"/>
        </w:trPr>
        <w:tc>
          <w:tcPr>
            <w:tcW w:w="18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(4,290)</w:t>
            </w:r>
          </w:p>
        </w:tc>
        <w:tc>
          <w:tcPr>
            <w:tcW w:w="1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(4,290)</w:t>
            </w:r>
          </w:p>
        </w:tc>
      </w:tr>
      <w:tr>
        <w:trPr>
          <w:trHeight w:val="513"/>
        </w:trPr>
        <w:tc>
          <w:tcPr>
            <w:tcW w:w="18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w:t>
            </w:r>
          </w:p>
        </w:tc>
        <w:tc>
          <w:tcPr>
            <w:tcW w:w="40" w:type="dxa"/>
            <w:vAlign w:val="bottom"/>
          </w:tcPr>
          <w:p>
            <w:pPr>
              <w:spacing w:after="0"/>
              <w:rPr>
                <w:sz w:val="24"/>
                <w:szCs w:val="24"/>
                <w:color w:val="auto"/>
              </w:rPr>
            </w:pPr>
          </w:p>
        </w:tc>
      </w:tr>
      <w:tr>
        <w:trPr>
          <w:trHeight w:val="201"/>
        </w:trPr>
        <w:tc>
          <w:tcPr>
            <w:tcW w:w="1820" w:type="dxa"/>
            <w:vAlign w:val="bottom"/>
          </w:tcPr>
          <w:p>
            <w:pPr>
              <w:jc w:val="right"/>
              <w:ind w:right="88"/>
              <w:spacing w:after="0"/>
              <w:rPr>
                <w:sz w:val="20"/>
                <w:szCs w:val="20"/>
                <w:color w:val="auto"/>
              </w:rPr>
            </w:pPr>
            <w:r>
              <w:rPr>
                <w:rFonts w:ascii="Arial" w:cs="Arial" w:eastAsia="Arial" w:hAnsi="Arial"/>
                <w:sz w:val="14"/>
                <w:szCs w:val="14"/>
                <w:color w:val="auto"/>
              </w:rPr>
              <w:t>(6,098)</w:t>
            </w:r>
          </w:p>
        </w:tc>
        <w:tc>
          <w:tcPr>
            <w:tcW w:w="1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(6,484)</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(12,582)</w:t>
            </w:r>
          </w:p>
        </w:tc>
      </w:tr>
      <w:tr>
        <w:trPr>
          <w:trHeight w:val="20"/>
        </w:trPr>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820" w:type="dxa"/>
            <w:vAlign w:val="bottom"/>
          </w:tcPr>
          <w:p>
            <w:pPr>
              <w:jc w:val="right"/>
              <w:ind w:right="148"/>
              <w:spacing w:after="0"/>
              <w:rPr>
                <w:sz w:val="20"/>
                <w:szCs w:val="20"/>
                <w:color w:val="auto"/>
              </w:rPr>
            </w:pPr>
            <w:r>
              <w:rPr>
                <w:rFonts w:ascii="Arial" w:cs="Arial" w:eastAsia="Arial" w:hAnsi="Arial"/>
                <w:sz w:val="14"/>
                <w:szCs w:val="14"/>
                <w:color w:val="auto"/>
              </w:rPr>
              <w:t>11,033</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3,659</w:t>
            </w:r>
          </w:p>
        </w:tc>
        <w:tc>
          <w:tcPr>
            <w:tcW w:w="220" w:type="dxa"/>
            <w:vAlign w:val="bottom"/>
          </w:tcPr>
          <w:p>
            <w:pPr>
              <w:spacing w:after="0"/>
              <w:rPr>
                <w:sz w:val="18"/>
                <w:szCs w:val="18"/>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34,892</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238,172</w:t>
            </w:r>
          </w:p>
        </w:tc>
        <w:tc>
          <w:tcPr>
            <w:tcW w:w="40" w:type="dxa"/>
            <w:vAlign w:val="bottom"/>
          </w:tcPr>
          <w:p>
            <w:pPr>
              <w:spacing w:after="0"/>
              <w:rPr>
                <w:sz w:val="18"/>
                <w:szCs w:val="18"/>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-2658110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-2383155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-2108835</wp:posOffset>
            </wp:positionV>
            <wp:extent cx="7246620" cy="283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-1379855</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-1105535</wp:posOffset>
            </wp:positionV>
            <wp:extent cx="72466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-633730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-307975</wp:posOffset>
            </wp:positionV>
            <wp:extent cx="724662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-1689100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-2803525</wp:posOffset>
            </wp:positionV>
            <wp:extent cx="1294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360"/>
            <w:col w:w="5840"/>
          </w:cols>
          <w:pgMar w:left="240" w:top="864" w:right="299" w:bottom="1440" w:gutter="0" w:footer="0" w:header="0"/>
          <w:type w:val="continuous"/>
        </w:sectPr>
      </w:pP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64" w:right="29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60" w:type="dxa"/>
            <w:vAlign w:val="bottom"/>
            <w:gridSpan w:val="3"/>
          </w:tcPr>
          <w:p>
            <w:pPr>
              <w:jc w:val="center"/>
              <w:ind w:left="2730"/>
              <w:spacing w:after="0"/>
              <w:rPr>
                <w:sz w:val="20"/>
                <w:szCs w:val="20"/>
                <w:color w:val="auto"/>
              </w:rPr>
            </w:pPr>
            <w:r>
              <w:rPr>
                <w:rFonts w:ascii="Arial" w:cs="Arial" w:eastAsia="Arial" w:hAnsi="Arial"/>
                <w:sz w:val="18"/>
                <w:szCs w:val="18"/>
                <w:b w:val="1"/>
                <w:bCs w:val="1"/>
                <w:color w:val="auto"/>
                <w:w w:val="92"/>
              </w:rPr>
              <w:t>Capitala Finance Corp.</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660" w:type="dxa"/>
            <w:vAlign w:val="bottom"/>
            <w:gridSpan w:val="3"/>
          </w:tcPr>
          <w:p>
            <w:pPr>
              <w:jc w:val="center"/>
              <w:ind w:left="273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jc w:val="center"/>
              <w:ind w:left="4890"/>
              <w:spacing w:after="0"/>
              <w:rPr>
                <w:sz w:val="20"/>
                <w:szCs w:val="20"/>
                <w:color w:val="auto"/>
              </w:rPr>
            </w:pPr>
            <w:r>
              <w:rPr>
                <w:rFonts w:ascii="Arial" w:cs="Arial" w:eastAsia="Arial" w:hAnsi="Arial"/>
                <w:sz w:val="18"/>
                <w:szCs w:val="18"/>
                <w:b w:val="1"/>
                <w:bCs w:val="1"/>
                <w:color w:val="auto"/>
                <w:w w:val="88"/>
              </w:rPr>
              <w:t>(in thousands)</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jc w:val="center"/>
              <w:ind w:left="4890"/>
              <w:spacing w:after="0"/>
              <w:rPr>
                <w:sz w:val="20"/>
                <w:szCs w:val="20"/>
                <w:color w:val="auto"/>
              </w:rPr>
            </w:pPr>
            <w:r>
              <w:rPr>
                <w:rFonts w:ascii="Arial" w:cs="Arial" w:eastAsia="Arial" w:hAnsi="Arial"/>
                <w:sz w:val="18"/>
                <w:szCs w:val="18"/>
                <w:b w:val="1"/>
                <w:bCs w:val="1"/>
                <w:color w:val="auto"/>
                <w:w w:val="91"/>
              </w:rPr>
              <w:t>(unaudited)</w:t>
            </w: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60" w:type="dxa"/>
            <w:vAlign w:val="bottom"/>
            <w:gridSpan w:val="6"/>
          </w:tcPr>
          <w:p>
            <w:pPr>
              <w:spacing w:after="0"/>
              <w:rPr>
                <w:sz w:val="20"/>
                <w:szCs w:val="20"/>
                <w:color w:val="auto"/>
              </w:rPr>
            </w:pPr>
            <w:r>
              <w:rPr>
                <w:rFonts w:ascii="Arial" w:cs="Arial" w:eastAsia="Arial" w:hAnsi="Arial"/>
                <w:sz w:val="18"/>
                <w:szCs w:val="18"/>
                <w:b w:val="1"/>
                <w:bCs w:val="1"/>
                <w:color w:val="auto"/>
                <w:w w:val="93"/>
              </w:rPr>
              <w:t>For the 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Net increase in net assets resulting from operations</w:t>
            </w:r>
          </w:p>
        </w:tc>
        <w:tc>
          <w:tcPr>
            <w:tcW w:w="218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9,867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Adjustments to reconcile net increase in net assets resulting from operations to net cash</w:t>
            </w:r>
          </w:p>
        </w:tc>
        <w:tc>
          <w:tcPr>
            <w:tcW w:w="21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used in operating</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1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Purchase of portfolio investments</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(67,233)</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portfolio investments</w:t>
            </w:r>
          </w:p>
        </w:tc>
        <w:tc>
          <w:tcPr>
            <w:tcW w:w="1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34,556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Net realized gain on portfolio investments</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(9,340)</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unrealized depreciation on portfolio investments</w:t>
            </w:r>
          </w:p>
        </w:tc>
        <w:tc>
          <w:tcPr>
            <w:tcW w:w="1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Payment-in-kind interest and dividends</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of original issue discount on portfolio investments</w:t>
            </w:r>
          </w:p>
        </w:tc>
        <w:tc>
          <w:tcPr>
            <w:tcW w:w="1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Amortization of deferred financing fees</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467</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Interest and dividend receivable</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(1,816)</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Due from related parties</w:t>
            </w:r>
          </w:p>
        </w:tc>
        <w:tc>
          <w:tcPr>
            <w:tcW w:w="1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Prepaid expenses</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assets</w:t>
            </w:r>
          </w:p>
        </w:tc>
        <w:tc>
          <w:tcPr>
            <w:tcW w:w="1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Due to related parties</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Management and incentive fee payable</w:t>
            </w:r>
          </w:p>
        </w:tc>
        <w:tc>
          <w:tcPr>
            <w:tcW w:w="1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Interest payable</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(1,905)</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and accrued expenses</w:t>
            </w:r>
          </w:p>
        </w:tc>
        <w:tc>
          <w:tcPr>
            <w:tcW w:w="1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18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(31,100</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Paydowns on SBA-guaranteed debentures</w:t>
            </w:r>
          </w:p>
        </w:tc>
        <w:tc>
          <w:tcPr>
            <w:tcW w:w="1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Proceeds from credit facility</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shareholders</w:t>
            </w:r>
          </w:p>
        </w:tc>
        <w:tc>
          <w:tcPr>
            <w:tcW w:w="1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Deferred financing fees paid</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(23,100)</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8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55,107</w:t>
            </w:r>
          </w:p>
        </w:tc>
        <w:tc>
          <w:tcPr>
            <w:tcW w:w="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8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32,007</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218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5,826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SUPPLEMENTAL DISCLOSURE OF NON-CASH INVESTING AND FINANCING TRANSACTIONS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declared and payable</w:t>
            </w:r>
          </w:p>
        </w:tc>
        <w:tc>
          <w:tcPr>
            <w:tcW w:w="218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Distribution paid through DRIP share issuances</w:t>
            </w:r>
          </w:p>
        </w:tc>
        <w:tc>
          <w:tcPr>
            <w:tcW w:w="218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6" w:name="page7"/>
    <w:bookmarkEnd w:id="6"/>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(3, 4)</w:t>
            </w:r>
          </w:p>
        </w:tc>
        <w:tc>
          <w:tcPr>
            <w:tcW w:w="80" w:type="dxa"/>
            <w:vAlign w:val="bottom"/>
            <w:vMerge w:val="restart"/>
          </w:tcPr>
          <w:p>
            <w:pPr>
              <w:spacing w:after="0"/>
              <w:rPr>
                <w:sz w:val="14"/>
                <w:szCs w:val="14"/>
                <w:color w:val="auto"/>
              </w:rPr>
            </w:pPr>
          </w:p>
        </w:tc>
        <w:tc>
          <w:tcPr>
            <w:tcW w:w="13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100" w:type="dxa"/>
            <w:vAlign w:val="bottom"/>
            <w:vMerge w:val="restart"/>
          </w:tcPr>
          <w:p>
            <w:pPr>
              <w:spacing w:after="0"/>
              <w:rPr>
                <w:sz w:val="14"/>
                <w:szCs w:val="14"/>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Type of Investment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4"/>
                <w:szCs w:val="14"/>
                <w:color w:val="auto"/>
              </w:rPr>
            </w:pPr>
          </w:p>
        </w:tc>
        <w:tc>
          <w:tcPr>
            <w:tcW w:w="8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20" w:type="dxa"/>
            <w:vAlign w:val="bottom"/>
            <w:vMerge w:val="restart"/>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060" w:type="dxa"/>
            <w:vAlign w:val="bottom"/>
            <w:gridSpan w:val="2"/>
          </w:tcPr>
          <w:p>
            <w:pPr>
              <w:spacing w:after="0"/>
              <w:rPr>
                <w:sz w:val="20"/>
                <w:szCs w:val="20"/>
                <w:color w:val="auto"/>
              </w:rPr>
            </w:pPr>
            <w:r>
              <w:rPr>
                <w:rFonts w:ascii="Arial" w:cs="Arial" w:eastAsia="Arial" w:hAnsi="Arial"/>
                <w:sz w:val="14"/>
                <w:szCs w:val="14"/>
                <w:b w:val="1"/>
                <w:bCs w:val="1"/>
                <w:color w:val="auto"/>
                <w:w w:val="95"/>
              </w:rPr>
              <w:t>Non-control/Non-affiliated investments - 117.0%</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6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 xml:space="preserve">AAE Acquisition, LLC </w:t>
            </w:r>
            <w:r>
              <w:rPr>
                <w:rFonts w:ascii="Arial" w:cs="Arial" w:eastAsia="Arial" w:hAnsi="Arial"/>
                <w:sz w:val="18"/>
                <w:szCs w:val="18"/>
                <w:color w:val="auto"/>
                <w:vertAlign w:val="superscript"/>
              </w:rPr>
              <w:t>(1)</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Industrial Equipment</w:t>
            </w:r>
          </w:p>
        </w:tc>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Senior Secured Term</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color w:val="auto"/>
              </w:rPr>
              <w:t>Rental</w:t>
            </w:r>
          </w:p>
        </w:tc>
        <w:tc>
          <w:tcPr>
            <w:tcW w:w="142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Debt (12% Cash, Due</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3/31/18)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10,999</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Industrial Equipment</w:t>
            </w:r>
          </w:p>
        </w:tc>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Membership Units</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Rental</w:t>
            </w:r>
          </w:p>
        </w:tc>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(14% fully diluted)</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2,302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11,016</w:t>
            </w: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13,302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6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 xml:space="preserve">American Exteriors, LLC </w:t>
            </w:r>
            <w:r>
              <w:rPr>
                <w:rFonts w:ascii="Arial" w:cs="Arial" w:eastAsia="Arial" w:hAnsi="Arial"/>
                <w:sz w:val="18"/>
                <w:szCs w:val="18"/>
                <w:color w:val="auto"/>
                <w:vertAlign w:val="superscript"/>
              </w:rPr>
              <w:t>(1) (11)</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Replacement Window</w:t>
            </w:r>
          </w:p>
        </w:tc>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Senior Secured Debt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color w:val="auto"/>
              </w:rPr>
              <w:t>Manufacturer</w:t>
            </w:r>
          </w:p>
        </w:tc>
        <w:tc>
          <w:tcPr>
            <w:tcW w:w="142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(14% Cash, Due</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1/15/16)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4,368</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3,168</w:t>
            </w: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4,368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6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 xml:space="preserve">American Exteriors, LLC </w:t>
            </w:r>
            <w:r>
              <w:rPr>
                <w:rFonts w:ascii="Arial" w:cs="Arial" w:eastAsia="Arial" w:hAnsi="Arial"/>
                <w:sz w:val="18"/>
                <w:szCs w:val="18"/>
                <w:color w:val="auto"/>
                <w:vertAlign w:val="superscript"/>
              </w:rPr>
              <w:t>(1)</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Replacement Window</w:t>
            </w:r>
          </w:p>
        </w:tc>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Jr. Convertible Note</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color w:val="auto"/>
              </w:rPr>
              <w:t>Manufacturer</w:t>
            </w:r>
          </w:p>
        </w:tc>
        <w:tc>
          <w:tcPr>
            <w:tcW w:w="142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(10% Cash, Due</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12/31/16)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6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 xml:space="preserve">American Exteriors, LLC </w:t>
            </w:r>
            <w:r>
              <w:rPr>
                <w:rFonts w:ascii="Arial" w:cs="Arial" w:eastAsia="Arial" w:hAnsi="Arial"/>
                <w:sz w:val="18"/>
                <w:szCs w:val="18"/>
                <w:color w:val="auto"/>
                <w:vertAlign w:val="superscript"/>
              </w:rPr>
              <w:t>(6)</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Replacement Window</w:t>
            </w:r>
          </w:p>
        </w:tc>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color w:val="auto"/>
              </w:rPr>
              <w:t>Manufacturer</w:t>
            </w:r>
          </w:p>
        </w:tc>
        <w:tc>
          <w:tcPr>
            <w:tcW w:w="142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Warrants (15% fully</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3,583</w:t>
            </w: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4,868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B&amp;W Quality Growers,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Farming</w:t>
            </w:r>
          </w:p>
        </w:tc>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(14% Cash, Due</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7/23/20)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20,000</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19,981</w:t>
            </w: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19,981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B&amp;W Quality Growers, LLC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Farming</w:t>
            </w:r>
          </w:p>
        </w:tc>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Membership Unit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w w:val="98"/>
              </w:rPr>
              <w:t>Warrant (91,739 Units)</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20,001</w:t>
            </w: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Bluestem Brands, Inc.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Online Merchandise</w:t>
            </w:r>
          </w:p>
        </w:tc>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Senior Secured Term</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Retailer</w:t>
            </w:r>
          </w:p>
        </w:tc>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(L+7.5% Cash,</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 Floor, Due</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11/7/2020)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4,812</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4,812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4,812</w:t>
            </w: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4,812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6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 xml:space="preserve">Boot Barn Holdings, Inc </w:t>
            </w:r>
            <w:r>
              <w:rPr>
                <w:rFonts w:ascii="Arial" w:cs="Arial" w:eastAsia="Arial" w:hAnsi="Arial"/>
                <w:sz w:val="18"/>
                <w:szCs w:val="18"/>
                <w:color w:val="auto"/>
                <w:vertAlign w:val="superscript"/>
              </w:rPr>
              <w:t>(7)</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Western Wear Retail</w:t>
            </w:r>
          </w:p>
        </w:tc>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1,681</w:t>
            </w:r>
          </w:p>
        </w:tc>
        <w:tc>
          <w:tcPr>
            <w:tcW w:w="18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10,052</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(420,252 shares)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vMerge w:val="continue"/>
            <w:shd w:val="clear" w:color="auto" w:fill="CCEEFF"/>
          </w:tcPr>
          <w:p>
            <w:pPr>
              <w:spacing w:after="0"/>
              <w:rPr>
                <w:sz w:val="12"/>
                <w:szCs w:val="12"/>
                <w:color w:val="auto"/>
              </w:rPr>
            </w:pPr>
          </w:p>
        </w:tc>
        <w:tc>
          <w:tcPr>
            <w:tcW w:w="13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1,681</w:t>
            </w: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10,052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Caregiver Services, Inc.</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In-Home Healthcare</w:t>
            </w:r>
          </w:p>
        </w:tc>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Services</w:t>
            </w:r>
          </w:p>
        </w:tc>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(293,186 shares)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6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 xml:space="preserve">Caregiver Services, Inc. </w:t>
            </w:r>
            <w:r>
              <w:rPr>
                <w:rFonts w:ascii="Arial" w:cs="Arial" w:eastAsia="Arial" w:hAnsi="Arial"/>
                <w:sz w:val="18"/>
                <w:szCs w:val="18"/>
                <w:color w:val="auto"/>
                <w:vertAlign w:val="superscript"/>
              </w:rPr>
              <w:t>(6)</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In-Home Healthcare</w:t>
            </w:r>
          </w:p>
        </w:tc>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color w:val="auto"/>
              </w:rPr>
              <w:t>Services</w:t>
            </w:r>
          </w:p>
        </w:tc>
        <w:tc>
          <w:tcPr>
            <w:tcW w:w="142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Warrants (655,908</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units)</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ectPr>
          <w:pgSz w:w="11900" w:h="16900" w:orient="portrait"/>
          <w:cols w:equalWidth="0" w:num="1">
            <w:col w:w="11420"/>
          </w:cols>
          <w:pgMar w:left="240" w:top="864" w:right="239" w:bottom="0" w:gutter="0" w:footer="0" w:header="0"/>
        </w:sect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Community Choice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Construction Partners, Inc.</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Crowley Holdings, Inc. </w:t>
      </w:r>
      <w:r>
        <w:rPr>
          <w:rFonts w:ascii="Arial" w:cs="Arial" w:eastAsia="Arial" w:hAnsi="Arial"/>
          <w:sz w:val="23"/>
          <w:szCs w:val="23"/>
          <w:color w:val="auto"/>
          <w:vertAlign w:val="superscript"/>
        </w:rPr>
        <w:t>(5)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3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522</w:t>
            </w:r>
          </w:p>
        </w:tc>
        <w:tc>
          <w:tcPr>
            <w:tcW w:w="2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689</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272"/>
        </w:trPr>
        <w:tc>
          <w:tcPr>
            <w:tcW w:w="1340" w:type="dxa"/>
            <w:vAlign w:val="bottom"/>
          </w:tcPr>
          <w:p>
            <w:pPr>
              <w:spacing w:after="0"/>
              <w:rPr>
                <w:sz w:val="20"/>
                <w:szCs w:val="20"/>
                <w:color w:val="auto"/>
              </w:rPr>
            </w:pPr>
            <w:r>
              <w:rPr>
                <w:rFonts w:ascii="Arial" w:cs="Arial" w:eastAsia="Arial" w:hAnsi="Arial"/>
                <w:sz w:val="14"/>
                <w:szCs w:val="14"/>
                <w:color w:val="auto"/>
              </w:rPr>
              <w:t>Financial Services</w:t>
            </w:r>
          </w:p>
        </w:tc>
        <w:tc>
          <w:tcPr>
            <w:tcW w:w="1920" w:type="dxa"/>
            <w:vAlign w:val="bottom"/>
          </w:tcPr>
          <w:p>
            <w:pPr>
              <w:ind w:left="100"/>
              <w:spacing w:after="0"/>
              <w:rPr>
                <w:sz w:val="20"/>
                <w:szCs w:val="20"/>
                <w:color w:val="auto"/>
              </w:rPr>
            </w:pPr>
            <w:r>
              <w:rPr>
                <w:rFonts w:ascii="Arial" w:cs="Arial" w:eastAsia="Arial" w:hAnsi="Arial"/>
                <w:sz w:val="14"/>
                <w:szCs w:val="14"/>
                <w:color w:val="auto"/>
              </w:rPr>
              <w:t>Senior Secured</w:t>
            </w:r>
          </w:p>
        </w:tc>
        <w:tc>
          <w:tcPr>
            <w:tcW w:w="1060" w:type="dxa"/>
            <w:vAlign w:val="bottom"/>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49"/>
        </w:trPr>
        <w:tc>
          <w:tcPr>
            <w:tcW w:w="1340" w:type="dxa"/>
            <w:vAlign w:val="bottom"/>
          </w:tcPr>
          <w:p>
            <w:pPr>
              <w:spacing w:after="0"/>
              <w:rPr>
                <w:sz w:val="12"/>
                <w:szCs w:val="12"/>
                <w:color w:val="auto"/>
              </w:rPr>
            </w:pPr>
          </w:p>
        </w:tc>
        <w:tc>
          <w:tcPr>
            <w:tcW w:w="1920" w:type="dxa"/>
            <w:vAlign w:val="bottom"/>
          </w:tcPr>
          <w:p>
            <w:pPr>
              <w:ind w:left="100"/>
              <w:spacing w:after="0" w:line="149" w:lineRule="exact"/>
              <w:rPr>
                <w:sz w:val="20"/>
                <w:szCs w:val="20"/>
                <w:color w:val="auto"/>
              </w:rPr>
            </w:pPr>
            <w:r>
              <w:rPr>
                <w:rFonts w:ascii="Arial" w:cs="Arial" w:eastAsia="Arial" w:hAnsi="Arial"/>
                <w:sz w:val="14"/>
                <w:szCs w:val="14"/>
                <w:color w:val="auto"/>
              </w:rPr>
              <w:t>Revolving Debt</w:t>
            </w: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1340" w:type="dxa"/>
            <w:vAlign w:val="bottom"/>
          </w:tcPr>
          <w:p>
            <w:pPr>
              <w:spacing w:after="0"/>
              <w:rPr>
                <w:sz w:val="12"/>
                <w:szCs w:val="12"/>
                <w:color w:val="auto"/>
              </w:rPr>
            </w:pPr>
          </w:p>
        </w:tc>
        <w:tc>
          <w:tcPr>
            <w:tcW w:w="1920" w:type="dxa"/>
            <w:vAlign w:val="bottom"/>
          </w:tcPr>
          <w:p>
            <w:pPr>
              <w:ind w:left="100"/>
              <w:spacing w:after="0" w:line="149" w:lineRule="exact"/>
              <w:rPr>
                <w:sz w:val="20"/>
                <w:szCs w:val="20"/>
                <w:color w:val="auto"/>
              </w:rPr>
            </w:pPr>
            <w:r>
              <w:rPr>
                <w:rFonts w:ascii="Arial" w:cs="Arial" w:eastAsia="Arial" w:hAnsi="Arial"/>
                <w:sz w:val="14"/>
                <w:szCs w:val="14"/>
                <w:color w:val="auto"/>
              </w:rPr>
              <w:t>(L+13% Cash, 1%</w:t>
            </w: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1"/>
        </w:trPr>
        <w:tc>
          <w:tcPr>
            <w:tcW w:w="1340" w:type="dxa"/>
            <w:vAlign w:val="bottom"/>
          </w:tcPr>
          <w:p>
            <w:pPr>
              <w:spacing w:after="0"/>
              <w:rPr>
                <w:sz w:val="15"/>
                <w:szCs w:val="15"/>
                <w:color w:val="auto"/>
              </w:rPr>
            </w:pPr>
          </w:p>
        </w:tc>
        <w:tc>
          <w:tcPr>
            <w:tcW w:w="1920" w:type="dxa"/>
            <w:vAlign w:val="bottom"/>
          </w:tcPr>
          <w:p>
            <w:pPr>
              <w:ind w:left="100"/>
              <w:spacing w:after="0"/>
              <w:rPr>
                <w:sz w:val="20"/>
                <w:szCs w:val="20"/>
                <w:color w:val="auto"/>
              </w:rPr>
            </w:pPr>
            <w:r>
              <w:rPr>
                <w:rFonts w:ascii="Arial" w:cs="Arial" w:eastAsia="Arial" w:hAnsi="Arial"/>
                <w:sz w:val="14"/>
                <w:szCs w:val="14"/>
                <w:color w:val="auto"/>
              </w:rPr>
              <w:t>Floor, Due 3/27/17)</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15,000</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15,000</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6.3%</w:t>
            </w:r>
          </w:p>
        </w:tc>
      </w:tr>
      <w:tr>
        <w:trPr>
          <w:trHeight w:val="20"/>
        </w:trPr>
        <w:tc>
          <w:tcPr>
            <w:tcW w:w="1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15,000</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6.3%</w:t>
            </w:r>
          </w:p>
        </w:tc>
      </w:tr>
      <w:tr>
        <w:trPr>
          <w:trHeight w:val="272"/>
        </w:trPr>
        <w:tc>
          <w:tcPr>
            <w:tcW w:w="1340" w:type="dxa"/>
            <w:vAlign w:val="bottom"/>
          </w:tcPr>
          <w:p>
            <w:pPr>
              <w:spacing w:after="0"/>
              <w:rPr>
                <w:sz w:val="20"/>
                <w:szCs w:val="20"/>
                <w:color w:val="auto"/>
              </w:rPr>
            </w:pPr>
            <w:r>
              <w:rPr>
                <w:rFonts w:ascii="Arial" w:cs="Arial" w:eastAsia="Arial" w:hAnsi="Arial"/>
                <w:sz w:val="14"/>
                <w:szCs w:val="14"/>
                <w:color w:val="auto"/>
                <w:w w:val="96"/>
              </w:rPr>
              <w:t>Construction Services</w:t>
            </w:r>
          </w:p>
        </w:tc>
        <w:tc>
          <w:tcPr>
            <w:tcW w:w="1920" w:type="dxa"/>
            <w:vAlign w:val="bottom"/>
          </w:tcPr>
          <w:p>
            <w:pPr>
              <w:ind w:left="100"/>
              <w:spacing w:after="0"/>
              <w:rPr>
                <w:sz w:val="20"/>
                <w:szCs w:val="20"/>
                <w:color w:val="auto"/>
              </w:rPr>
            </w:pPr>
            <w:r>
              <w:rPr>
                <w:rFonts w:ascii="Arial" w:cs="Arial" w:eastAsia="Arial" w:hAnsi="Arial"/>
                <w:sz w:val="14"/>
                <w:szCs w:val="14"/>
                <w:color w:val="auto"/>
              </w:rPr>
              <w:t>Subordinated Debt</w:t>
            </w:r>
          </w:p>
        </w:tc>
        <w:tc>
          <w:tcPr>
            <w:tcW w:w="1060" w:type="dxa"/>
            <w:vAlign w:val="bottom"/>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49"/>
        </w:trPr>
        <w:tc>
          <w:tcPr>
            <w:tcW w:w="1340" w:type="dxa"/>
            <w:vAlign w:val="bottom"/>
          </w:tcPr>
          <w:p>
            <w:pPr>
              <w:spacing w:after="0"/>
              <w:rPr>
                <w:sz w:val="12"/>
                <w:szCs w:val="12"/>
                <w:color w:val="auto"/>
              </w:rPr>
            </w:pPr>
          </w:p>
        </w:tc>
        <w:tc>
          <w:tcPr>
            <w:tcW w:w="1920" w:type="dxa"/>
            <w:vAlign w:val="bottom"/>
          </w:tcPr>
          <w:p>
            <w:pPr>
              <w:ind w:left="100"/>
              <w:spacing w:after="0" w:line="149" w:lineRule="exact"/>
              <w:rPr>
                <w:sz w:val="20"/>
                <w:szCs w:val="20"/>
                <w:color w:val="auto"/>
              </w:rPr>
            </w:pPr>
            <w:r>
              <w:rPr>
                <w:rFonts w:ascii="Arial" w:cs="Arial" w:eastAsia="Arial" w:hAnsi="Arial"/>
                <w:sz w:val="14"/>
                <w:szCs w:val="14"/>
                <w:color w:val="auto"/>
              </w:rPr>
              <w:t>(11.5% Cash, Due</w:t>
            </w: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1"/>
        </w:trPr>
        <w:tc>
          <w:tcPr>
            <w:tcW w:w="1340" w:type="dxa"/>
            <w:vAlign w:val="bottom"/>
          </w:tcPr>
          <w:p>
            <w:pPr>
              <w:spacing w:after="0"/>
              <w:rPr>
                <w:sz w:val="15"/>
                <w:szCs w:val="15"/>
                <w:color w:val="auto"/>
              </w:rPr>
            </w:pPr>
          </w:p>
        </w:tc>
        <w:tc>
          <w:tcPr>
            <w:tcW w:w="1920" w:type="dxa"/>
            <w:vAlign w:val="bottom"/>
          </w:tcPr>
          <w:p>
            <w:pPr>
              <w:ind w:left="100"/>
              <w:spacing w:after="0"/>
              <w:rPr>
                <w:sz w:val="20"/>
                <w:szCs w:val="20"/>
                <w:color w:val="auto"/>
              </w:rPr>
            </w:pPr>
            <w:r>
              <w:rPr>
                <w:rFonts w:ascii="Arial" w:cs="Arial" w:eastAsia="Arial" w:hAnsi="Arial"/>
                <w:sz w:val="14"/>
                <w:szCs w:val="14"/>
                <w:color w:val="auto"/>
              </w:rPr>
              <w:t>6/12/2020)</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12,500</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12,500</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12,500</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5.2%</w:t>
            </w:r>
          </w:p>
        </w:tc>
      </w:tr>
      <w:tr>
        <w:trPr>
          <w:trHeight w:val="20"/>
        </w:trPr>
        <w:tc>
          <w:tcPr>
            <w:tcW w:w="1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12,500</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12,500</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5.2%</w:t>
            </w:r>
          </w:p>
        </w:tc>
      </w:tr>
      <w:tr>
        <w:trPr>
          <w:trHeight w:val="272"/>
        </w:trPr>
        <w:tc>
          <w:tcPr>
            <w:tcW w:w="1340" w:type="dxa"/>
            <w:vAlign w:val="bottom"/>
          </w:tcPr>
          <w:p>
            <w:pPr>
              <w:spacing w:after="0"/>
              <w:rPr>
                <w:sz w:val="20"/>
                <w:szCs w:val="20"/>
                <w:color w:val="auto"/>
              </w:rPr>
            </w:pPr>
            <w:r>
              <w:rPr>
                <w:rFonts w:ascii="Arial" w:cs="Arial" w:eastAsia="Arial" w:hAnsi="Arial"/>
                <w:sz w:val="14"/>
                <w:szCs w:val="14"/>
                <w:color w:val="auto"/>
              </w:rPr>
              <w:t>Transportation</w:t>
            </w:r>
          </w:p>
        </w:tc>
        <w:tc>
          <w:tcPr>
            <w:tcW w:w="1920" w:type="dxa"/>
            <w:vAlign w:val="bottom"/>
          </w:tcPr>
          <w:p>
            <w:pPr>
              <w:ind w:left="100"/>
              <w:spacing w:after="0"/>
              <w:rPr>
                <w:sz w:val="20"/>
                <w:szCs w:val="20"/>
                <w:color w:val="auto"/>
              </w:rPr>
            </w:pPr>
            <w:r>
              <w:rPr>
                <w:rFonts w:ascii="Arial" w:cs="Arial" w:eastAsia="Arial" w:hAnsi="Arial"/>
                <w:sz w:val="14"/>
                <w:szCs w:val="14"/>
                <w:color w:val="auto"/>
              </w:rPr>
              <w:t>Series A Income</w:t>
            </w:r>
          </w:p>
        </w:tc>
        <w:tc>
          <w:tcPr>
            <w:tcW w:w="1060" w:type="dxa"/>
            <w:vAlign w:val="bottom"/>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49"/>
        </w:trPr>
        <w:tc>
          <w:tcPr>
            <w:tcW w:w="1340" w:type="dxa"/>
            <w:vAlign w:val="bottom"/>
          </w:tcPr>
          <w:p>
            <w:pPr>
              <w:spacing w:after="0"/>
              <w:rPr>
                <w:sz w:val="12"/>
                <w:szCs w:val="12"/>
                <w:color w:val="auto"/>
              </w:rPr>
            </w:pPr>
          </w:p>
        </w:tc>
        <w:tc>
          <w:tcPr>
            <w:tcW w:w="1920" w:type="dxa"/>
            <w:vAlign w:val="bottom"/>
          </w:tcPr>
          <w:p>
            <w:pPr>
              <w:ind w:left="100"/>
              <w:spacing w:after="0" w:line="149" w:lineRule="exact"/>
              <w:rPr>
                <w:sz w:val="20"/>
                <w:szCs w:val="20"/>
                <w:color w:val="auto"/>
              </w:rPr>
            </w:pPr>
            <w:r>
              <w:rPr>
                <w:rFonts w:ascii="Arial" w:cs="Arial" w:eastAsia="Arial" w:hAnsi="Arial"/>
                <w:sz w:val="14"/>
                <w:szCs w:val="14"/>
                <w:color w:val="auto"/>
              </w:rPr>
              <w:t>Preferred Shares (6,000</w:t>
            </w: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1340" w:type="dxa"/>
            <w:vAlign w:val="bottom"/>
          </w:tcPr>
          <w:p>
            <w:pPr>
              <w:spacing w:after="0"/>
              <w:rPr>
                <w:sz w:val="12"/>
                <w:szCs w:val="12"/>
                <w:color w:val="auto"/>
              </w:rPr>
            </w:pPr>
          </w:p>
        </w:tc>
        <w:tc>
          <w:tcPr>
            <w:tcW w:w="1920" w:type="dxa"/>
            <w:vAlign w:val="bottom"/>
          </w:tcPr>
          <w:p>
            <w:pPr>
              <w:ind w:left="100"/>
              <w:spacing w:after="0" w:line="149" w:lineRule="exact"/>
              <w:rPr>
                <w:sz w:val="20"/>
                <w:szCs w:val="20"/>
                <w:color w:val="auto"/>
              </w:rPr>
            </w:pPr>
            <w:r>
              <w:rPr>
                <w:rFonts w:ascii="Arial" w:cs="Arial" w:eastAsia="Arial" w:hAnsi="Arial"/>
                <w:sz w:val="14"/>
                <w:szCs w:val="14"/>
                <w:color w:val="auto"/>
              </w:rPr>
              <w:t>shares, 10% Cash, 2%</w:t>
            </w: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1"/>
        </w:trPr>
        <w:tc>
          <w:tcPr>
            <w:tcW w:w="1340" w:type="dxa"/>
            <w:vAlign w:val="bottom"/>
          </w:tcPr>
          <w:p>
            <w:pPr>
              <w:spacing w:after="0"/>
              <w:rPr>
                <w:sz w:val="15"/>
                <w:szCs w:val="15"/>
                <w:color w:val="auto"/>
              </w:rPr>
            </w:pPr>
          </w:p>
        </w:tc>
        <w:tc>
          <w:tcPr>
            <w:tcW w:w="1920" w:type="dxa"/>
            <w:vAlign w:val="bottom"/>
          </w:tcPr>
          <w:p>
            <w:pPr>
              <w:ind w:left="100"/>
              <w:spacing w:after="0"/>
              <w:rPr>
                <w:sz w:val="20"/>
                <w:szCs w:val="20"/>
                <w:color w:val="auto"/>
              </w:rPr>
            </w:pPr>
            <w:r>
              <w:rPr>
                <w:rFonts w:ascii="Arial" w:cs="Arial" w:eastAsia="Arial" w:hAnsi="Arial"/>
                <w:sz w:val="14"/>
                <w:szCs w:val="14"/>
                <w:color w:val="auto"/>
              </w:rPr>
              <w:t>PIK dividend)</w:t>
            </w:r>
          </w:p>
        </w:tc>
        <w:tc>
          <w:tcPr>
            <w:tcW w:w="1060" w:type="dxa"/>
            <w:vAlign w:val="bottom"/>
          </w:tcPr>
          <w:p>
            <w:pPr>
              <w:spacing w:after="0"/>
              <w:rPr>
                <w:sz w:val="15"/>
                <w:szCs w:val="15"/>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6,176</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6,176</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2.6%</w:t>
            </w:r>
          </w:p>
        </w:tc>
      </w:tr>
      <w:tr>
        <w:trPr>
          <w:trHeight w:val="20"/>
        </w:trPr>
        <w:tc>
          <w:tcPr>
            <w:tcW w:w="1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6,176</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6,176</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2.6%</w:t>
            </w:r>
          </w:p>
        </w:tc>
      </w:tr>
      <w:tr>
        <w:trPr>
          <w:trHeight w:val="20"/>
        </w:trPr>
        <w:tc>
          <w:tcPr>
            <w:tcW w:w="1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-2100580</wp:posOffset>
            </wp:positionV>
            <wp:extent cx="724662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-1894840</wp:posOffset>
            </wp:positionV>
            <wp:extent cx="7246620" cy="3860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-1405890</wp:posOffset>
            </wp:positionV>
            <wp:extent cx="7246620"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-1200150</wp:posOffset>
            </wp:positionV>
            <wp:extent cx="7246620" cy="291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-805180</wp:posOffset>
            </wp:positionV>
            <wp:extent cx="724662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-599440</wp:posOffset>
            </wp:positionV>
            <wp:extent cx="7246620" cy="386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-111125</wp:posOffset>
            </wp:positionV>
            <wp:extent cx="7246620"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117" w:lineRule="exact"/>
        <w:rPr>
          <w:sz w:val="20"/>
          <w:szCs w:val="20"/>
          <w:color w:val="auto"/>
        </w:rPr>
      </w:pPr>
    </w:p>
    <w:p>
      <w:pPr>
        <w:sectPr>
          <w:pgSz w:w="11900" w:h="16900" w:orient="portrait"/>
          <w:cols w:equalWidth="0" w:num="2">
            <w:col w:w="2360" w:space="720"/>
            <w:col w:w="8340"/>
          </w:cols>
          <w:pgMar w:left="240" w:top="864" w:right="239" w:bottom="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CSM Bakery Solutions, LLC</w:t>
            </w:r>
          </w:p>
        </w:tc>
        <w:tc>
          <w:tcPr>
            <w:tcW w:w="18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Bakery Supplies</w:t>
            </w:r>
          </w:p>
        </w:tc>
        <w:tc>
          <w:tcPr>
            <w:tcW w:w="2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Subordinated Debt</w:t>
            </w:r>
          </w:p>
        </w:tc>
        <w:tc>
          <w:tcPr>
            <w:tcW w:w="1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88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Distributor</w:t>
            </w:r>
          </w:p>
        </w:tc>
        <w:tc>
          <w:tcPr>
            <w:tcW w:w="20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(L+7.75% Cash, 1%</w:t>
            </w:r>
          </w:p>
        </w:tc>
        <w:tc>
          <w:tcPr>
            <w:tcW w:w="1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2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Floor, Due 8/7/22)</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17,000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16,652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16,244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16,652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16,244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1880" w:type="dxa"/>
            <w:vAlign w:val="bottom"/>
            <w:shd w:val="clear" w:color="auto" w:fill="CCEEFF"/>
          </w:tcPr>
          <w:p>
            <w:pPr>
              <w:ind w:left="700"/>
              <w:spacing w:after="0" w:line="130" w:lineRule="exact"/>
              <w:rPr>
                <w:sz w:val="20"/>
                <w:szCs w:val="20"/>
                <w:color w:val="auto"/>
              </w:rPr>
            </w:pPr>
            <w:r>
              <w:rPr>
                <w:rFonts w:ascii="Arial" w:cs="Arial" w:eastAsia="Arial" w:hAnsi="Arial"/>
                <w:sz w:val="14"/>
                <w:szCs w:val="14"/>
                <w:color w:val="auto"/>
              </w:rPr>
              <w:t>Food Product</w:t>
            </w:r>
          </w:p>
        </w:tc>
        <w:tc>
          <w:tcPr>
            <w:tcW w:w="202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Senior Secured Term</w:t>
            </w:r>
          </w:p>
        </w:tc>
        <w:tc>
          <w:tcPr>
            <w:tcW w:w="1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88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Manufacturer</w:t>
            </w:r>
          </w:p>
        </w:tc>
        <w:tc>
          <w:tcPr>
            <w:tcW w:w="20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Debt (L+5.75% Cash,</w:t>
            </w:r>
          </w:p>
        </w:tc>
        <w:tc>
          <w:tcPr>
            <w:tcW w:w="1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0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1% Floor, Due</w:t>
            </w:r>
          </w:p>
        </w:tc>
        <w:tc>
          <w:tcPr>
            <w:tcW w:w="1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4/3/2020)</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7,800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7,512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7,512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1880" w:type="dxa"/>
            <w:vAlign w:val="bottom"/>
            <w:shd w:val="clear" w:color="auto" w:fill="CCEEFF"/>
          </w:tcPr>
          <w:p>
            <w:pPr>
              <w:ind w:left="700"/>
              <w:spacing w:after="0" w:line="130" w:lineRule="exact"/>
              <w:rPr>
                <w:sz w:val="20"/>
                <w:szCs w:val="20"/>
                <w:color w:val="auto"/>
              </w:rPr>
            </w:pPr>
            <w:r>
              <w:rPr>
                <w:rFonts w:ascii="Arial" w:cs="Arial" w:eastAsia="Arial" w:hAnsi="Arial"/>
                <w:sz w:val="14"/>
                <w:szCs w:val="14"/>
                <w:color w:val="auto"/>
              </w:rPr>
              <w:t>Food Product</w:t>
            </w:r>
          </w:p>
        </w:tc>
        <w:tc>
          <w:tcPr>
            <w:tcW w:w="202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Subordinated Debt</w:t>
            </w:r>
          </w:p>
        </w:tc>
        <w:tc>
          <w:tcPr>
            <w:tcW w:w="1120" w:type="dxa"/>
            <w:vAlign w:val="bottom"/>
            <w:shd w:val="clear" w:color="auto" w:fill="CCEEFF"/>
          </w:tcPr>
          <w:p>
            <w:pPr>
              <w:jc w:val="right"/>
              <w:ind w:right="148"/>
              <w:spacing w:after="0" w:line="130" w:lineRule="exact"/>
              <w:rPr>
                <w:sz w:val="20"/>
                <w:szCs w:val="20"/>
                <w:color w:val="auto"/>
              </w:rPr>
            </w:pPr>
            <w:r>
              <w:rPr>
                <w:rFonts w:ascii="Arial" w:cs="Arial" w:eastAsia="Arial" w:hAnsi="Arial"/>
                <w:sz w:val="14"/>
                <w:szCs w:val="14"/>
                <w:color w:val="auto"/>
              </w:rPr>
              <w:t>12,000</w:t>
            </w:r>
          </w:p>
        </w:tc>
        <w:tc>
          <w:tcPr>
            <w:tcW w:w="13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11,549</w:t>
            </w:r>
          </w:p>
        </w:tc>
        <w:tc>
          <w:tcPr>
            <w:tcW w:w="13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11,549</w:t>
            </w:r>
          </w:p>
        </w:tc>
        <w:tc>
          <w:tcPr>
            <w:tcW w:w="13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18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Manufacturer</w:t>
            </w:r>
          </w:p>
        </w:tc>
        <w:tc>
          <w:tcPr>
            <w:tcW w:w="2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(L+10% Cash, 1%</w:t>
            </w:r>
          </w:p>
        </w:tc>
        <w:tc>
          <w:tcPr>
            <w:tcW w:w="1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864" w:right="239" w:bottom="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80" w:type="dxa"/>
            <w:vAlign w:val="bottom"/>
            <w:shd w:val="clear" w:color="auto" w:fill="CCEEFF"/>
          </w:tcPr>
          <w:p>
            <w:pPr>
              <w:ind w:left="60"/>
              <w:spacing w:after="0"/>
              <w:rPr>
                <w:sz w:val="20"/>
                <w:szCs w:val="20"/>
                <w:color w:val="auto"/>
              </w:rPr>
            </w:pPr>
            <w:r>
              <w:rPr>
                <w:rFonts w:ascii="Arial" w:cs="Arial" w:eastAsia="Arial" w:hAnsi="Arial"/>
                <w:sz w:val="14"/>
                <w:szCs w:val="14"/>
                <w:color w:val="auto"/>
              </w:rPr>
              <w:t>Floor, Due 10/3/2021)</w:t>
            </w:r>
          </w:p>
        </w:tc>
        <w:tc>
          <w:tcPr>
            <w:tcW w:w="106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19,061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19,061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Immersive Media Tactical Solutions, LLC</w:t>
            </w:r>
          </w:p>
        </w:tc>
        <w:tc>
          <w:tcPr>
            <w:tcW w:w="168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Specialty Defense</w:t>
            </w:r>
          </w:p>
        </w:tc>
        <w:tc>
          <w:tcPr>
            <w:tcW w:w="18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Senior Secured Term</w:t>
            </w:r>
          </w:p>
        </w:tc>
        <w:tc>
          <w:tcPr>
            <w:tcW w:w="10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Contractor</w:t>
            </w:r>
          </w:p>
        </w:tc>
        <w:tc>
          <w:tcPr>
            <w:tcW w:w="18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Debt (13% Cash, Due</w:t>
            </w: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80" w:type="dxa"/>
            <w:vAlign w:val="bottom"/>
            <w:shd w:val="clear" w:color="auto" w:fill="CCEEFF"/>
          </w:tcPr>
          <w:p>
            <w:pPr>
              <w:ind w:left="60"/>
              <w:spacing w:after="0"/>
              <w:rPr>
                <w:sz w:val="20"/>
                <w:szCs w:val="20"/>
                <w:color w:val="auto"/>
              </w:rPr>
            </w:pPr>
            <w:r>
              <w:rPr>
                <w:rFonts w:ascii="Arial" w:cs="Arial" w:eastAsia="Arial" w:hAnsi="Arial"/>
                <w:sz w:val="14"/>
                <w:szCs w:val="14"/>
                <w:color w:val="auto"/>
              </w:rPr>
              <w:t>10/6/16)</w:t>
            </w: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2,000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1,612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Immersive Media Tactical Solutions, LLC</w:t>
            </w:r>
          </w:p>
        </w:tc>
        <w:tc>
          <w:tcPr>
            <w:tcW w:w="168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Specialty Defense</w:t>
            </w:r>
          </w:p>
        </w:tc>
        <w:tc>
          <w:tcPr>
            <w:tcW w:w="18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Common Unit Warrants</w:t>
            </w:r>
          </w:p>
        </w:tc>
        <w:tc>
          <w:tcPr>
            <w:tcW w:w="10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16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Contractor</w:t>
            </w:r>
          </w:p>
        </w:tc>
        <w:tc>
          <w:tcPr>
            <w:tcW w:w="1880" w:type="dxa"/>
            <w:vAlign w:val="bottom"/>
            <w:shd w:val="clear" w:color="auto" w:fill="CCEEFF"/>
          </w:tcPr>
          <w:p>
            <w:pPr>
              <w:ind w:left="60"/>
              <w:spacing w:after="0"/>
              <w:rPr>
                <w:sz w:val="20"/>
                <w:szCs w:val="20"/>
                <w:color w:val="auto"/>
              </w:rPr>
            </w:pPr>
            <w:r>
              <w:rPr>
                <w:rFonts w:ascii="Arial" w:cs="Arial" w:eastAsia="Arial" w:hAnsi="Arial"/>
                <w:sz w:val="14"/>
                <w:szCs w:val="14"/>
                <w:color w:val="auto"/>
              </w:rPr>
              <w:t>(12% fully diluted)</w:t>
            </w:r>
          </w:p>
        </w:tc>
        <w:tc>
          <w:tcPr>
            <w:tcW w:w="10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1,612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Kelle's Transport Service, LLC</w:t>
            </w:r>
          </w:p>
        </w:tc>
        <w:tc>
          <w:tcPr>
            <w:tcW w:w="168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Transportation</w:t>
            </w:r>
          </w:p>
        </w:tc>
        <w:tc>
          <w:tcPr>
            <w:tcW w:w="18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Senior Secured Debt</w:t>
            </w:r>
          </w:p>
        </w:tc>
        <w:tc>
          <w:tcPr>
            <w:tcW w:w="10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8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(14% Cash, Due</w:t>
            </w: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80" w:type="dxa"/>
            <w:vAlign w:val="bottom"/>
            <w:shd w:val="clear" w:color="auto" w:fill="CCEEFF"/>
          </w:tcPr>
          <w:p>
            <w:pPr>
              <w:ind w:left="60"/>
              <w:spacing w:after="0"/>
              <w:rPr>
                <w:sz w:val="20"/>
                <w:szCs w:val="20"/>
                <w:color w:val="auto"/>
              </w:rPr>
            </w:pPr>
            <w:r>
              <w:rPr>
                <w:rFonts w:ascii="Arial" w:cs="Arial" w:eastAsia="Arial" w:hAnsi="Arial"/>
                <w:sz w:val="14"/>
                <w:szCs w:val="14"/>
                <w:color w:val="auto"/>
              </w:rPr>
              <w:t>3/31/19)</w:t>
            </w: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15,173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15,159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15,173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76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Kelle's Transport Service, LLC </w:t>
            </w:r>
            <w:r>
              <w:rPr>
                <w:rFonts w:ascii="Arial" w:cs="Arial" w:eastAsia="Arial" w:hAnsi="Arial"/>
                <w:sz w:val="18"/>
                <w:szCs w:val="18"/>
                <w:color w:val="auto"/>
                <w:vertAlign w:val="superscript"/>
              </w:rPr>
              <w:t>(5)</w:t>
            </w:r>
          </w:p>
        </w:tc>
        <w:tc>
          <w:tcPr>
            <w:tcW w:w="16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Transportation</w:t>
            </w:r>
          </w:p>
        </w:tc>
        <w:tc>
          <w:tcPr>
            <w:tcW w:w="1880" w:type="dxa"/>
            <w:vAlign w:val="bottom"/>
            <w:shd w:val="clear" w:color="auto" w:fill="CCEEFF"/>
          </w:tcPr>
          <w:p>
            <w:pPr>
              <w:ind w:left="60"/>
              <w:spacing w:after="0"/>
              <w:rPr>
                <w:sz w:val="20"/>
                <w:szCs w:val="20"/>
                <w:color w:val="auto"/>
              </w:rPr>
            </w:pPr>
            <w:r>
              <w:rPr>
                <w:rFonts w:ascii="Arial" w:cs="Arial" w:eastAsia="Arial" w:hAnsi="Arial"/>
                <w:sz w:val="14"/>
                <w:szCs w:val="14"/>
                <w:color w:val="auto"/>
              </w:rPr>
              <w:t>Preferred Units (1,000</w:t>
            </w:r>
          </w:p>
        </w:tc>
        <w:tc>
          <w:tcPr>
            <w:tcW w:w="1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1880" w:type="dxa"/>
            <w:vAlign w:val="bottom"/>
            <w:shd w:val="clear" w:color="auto" w:fill="CCEEFF"/>
          </w:tcPr>
          <w:p>
            <w:pPr>
              <w:ind w:left="60"/>
              <w:spacing w:after="0" w:line="116" w:lineRule="exact"/>
              <w:rPr>
                <w:sz w:val="20"/>
                <w:szCs w:val="20"/>
                <w:color w:val="auto"/>
              </w:rPr>
            </w:pPr>
            <w:r>
              <w:rPr>
                <w:rFonts w:ascii="Arial" w:cs="Arial" w:eastAsia="Arial" w:hAnsi="Arial"/>
                <w:sz w:val="13"/>
                <w:szCs w:val="13"/>
                <w:color w:val="auto"/>
              </w:rPr>
              <w:t>units, 10% PIK</w:t>
            </w:r>
          </w:p>
        </w:tc>
        <w:tc>
          <w:tcPr>
            <w:tcW w:w="10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8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Dividend)</w:t>
            </w:r>
          </w:p>
        </w:tc>
        <w:tc>
          <w:tcPr>
            <w:tcW w:w="10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2,873</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2,873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Kelle's Transport Service, LLC</w:t>
            </w:r>
          </w:p>
        </w:tc>
        <w:tc>
          <w:tcPr>
            <w:tcW w:w="168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Transportation</w:t>
            </w:r>
          </w:p>
        </w:tc>
        <w:tc>
          <w:tcPr>
            <w:tcW w:w="18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Common Stock</w:t>
            </w:r>
          </w:p>
        </w:tc>
        <w:tc>
          <w:tcPr>
            <w:tcW w:w="10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8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Warrants (15% fully</w:t>
            </w: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8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diluted)</w:t>
            </w:r>
          </w:p>
        </w:tc>
        <w:tc>
          <w:tcPr>
            <w:tcW w:w="10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3,231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18,055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21,277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76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Medical Depot, Inc. </w:t>
            </w:r>
            <w:r>
              <w:rPr>
                <w:rFonts w:ascii="Arial" w:cs="Arial" w:eastAsia="Arial" w:hAnsi="Arial"/>
                <w:sz w:val="18"/>
                <w:szCs w:val="18"/>
                <w:color w:val="auto"/>
                <w:vertAlign w:val="superscript"/>
              </w:rPr>
              <w:t>(1)</w:t>
            </w:r>
          </w:p>
        </w:tc>
        <w:tc>
          <w:tcPr>
            <w:tcW w:w="16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Medical Device</w:t>
            </w:r>
          </w:p>
        </w:tc>
        <w:tc>
          <w:tcPr>
            <w:tcW w:w="18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Subordinated Debt</w:t>
            </w:r>
          </w:p>
        </w:tc>
        <w:tc>
          <w:tcPr>
            <w:tcW w:w="1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680" w:type="dxa"/>
            <w:vAlign w:val="bottom"/>
            <w:shd w:val="clear" w:color="auto" w:fill="CCEEFF"/>
          </w:tcPr>
          <w:p>
            <w:pPr>
              <w:ind w:left="300"/>
              <w:spacing w:after="0" w:line="116" w:lineRule="exact"/>
              <w:rPr>
                <w:sz w:val="20"/>
                <w:szCs w:val="20"/>
                <w:color w:val="auto"/>
              </w:rPr>
            </w:pPr>
            <w:r>
              <w:rPr>
                <w:rFonts w:ascii="Arial" w:cs="Arial" w:eastAsia="Arial" w:hAnsi="Arial"/>
                <w:sz w:val="13"/>
                <w:szCs w:val="13"/>
                <w:color w:val="auto"/>
              </w:rPr>
              <w:t>Distributor</w:t>
            </w:r>
          </w:p>
        </w:tc>
        <w:tc>
          <w:tcPr>
            <w:tcW w:w="1880" w:type="dxa"/>
            <w:vAlign w:val="bottom"/>
            <w:shd w:val="clear" w:color="auto" w:fill="CCEEFF"/>
          </w:tcPr>
          <w:p>
            <w:pPr>
              <w:ind w:left="60"/>
              <w:spacing w:after="0" w:line="116" w:lineRule="exact"/>
              <w:rPr>
                <w:sz w:val="20"/>
                <w:szCs w:val="20"/>
                <w:color w:val="auto"/>
              </w:rPr>
            </w:pPr>
            <w:r>
              <w:rPr>
                <w:rFonts w:ascii="Arial" w:cs="Arial" w:eastAsia="Arial" w:hAnsi="Arial"/>
                <w:sz w:val="13"/>
                <w:szCs w:val="13"/>
                <w:color w:val="auto"/>
              </w:rPr>
              <w:t>(14% Cash, Due</w:t>
            </w:r>
          </w:p>
        </w:tc>
        <w:tc>
          <w:tcPr>
            <w:tcW w:w="10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80" w:type="dxa"/>
            <w:vAlign w:val="bottom"/>
            <w:shd w:val="clear" w:color="auto" w:fill="CCEEFF"/>
          </w:tcPr>
          <w:p>
            <w:pPr>
              <w:ind w:left="60"/>
              <w:spacing w:after="0"/>
              <w:rPr>
                <w:sz w:val="20"/>
                <w:szCs w:val="20"/>
                <w:color w:val="auto"/>
              </w:rPr>
            </w:pPr>
            <w:r>
              <w:rPr>
                <w:rFonts w:ascii="Arial" w:cs="Arial" w:eastAsia="Arial" w:hAnsi="Arial"/>
                <w:sz w:val="14"/>
                <w:szCs w:val="14"/>
                <w:color w:val="auto"/>
              </w:rPr>
              <w:t>9/27/20)</w:t>
            </w: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4,667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4,667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4,667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Medical Depot, Inc.</w:t>
            </w:r>
          </w:p>
        </w:tc>
        <w:tc>
          <w:tcPr>
            <w:tcW w:w="168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Medical Device</w:t>
            </w:r>
          </w:p>
        </w:tc>
        <w:tc>
          <w:tcPr>
            <w:tcW w:w="18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Series C Convertible</w:t>
            </w:r>
          </w:p>
        </w:tc>
        <w:tc>
          <w:tcPr>
            <w:tcW w:w="10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Distributor</w:t>
            </w:r>
          </w:p>
        </w:tc>
        <w:tc>
          <w:tcPr>
            <w:tcW w:w="18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Preferred Stock (740</w:t>
            </w: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shares)</w:t>
            </w:r>
          </w:p>
        </w:tc>
        <w:tc>
          <w:tcPr>
            <w:tcW w:w="10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1,333</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5,317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9,984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Meritas Schools Holdings, LLC</w:t>
            </w:r>
          </w:p>
        </w:tc>
        <w:tc>
          <w:tcPr>
            <w:tcW w:w="168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Education Services</w:t>
            </w:r>
          </w:p>
        </w:tc>
        <w:tc>
          <w:tcPr>
            <w:tcW w:w="18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Subordinated Debt</w:t>
            </w:r>
          </w:p>
        </w:tc>
        <w:tc>
          <w:tcPr>
            <w:tcW w:w="10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8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(L+9% Cash, 1% Floor,</w:t>
            </w: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80" w:type="dxa"/>
            <w:vAlign w:val="bottom"/>
            <w:shd w:val="clear" w:color="auto" w:fill="CCEEFF"/>
          </w:tcPr>
          <w:p>
            <w:pPr>
              <w:ind w:left="60"/>
              <w:spacing w:after="0"/>
              <w:rPr>
                <w:sz w:val="20"/>
                <w:szCs w:val="20"/>
                <w:color w:val="auto"/>
              </w:rPr>
            </w:pPr>
            <w:r>
              <w:rPr>
                <w:rFonts w:ascii="Arial" w:cs="Arial" w:eastAsia="Arial" w:hAnsi="Arial"/>
                <w:sz w:val="14"/>
                <w:szCs w:val="14"/>
                <w:color w:val="auto"/>
              </w:rPr>
              <w:t>Due 1/23/2021)</w:t>
            </w: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3,000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2,987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2,987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Merlin International, Inc.</w:t>
            </w:r>
          </w:p>
        </w:tc>
        <w:tc>
          <w:tcPr>
            <w:tcW w:w="168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IT Government</w:t>
            </w:r>
          </w:p>
        </w:tc>
        <w:tc>
          <w:tcPr>
            <w:tcW w:w="18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Subordinated Debt</w:t>
            </w:r>
          </w:p>
        </w:tc>
        <w:tc>
          <w:tcPr>
            <w:tcW w:w="10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Contracting</w:t>
            </w:r>
          </w:p>
        </w:tc>
        <w:tc>
          <w:tcPr>
            <w:tcW w:w="18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(12.5% Cash, Due</w:t>
            </w: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80" w:type="dxa"/>
            <w:vAlign w:val="bottom"/>
            <w:shd w:val="clear" w:color="auto" w:fill="CCEEFF"/>
          </w:tcPr>
          <w:p>
            <w:pPr>
              <w:ind w:left="60"/>
              <w:spacing w:after="0"/>
              <w:rPr>
                <w:sz w:val="20"/>
                <w:szCs w:val="20"/>
                <w:color w:val="auto"/>
              </w:rPr>
            </w:pPr>
            <w:r>
              <w:rPr>
                <w:rFonts w:ascii="Arial" w:cs="Arial" w:eastAsia="Arial" w:hAnsi="Arial"/>
                <w:sz w:val="14"/>
                <w:szCs w:val="14"/>
                <w:color w:val="auto"/>
              </w:rPr>
              <w:t>12/16/2019)</w:t>
            </w: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20,000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Nielsen &amp; Bainbridge, LLC</w:t>
            </w:r>
          </w:p>
        </w:tc>
        <w:tc>
          <w:tcPr>
            <w:tcW w:w="168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Home Décor</w:t>
            </w:r>
          </w:p>
        </w:tc>
        <w:tc>
          <w:tcPr>
            <w:tcW w:w="18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Subordinated Debt</w:t>
            </w:r>
          </w:p>
        </w:tc>
        <w:tc>
          <w:tcPr>
            <w:tcW w:w="10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Manufacturer</w:t>
            </w:r>
          </w:p>
        </w:tc>
        <w:tc>
          <w:tcPr>
            <w:tcW w:w="18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(L+9.25% Cash, 1%</w:t>
            </w: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80" w:type="dxa"/>
            <w:vAlign w:val="bottom"/>
            <w:shd w:val="clear" w:color="auto" w:fill="CCEEFF"/>
          </w:tcPr>
          <w:p>
            <w:pPr>
              <w:ind w:left="60"/>
              <w:spacing w:after="0"/>
              <w:rPr>
                <w:sz w:val="20"/>
                <w:szCs w:val="20"/>
                <w:color w:val="auto"/>
              </w:rPr>
            </w:pPr>
            <w:r>
              <w:rPr>
                <w:rFonts w:ascii="Arial" w:cs="Arial" w:eastAsia="Arial" w:hAnsi="Arial"/>
                <w:sz w:val="14"/>
                <w:szCs w:val="14"/>
                <w:color w:val="auto"/>
              </w:rPr>
              <w:t>Floor, Due 8/15/21)</w:t>
            </w: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15,000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14,793</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14,611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14,793</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14,611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Portrait Innovations, Inc.</w:t>
            </w:r>
          </w:p>
        </w:tc>
        <w:tc>
          <w:tcPr>
            <w:tcW w:w="168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Professional and</w:t>
            </w:r>
          </w:p>
        </w:tc>
        <w:tc>
          <w:tcPr>
            <w:tcW w:w="18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Senior Secured Term</w:t>
            </w:r>
          </w:p>
        </w:tc>
        <w:tc>
          <w:tcPr>
            <w:tcW w:w="10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Personal Digital</w:t>
            </w:r>
          </w:p>
        </w:tc>
        <w:tc>
          <w:tcPr>
            <w:tcW w:w="18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Debt (12% Cash, Due</w:t>
            </w: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16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Imaging</w:t>
            </w:r>
          </w:p>
        </w:tc>
        <w:tc>
          <w:tcPr>
            <w:tcW w:w="1880" w:type="dxa"/>
            <w:vAlign w:val="bottom"/>
            <w:shd w:val="clear" w:color="auto" w:fill="CCEEFF"/>
          </w:tcPr>
          <w:p>
            <w:pPr>
              <w:ind w:left="60"/>
              <w:spacing w:after="0"/>
              <w:rPr>
                <w:sz w:val="20"/>
                <w:szCs w:val="20"/>
                <w:color w:val="auto"/>
              </w:rPr>
            </w:pPr>
            <w:r>
              <w:rPr>
                <w:rFonts w:ascii="Arial" w:cs="Arial" w:eastAsia="Arial" w:hAnsi="Arial"/>
                <w:sz w:val="14"/>
                <w:szCs w:val="14"/>
                <w:color w:val="auto"/>
              </w:rPr>
              <w:t>2/26/20)</w:t>
            </w: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15,000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Sequoia Healthcare Management, LLC</w:t>
            </w:r>
          </w:p>
        </w:tc>
        <w:tc>
          <w:tcPr>
            <w:tcW w:w="168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Healthcare</w:t>
            </w:r>
          </w:p>
        </w:tc>
        <w:tc>
          <w:tcPr>
            <w:tcW w:w="18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Senior Secured Term</w:t>
            </w:r>
          </w:p>
        </w:tc>
        <w:tc>
          <w:tcPr>
            <w:tcW w:w="10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Management</w:t>
            </w:r>
          </w:p>
        </w:tc>
        <w:tc>
          <w:tcPr>
            <w:tcW w:w="18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Debt (12% cash, 4%</w:t>
            </w: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80" w:type="dxa"/>
            <w:vAlign w:val="bottom"/>
            <w:shd w:val="clear" w:color="auto" w:fill="CCEEFF"/>
          </w:tcPr>
          <w:p>
            <w:pPr>
              <w:ind w:left="60"/>
              <w:spacing w:after="0"/>
              <w:rPr>
                <w:sz w:val="20"/>
                <w:szCs w:val="20"/>
                <w:color w:val="auto"/>
              </w:rPr>
            </w:pPr>
            <w:r>
              <w:rPr>
                <w:rFonts w:ascii="Arial" w:cs="Arial" w:eastAsia="Arial" w:hAnsi="Arial"/>
                <w:sz w:val="14"/>
                <w:szCs w:val="14"/>
                <w:color w:val="auto"/>
              </w:rPr>
              <w:t>PIK, due 7/17/2019)</w:t>
            </w: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12,388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12,178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12,388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12,178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12,388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Sierra Hamilton, LLC</w:t>
            </w:r>
          </w:p>
        </w:tc>
        <w:tc>
          <w:tcPr>
            <w:tcW w:w="168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w w:val="98"/>
              </w:rPr>
              <w:t>Oil &amp; Gas Engineering</w:t>
            </w:r>
          </w:p>
        </w:tc>
        <w:tc>
          <w:tcPr>
            <w:tcW w:w="18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Senior Secured Debt</w:t>
            </w:r>
          </w:p>
        </w:tc>
        <w:tc>
          <w:tcPr>
            <w:tcW w:w="10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and Consulting</w:t>
            </w:r>
          </w:p>
        </w:tc>
        <w:tc>
          <w:tcPr>
            <w:tcW w:w="18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(12.25% Cash, Due</w:t>
            </w: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16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Services</w:t>
            </w:r>
          </w:p>
        </w:tc>
        <w:tc>
          <w:tcPr>
            <w:tcW w:w="1880" w:type="dxa"/>
            <w:vAlign w:val="bottom"/>
            <w:shd w:val="clear" w:color="auto" w:fill="CCEEFF"/>
          </w:tcPr>
          <w:p>
            <w:pPr>
              <w:ind w:left="60"/>
              <w:spacing w:after="0"/>
              <w:rPr>
                <w:sz w:val="20"/>
                <w:szCs w:val="20"/>
                <w:color w:val="auto"/>
              </w:rPr>
            </w:pPr>
            <w:r>
              <w:rPr>
                <w:rFonts w:ascii="Arial" w:cs="Arial" w:eastAsia="Arial" w:hAnsi="Arial"/>
                <w:sz w:val="14"/>
                <w:szCs w:val="14"/>
                <w:color w:val="auto"/>
              </w:rPr>
              <w:t>12/15/18)</w:t>
            </w: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15,000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14,547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14,547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76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Southern Pump &amp; Tank Company, LLC </w:t>
            </w:r>
            <w:r>
              <w:rPr>
                <w:rFonts w:ascii="Arial" w:cs="Arial" w:eastAsia="Arial" w:hAnsi="Arial"/>
                <w:sz w:val="18"/>
                <w:szCs w:val="18"/>
                <w:color w:val="auto"/>
                <w:vertAlign w:val="superscript"/>
              </w:rPr>
              <w:t>(1)</w:t>
            </w:r>
          </w:p>
        </w:tc>
        <w:tc>
          <w:tcPr>
            <w:tcW w:w="16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Petroleum Equipment</w:t>
            </w:r>
          </w:p>
        </w:tc>
        <w:tc>
          <w:tcPr>
            <w:tcW w:w="18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Senior Secured Term</w:t>
            </w:r>
          </w:p>
        </w:tc>
        <w:tc>
          <w:tcPr>
            <w:tcW w:w="1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680" w:type="dxa"/>
            <w:vAlign w:val="bottom"/>
            <w:shd w:val="clear" w:color="auto" w:fill="CCEEFF"/>
          </w:tcPr>
          <w:p>
            <w:pPr>
              <w:ind w:left="300"/>
              <w:spacing w:after="0" w:line="116" w:lineRule="exact"/>
              <w:rPr>
                <w:sz w:val="20"/>
                <w:szCs w:val="20"/>
                <w:color w:val="auto"/>
              </w:rPr>
            </w:pPr>
            <w:r>
              <w:rPr>
                <w:rFonts w:ascii="Arial" w:cs="Arial" w:eastAsia="Arial" w:hAnsi="Arial"/>
                <w:sz w:val="13"/>
                <w:szCs w:val="13"/>
                <w:color w:val="auto"/>
              </w:rPr>
              <w:t>Supplier</w:t>
            </w:r>
          </w:p>
        </w:tc>
        <w:tc>
          <w:tcPr>
            <w:tcW w:w="1880" w:type="dxa"/>
            <w:vAlign w:val="bottom"/>
            <w:shd w:val="clear" w:color="auto" w:fill="CCEEFF"/>
          </w:tcPr>
          <w:p>
            <w:pPr>
              <w:ind w:left="60"/>
              <w:spacing w:after="0" w:line="116" w:lineRule="exact"/>
              <w:rPr>
                <w:sz w:val="20"/>
                <w:szCs w:val="20"/>
                <w:color w:val="auto"/>
              </w:rPr>
            </w:pPr>
            <w:r>
              <w:rPr>
                <w:rFonts w:ascii="Arial" w:cs="Arial" w:eastAsia="Arial" w:hAnsi="Arial"/>
                <w:sz w:val="13"/>
                <w:szCs w:val="13"/>
                <w:color w:val="auto"/>
              </w:rPr>
              <w:t>Debt (13% Cash, 6%</w:t>
            </w:r>
          </w:p>
        </w:tc>
        <w:tc>
          <w:tcPr>
            <w:tcW w:w="10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80" w:type="dxa"/>
            <w:vAlign w:val="bottom"/>
            <w:shd w:val="clear" w:color="auto" w:fill="CCEEFF"/>
          </w:tcPr>
          <w:p>
            <w:pPr>
              <w:ind w:left="60"/>
              <w:spacing w:after="0"/>
              <w:rPr>
                <w:sz w:val="20"/>
                <w:szCs w:val="20"/>
                <w:color w:val="auto"/>
              </w:rPr>
            </w:pPr>
            <w:r>
              <w:rPr>
                <w:rFonts w:ascii="Arial" w:cs="Arial" w:eastAsia="Arial" w:hAnsi="Arial"/>
                <w:sz w:val="14"/>
                <w:szCs w:val="14"/>
                <w:color w:val="auto"/>
              </w:rPr>
              <w:t>PIK, Due 7/15/15)</w:t>
            </w: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4,379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3,554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4,213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Southern Pump &amp; Tank Company, LLC</w:t>
            </w:r>
          </w:p>
        </w:tc>
        <w:tc>
          <w:tcPr>
            <w:tcW w:w="168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Petroleum Equipment</w:t>
            </w:r>
          </w:p>
        </w:tc>
        <w:tc>
          <w:tcPr>
            <w:tcW w:w="18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Common Stock</w:t>
            </w:r>
          </w:p>
        </w:tc>
        <w:tc>
          <w:tcPr>
            <w:tcW w:w="10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Supplier</w:t>
            </w:r>
          </w:p>
        </w:tc>
        <w:tc>
          <w:tcPr>
            <w:tcW w:w="18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Warrants (10% fully</w:t>
            </w:r>
          </w:p>
        </w:tc>
        <w:tc>
          <w:tcPr>
            <w:tcW w:w="10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8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diluted)</w:t>
            </w:r>
          </w:p>
        </w:tc>
        <w:tc>
          <w:tcPr>
            <w:tcW w:w="10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3,554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4,213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Stoddard Hill Media Holdings, LLC</w:t>
            </w:r>
          </w:p>
        </w:tc>
        <w:tc>
          <w:tcPr>
            <w:tcW w:w="168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IT Hosting Services</w:t>
            </w:r>
          </w:p>
        </w:tc>
        <w:tc>
          <w:tcPr>
            <w:tcW w:w="18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Class D Preferred Units</w:t>
            </w:r>
          </w:p>
        </w:tc>
        <w:tc>
          <w:tcPr>
            <w:tcW w:w="10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80" w:type="dxa"/>
            <w:vAlign w:val="bottom"/>
            <w:shd w:val="clear" w:color="auto" w:fill="CCEEFF"/>
          </w:tcPr>
          <w:p>
            <w:pPr>
              <w:ind w:left="60"/>
              <w:spacing w:after="0"/>
              <w:rPr>
                <w:sz w:val="20"/>
                <w:szCs w:val="20"/>
                <w:color w:val="auto"/>
              </w:rPr>
            </w:pPr>
            <w:r>
              <w:rPr>
                <w:rFonts w:ascii="Arial" w:cs="Arial" w:eastAsia="Arial" w:hAnsi="Arial"/>
                <w:sz w:val="14"/>
                <w:szCs w:val="14"/>
                <w:color w:val="auto"/>
              </w:rPr>
              <w:t>(132,159 shares)</w:t>
            </w:r>
          </w:p>
        </w:tc>
        <w:tc>
          <w:tcPr>
            <w:tcW w:w="10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type w:val="continuous"/>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Taylor Precision Products, Inc.</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Household Product</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w w:val="98"/>
              </w:rPr>
              <w:t>Series C Preferred Stock</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Manufacturer</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(379 shares)</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758</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758</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2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Tenere, Inc. </w:t>
            </w:r>
            <w:r>
              <w:rPr>
                <w:rFonts w:ascii="Arial" w:cs="Arial" w:eastAsia="Arial" w:hAnsi="Arial"/>
                <w:sz w:val="18"/>
                <w:szCs w:val="18"/>
                <w:color w:val="auto"/>
                <w:vertAlign w:val="superscript"/>
              </w:rPr>
              <w:t>(8)</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Industrial Manufacturing</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Senior Secured Term</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32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1620" w:type="dxa"/>
            <w:vAlign w:val="bottom"/>
            <w:shd w:val="clear" w:color="auto" w:fill="CCEEFF"/>
          </w:tcPr>
          <w:p>
            <w:pPr>
              <w:ind w:left="80"/>
              <w:spacing w:after="0" w:line="116" w:lineRule="exact"/>
              <w:rPr>
                <w:sz w:val="20"/>
                <w:szCs w:val="20"/>
                <w:color w:val="auto"/>
              </w:rPr>
            </w:pPr>
            <w:r>
              <w:rPr>
                <w:rFonts w:ascii="Arial" w:cs="Arial" w:eastAsia="Arial" w:hAnsi="Arial"/>
                <w:sz w:val="13"/>
                <w:szCs w:val="13"/>
                <w:color w:val="auto"/>
              </w:rPr>
              <w:t>Debt (11% Cash, 2%</w:t>
            </w:r>
          </w:p>
        </w:tc>
        <w:tc>
          <w:tcPr>
            <w:tcW w:w="5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PIK, Due 12/15/17)</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3,528</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3,528</w:t>
            </w: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3,528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3,528</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3,528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TGI Friday's, Inc.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Restaurant Chain</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(L+8.25% Cash, 1%</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Floor, Due 7/15/21)</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9,963</w:t>
            </w: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9,963</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US LBM Holdings, LLC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Building Products</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Senior Secured Debt</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(L+7% Cash, 1% Floor,</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Due 5/2/2020)</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4,980</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4,887</w:t>
            </w: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4,887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4,887</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4,887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2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U.S. Well Services, LLC </w:t>
            </w:r>
            <w:r>
              <w:rPr>
                <w:rFonts w:ascii="Arial" w:cs="Arial" w:eastAsia="Arial" w:hAnsi="Arial"/>
                <w:sz w:val="18"/>
                <w:szCs w:val="18"/>
                <w:color w:val="auto"/>
                <w:vertAlign w:val="superscript"/>
              </w:rPr>
              <w:t>(9)</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Oil &amp; Gas Services</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Senior Secured Debt</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32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1620" w:type="dxa"/>
            <w:vAlign w:val="bottom"/>
            <w:shd w:val="clear" w:color="auto" w:fill="CCEEFF"/>
          </w:tcPr>
          <w:p>
            <w:pPr>
              <w:ind w:left="80"/>
              <w:spacing w:after="0" w:line="116" w:lineRule="exact"/>
              <w:rPr>
                <w:sz w:val="20"/>
                <w:szCs w:val="20"/>
                <w:color w:val="auto"/>
              </w:rPr>
            </w:pPr>
            <w:r>
              <w:rPr>
                <w:rFonts w:ascii="Arial" w:cs="Arial" w:eastAsia="Arial" w:hAnsi="Arial"/>
                <w:sz w:val="13"/>
                <w:szCs w:val="13"/>
                <w:color w:val="auto"/>
              </w:rPr>
              <w:t>(L+11.5% Cash, 0.5%</w:t>
            </w:r>
          </w:p>
        </w:tc>
        <w:tc>
          <w:tcPr>
            <w:tcW w:w="5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floor, Due 5/2/19)</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8,872</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8,785</w:t>
            </w: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8,785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8,785</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8,785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Velum Global Credit Management,</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Financial Services</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Senior Secured Debt</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shd w:val="clear" w:color="auto" w:fill="CCEEFF"/>
          </w:tcPr>
          <w:p>
            <w:pPr>
              <w:spacing w:after="0" w:line="161" w:lineRule="exact"/>
              <w:rPr>
                <w:sz w:val="20"/>
                <w:szCs w:val="20"/>
                <w:color w:val="auto"/>
              </w:rPr>
            </w:pPr>
            <w:r>
              <w:rPr>
                <w:rFonts w:ascii="Arial" w:cs="Arial" w:eastAsia="Arial" w:hAnsi="Arial"/>
                <w:sz w:val="12"/>
                <w:szCs w:val="12"/>
                <w:color w:val="auto"/>
              </w:rPr>
              <w:t xml:space="preserve">LLC </w:t>
            </w:r>
            <w:r>
              <w:rPr>
                <w:rFonts w:ascii="Arial" w:cs="Arial" w:eastAsia="Arial" w:hAnsi="Arial"/>
                <w:sz w:val="18"/>
                <w:szCs w:val="18"/>
                <w:color w:val="auto"/>
                <w:vertAlign w:val="superscript"/>
              </w:rPr>
              <w:t>(7)</w:t>
            </w:r>
          </w:p>
        </w:tc>
        <w:tc>
          <w:tcPr>
            <w:tcW w:w="1620" w:type="dxa"/>
            <w:vAlign w:val="bottom"/>
            <w:shd w:val="clear" w:color="auto" w:fill="CCEEFF"/>
          </w:tcPr>
          <w:p>
            <w:pPr>
              <w:spacing w:after="0"/>
              <w:rPr>
                <w:sz w:val="13"/>
                <w:szCs w:val="13"/>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(15% Cash, Due</w:t>
            </w:r>
          </w:p>
        </w:tc>
        <w:tc>
          <w:tcPr>
            <w:tcW w:w="5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8,300</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8,300</w:t>
            </w:r>
          </w:p>
        </w:tc>
        <w:tc>
          <w:tcPr>
            <w:tcW w:w="4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8,300</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12/31/15)</w:t>
            </w:r>
          </w:p>
        </w:tc>
        <w:tc>
          <w:tcPr>
            <w:tcW w:w="5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8,300</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Worklife America, Inc.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Professional Employer</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7"/>
              </w:rPr>
              <w:t>Common Stock Warrants</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Organization</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(3.84% ownership)</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2,311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Worklife America, Inc.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Professional Employer</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Preferred Stock Warrants</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Organization</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(3.84% ownership)</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3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5"/>
              </w:rPr>
              <w:t>Sub Total Non-control/Non-affiliated</w:t>
            </w:r>
          </w:p>
        </w:tc>
        <w:tc>
          <w:tcPr>
            <w:tcW w:w="162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investments</w:t>
            </w:r>
          </w:p>
        </w:tc>
        <w:tc>
          <w:tcPr>
            <w:tcW w:w="16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256,792</w:t>
            </w: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278,690</w:t>
            </w:r>
          </w:p>
        </w:tc>
        <w:tc>
          <w:tcPr>
            <w:tcW w:w="13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2"/>
                <w:szCs w:val="12"/>
                <w:color w:val="auto"/>
              </w:rPr>
              <w:t>117.0</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3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- 72.9%</w:t>
            </w:r>
          </w:p>
        </w:tc>
        <w:tc>
          <w:tcPr>
            <w:tcW w:w="16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Automobile Part</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Senior Subordinated</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Manufacturer</w:t>
            </w:r>
          </w:p>
        </w:tc>
        <w:tc>
          <w:tcPr>
            <w:tcW w:w="1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Debt (14% Cash, due</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8/9/2019)</w:t>
            </w:r>
          </w:p>
        </w:tc>
        <w:tc>
          <w:tcPr>
            <w:tcW w:w="5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Automobile Part</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5"/>
              </w:rPr>
              <w:t>Junior Subordinated Debt</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Manufacturer</w:t>
            </w:r>
          </w:p>
        </w:tc>
        <w:tc>
          <w:tcPr>
            <w:tcW w:w="1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(12% Cash, due</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8/9/2019)</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7,200</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7,200</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Automobile Part</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Manufacturer</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(1,253,198 shares)</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1,504</w:t>
            </w: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3,834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13,704</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16,034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Footwear Retail</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Subordinated Debt (13%</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Due 9/28/16)</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8,231</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8,213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320" w:type="dxa"/>
            <w:vAlign w:val="bottom"/>
            <w:shd w:val="clear" w:color="auto" w:fill="CCEEFF"/>
          </w:tcPr>
          <w:p>
            <w:pPr>
              <w:spacing w:after="0" w:line="142" w:lineRule="exact"/>
              <w:rPr>
                <w:sz w:val="20"/>
                <w:szCs w:val="20"/>
                <w:color w:val="auto"/>
              </w:rPr>
            </w:pPr>
            <w:r>
              <w:rPr>
                <w:rFonts w:ascii="Arial" w:cs="Arial" w:eastAsia="Arial" w:hAnsi="Arial"/>
                <w:sz w:val="11"/>
                <w:szCs w:val="11"/>
                <w:color w:val="auto"/>
              </w:rPr>
              <w:t xml:space="preserve">City Gear, LLC </w:t>
            </w:r>
            <w:r>
              <w:rPr>
                <w:rFonts w:ascii="Arial" w:cs="Arial" w:eastAsia="Arial" w:hAnsi="Arial"/>
                <w:sz w:val="16"/>
                <w:szCs w:val="16"/>
                <w:color w:val="auto"/>
                <w:vertAlign w:val="superscript"/>
              </w:rPr>
              <w:t>(5)</w:t>
            </w:r>
          </w:p>
        </w:tc>
        <w:tc>
          <w:tcPr>
            <w:tcW w:w="162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Footwear Retail</w:t>
            </w:r>
          </w:p>
        </w:tc>
        <w:tc>
          <w:tcPr>
            <w:tcW w:w="162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Preferred Membership</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620" w:type="dxa"/>
            <w:vAlign w:val="bottom"/>
            <w:shd w:val="clear" w:color="auto" w:fill="CCEEFF"/>
          </w:tcPr>
          <w:p>
            <w:pPr>
              <w:ind w:left="80"/>
              <w:spacing w:after="0" w:line="137" w:lineRule="exact"/>
              <w:rPr>
                <w:sz w:val="20"/>
                <w:szCs w:val="20"/>
                <w:color w:val="auto"/>
              </w:rPr>
            </w:pPr>
            <w:r>
              <w:rPr>
                <w:rFonts w:ascii="Arial" w:cs="Arial" w:eastAsia="Arial" w:hAnsi="Arial"/>
                <w:sz w:val="14"/>
                <w:szCs w:val="14"/>
                <w:color w:val="auto"/>
              </w:rPr>
              <w:t>Units (9% Cash</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dividend)</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1,269</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Footwear Retail</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Warrants (14.15% fully</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diluted)</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7,216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9,500</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16,698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Sales &amp; Marketing</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Subordinated Debt (14%</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w:t>
            </w:r>
          </w:p>
        </w:tc>
        <w:tc>
          <w:tcPr>
            <w:tcW w:w="1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2% PIK, Due</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3/22/18)</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11,459</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11,459</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11,459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Sales &amp; Marketing</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(2,216,463 shares)</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2,576</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10,348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Sales &amp; Marketing</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Warrant</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(403,257 shares)</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1,882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14,035</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23,689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2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GA Communications, Inc. </w:t>
            </w:r>
            <w:r>
              <w:rPr>
                <w:rFonts w:ascii="Arial" w:cs="Arial" w:eastAsia="Arial" w:hAnsi="Arial"/>
                <w:sz w:val="18"/>
                <w:szCs w:val="18"/>
                <w:color w:val="auto"/>
                <w:vertAlign w:val="superscript"/>
              </w:rPr>
              <w:t>(5)</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Advertising &amp; Marketing</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Series A-1 Preferred</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320" w:type="dxa"/>
            <w:vAlign w:val="bottom"/>
            <w:shd w:val="clear" w:color="auto" w:fill="CCEEFF"/>
          </w:tcPr>
          <w:p>
            <w:pPr>
              <w:spacing w:after="0"/>
              <w:rPr>
                <w:sz w:val="10"/>
                <w:szCs w:val="10"/>
                <w:color w:val="auto"/>
              </w:rPr>
            </w:pPr>
          </w:p>
        </w:tc>
        <w:tc>
          <w:tcPr>
            <w:tcW w:w="1620" w:type="dxa"/>
            <w:vAlign w:val="bottom"/>
            <w:shd w:val="clear" w:color="auto" w:fill="CCEEFF"/>
          </w:tcPr>
          <w:p>
            <w:pPr>
              <w:ind w:left="80"/>
              <w:spacing w:after="0" w:line="116" w:lineRule="exact"/>
              <w:rPr>
                <w:sz w:val="20"/>
                <w:szCs w:val="20"/>
                <w:color w:val="auto"/>
              </w:rPr>
            </w:pPr>
            <w:r>
              <w:rPr>
                <w:rFonts w:ascii="Arial" w:cs="Arial" w:eastAsia="Arial" w:hAnsi="Arial"/>
                <w:sz w:val="13"/>
                <w:szCs w:val="13"/>
                <w:color w:val="auto"/>
              </w:rPr>
              <w:t>Services</w:t>
            </w:r>
          </w:p>
        </w:tc>
        <w:tc>
          <w:tcPr>
            <w:tcW w:w="1620" w:type="dxa"/>
            <w:vAlign w:val="bottom"/>
            <w:shd w:val="clear" w:color="auto" w:fill="CCEEFF"/>
          </w:tcPr>
          <w:p>
            <w:pPr>
              <w:ind w:left="80"/>
              <w:spacing w:after="0" w:line="116" w:lineRule="exact"/>
              <w:rPr>
                <w:sz w:val="20"/>
                <w:szCs w:val="20"/>
                <w:color w:val="auto"/>
              </w:rPr>
            </w:pPr>
            <w:r>
              <w:rPr>
                <w:rFonts w:ascii="Arial" w:cs="Arial" w:eastAsia="Arial" w:hAnsi="Arial"/>
                <w:sz w:val="13"/>
                <w:szCs w:val="13"/>
                <w:color w:val="auto"/>
              </w:rPr>
              <w:t>Stock (1,998 shares, 8%</w:t>
            </w:r>
          </w:p>
        </w:tc>
        <w:tc>
          <w:tcPr>
            <w:tcW w:w="5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PIK dividend)</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2,248</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Advertising &amp; Marketing</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B-1 Common</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Stock (200,000 shares)</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2,250</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4,232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 Inc.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Produce Distribution</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Subordinated Debt (13%</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Due 7/16/18)</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5,182</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5,182</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5,182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 Inc.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Produce Distribution</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(8,182</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818</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3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892"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4"/>
                <w:szCs w:val="14"/>
                <w:color w:val="auto"/>
              </w:rPr>
              <w:t>J&amp;J Produce Holdings, Inc.</w:t>
            </w: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Produce Distribution</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 Stock Warrants</w:t>
            </w:r>
          </w:p>
        </w:tc>
        <w:tc>
          <w:tcPr>
            <w:tcW w:w="1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(4,506 shares)</w:t>
            </w:r>
          </w:p>
        </w:tc>
        <w:tc>
          <w:tcPr>
            <w:tcW w:w="112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5,311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LJS Partners,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QSR Franchisor</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(1,500,000 shares)</w:t>
            </w:r>
          </w:p>
        </w:tc>
        <w:tc>
          <w:tcPr>
            <w:tcW w:w="1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2,489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2,489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MJC Holdings,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Specialty Clothing</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A Preferred Units</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(2,000,000 units)</w:t>
            </w:r>
          </w:p>
        </w:tc>
        <w:tc>
          <w:tcPr>
            <w:tcW w:w="1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5,719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5,719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10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MMI Holdings, LLC </w:t>
            </w:r>
            <w:r>
              <w:rPr>
                <w:rFonts w:ascii="Arial" w:cs="Arial" w:eastAsia="Arial" w:hAnsi="Arial"/>
                <w:sz w:val="18"/>
                <w:szCs w:val="18"/>
                <w:color w:val="auto"/>
                <w:vertAlign w:val="superscript"/>
              </w:rPr>
              <w:t>(1)</w:t>
            </w: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Medical Device</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Senior Secured Debt</w:t>
            </w:r>
          </w:p>
        </w:tc>
        <w:tc>
          <w:tcPr>
            <w:tcW w:w="11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2,600</w:t>
            </w: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840" w:type="dxa"/>
            <w:vAlign w:val="bottom"/>
            <w:shd w:val="clear" w:color="auto" w:fill="CCEEFF"/>
          </w:tcPr>
          <w:p>
            <w:pPr>
              <w:ind w:left="300"/>
              <w:spacing w:after="0" w:line="135" w:lineRule="exact"/>
              <w:rPr>
                <w:sz w:val="20"/>
                <w:szCs w:val="20"/>
                <w:color w:val="auto"/>
              </w:rPr>
            </w:pPr>
            <w:r>
              <w:rPr>
                <w:rFonts w:ascii="Arial" w:cs="Arial" w:eastAsia="Arial" w:hAnsi="Arial"/>
                <w:sz w:val="14"/>
                <w:szCs w:val="14"/>
                <w:color w:val="auto"/>
              </w:rPr>
              <w:t>Distributor</w:t>
            </w:r>
          </w:p>
        </w:tc>
        <w:tc>
          <w:tcPr>
            <w:tcW w:w="206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rPr>
              <w:t>(12% Cash, Due 1/31/17)</w:t>
            </w:r>
          </w:p>
        </w:tc>
        <w:tc>
          <w:tcPr>
            <w:tcW w:w="1120" w:type="dxa"/>
            <w:vAlign w:val="bottom"/>
            <w:vMerge w:val="continue"/>
            <w:shd w:val="clear" w:color="auto" w:fill="CCEEFF"/>
          </w:tcPr>
          <w:p>
            <w:pPr>
              <w:spacing w:after="0"/>
              <w:rPr>
                <w:sz w:val="11"/>
                <w:szCs w:val="11"/>
                <w:color w:val="auto"/>
              </w:rPr>
            </w:pPr>
          </w:p>
        </w:tc>
        <w:tc>
          <w:tcPr>
            <w:tcW w:w="1460" w:type="dxa"/>
            <w:vAlign w:val="bottom"/>
            <w:gridSpan w:val="2"/>
            <w:vMerge w:val="continue"/>
            <w:shd w:val="clear" w:color="auto" w:fill="CCEEFF"/>
          </w:tcPr>
          <w:p>
            <w:pPr>
              <w:spacing w:after="0"/>
              <w:rPr>
                <w:sz w:val="11"/>
                <w:szCs w:val="11"/>
                <w:color w:val="auto"/>
              </w:rPr>
            </w:pPr>
          </w:p>
        </w:tc>
        <w:tc>
          <w:tcPr>
            <w:tcW w:w="1460" w:type="dxa"/>
            <w:vAlign w:val="bottom"/>
            <w:gridSpan w:val="2"/>
            <w:vMerge w:val="continue"/>
            <w:shd w:val="clear" w:color="auto" w:fill="CCEEFF"/>
          </w:tcPr>
          <w:p>
            <w:pPr>
              <w:spacing w:after="0"/>
              <w:rPr>
                <w:sz w:val="11"/>
                <w:szCs w:val="11"/>
                <w:color w:val="auto"/>
              </w:rPr>
            </w:pPr>
          </w:p>
        </w:tc>
        <w:tc>
          <w:tcPr>
            <w:tcW w:w="13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10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MMI Holdings, LLC </w:t>
            </w:r>
            <w:r>
              <w:rPr>
                <w:rFonts w:ascii="Arial" w:cs="Arial" w:eastAsia="Arial" w:hAnsi="Arial"/>
                <w:sz w:val="18"/>
                <w:szCs w:val="18"/>
                <w:color w:val="auto"/>
                <w:vertAlign w:val="superscript"/>
              </w:rPr>
              <w:t>(1)</w:t>
            </w: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Medical Device</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Subordinated Debt (6%</w:t>
            </w:r>
          </w:p>
        </w:tc>
        <w:tc>
          <w:tcPr>
            <w:tcW w:w="11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400</w:t>
            </w: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388</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840" w:type="dxa"/>
            <w:vAlign w:val="bottom"/>
            <w:shd w:val="clear" w:color="auto" w:fill="CCEEFF"/>
          </w:tcPr>
          <w:p>
            <w:pPr>
              <w:ind w:left="300"/>
              <w:spacing w:after="0" w:line="135" w:lineRule="exact"/>
              <w:rPr>
                <w:sz w:val="20"/>
                <w:szCs w:val="20"/>
                <w:color w:val="auto"/>
              </w:rPr>
            </w:pPr>
            <w:r>
              <w:rPr>
                <w:rFonts w:ascii="Arial" w:cs="Arial" w:eastAsia="Arial" w:hAnsi="Arial"/>
                <w:sz w:val="14"/>
                <w:szCs w:val="14"/>
                <w:color w:val="auto"/>
              </w:rPr>
              <w:t>Distributor</w:t>
            </w:r>
          </w:p>
        </w:tc>
        <w:tc>
          <w:tcPr>
            <w:tcW w:w="206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rPr>
              <w:t>Cash, Due 1/31/17)</w:t>
            </w:r>
          </w:p>
        </w:tc>
        <w:tc>
          <w:tcPr>
            <w:tcW w:w="1120" w:type="dxa"/>
            <w:vAlign w:val="bottom"/>
            <w:vMerge w:val="continue"/>
            <w:shd w:val="clear" w:color="auto" w:fill="CCEEFF"/>
          </w:tcPr>
          <w:p>
            <w:pPr>
              <w:spacing w:after="0"/>
              <w:rPr>
                <w:sz w:val="11"/>
                <w:szCs w:val="11"/>
                <w:color w:val="auto"/>
              </w:rPr>
            </w:pPr>
          </w:p>
        </w:tc>
        <w:tc>
          <w:tcPr>
            <w:tcW w:w="1460" w:type="dxa"/>
            <w:vAlign w:val="bottom"/>
            <w:gridSpan w:val="2"/>
            <w:vMerge w:val="continue"/>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10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MMI Holdings, LLC </w:t>
            </w:r>
            <w:r>
              <w:rPr>
                <w:rFonts w:ascii="Arial" w:cs="Arial" w:eastAsia="Arial" w:hAnsi="Arial"/>
                <w:sz w:val="18"/>
                <w:szCs w:val="18"/>
                <w:color w:val="auto"/>
                <w:vertAlign w:val="superscript"/>
              </w:rPr>
              <w:t>(5)</w:t>
            </w: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Medical Device</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Preferred Units (1,000</w:t>
            </w:r>
          </w:p>
        </w:tc>
        <w:tc>
          <w:tcPr>
            <w:tcW w:w="112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1,155</w:t>
            </w: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1,291</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840" w:type="dxa"/>
            <w:vAlign w:val="bottom"/>
            <w:shd w:val="clear" w:color="auto" w:fill="CCEEFF"/>
          </w:tcPr>
          <w:p>
            <w:pPr>
              <w:ind w:left="300"/>
              <w:spacing w:after="0" w:line="135" w:lineRule="exact"/>
              <w:rPr>
                <w:sz w:val="20"/>
                <w:szCs w:val="20"/>
                <w:color w:val="auto"/>
              </w:rPr>
            </w:pPr>
            <w:r>
              <w:rPr>
                <w:rFonts w:ascii="Arial" w:cs="Arial" w:eastAsia="Arial" w:hAnsi="Arial"/>
                <w:sz w:val="14"/>
                <w:szCs w:val="14"/>
                <w:color w:val="auto"/>
              </w:rPr>
              <w:t>Distributor</w:t>
            </w:r>
          </w:p>
        </w:tc>
        <w:tc>
          <w:tcPr>
            <w:tcW w:w="206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rPr>
              <w:t>units, 6% PIK dividend)</w:t>
            </w:r>
          </w:p>
        </w:tc>
        <w:tc>
          <w:tcPr>
            <w:tcW w:w="1120" w:type="dxa"/>
            <w:vAlign w:val="bottom"/>
            <w:shd w:val="clear" w:color="auto" w:fill="CCEEFF"/>
          </w:tcPr>
          <w:p>
            <w:pPr>
              <w:spacing w:after="0"/>
              <w:rPr>
                <w:sz w:val="11"/>
                <w:szCs w:val="11"/>
                <w:color w:val="auto"/>
              </w:rPr>
            </w:pPr>
          </w:p>
        </w:tc>
        <w:tc>
          <w:tcPr>
            <w:tcW w:w="1460" w:type="dxa"/>
            <w:vAlign w:val="bottom"/>
            <w:gridSpan w:val="2"/>
            <w:vMerge w:val="continue"/>
            <w:shd w:val="clear" w:color="auto" w:fill="CCEEFF"/>
          </w:tcPr>
          <w:p>
            <w:pPr>
              <w:spacing w:after="0"/>
              <w:rPr>
                <w:sz w:val="11"/>
                <w:szCs w:val="11"/>
                <w:color w:val="auto"/>
              </w:rPr>
            </w:pPr>
          </w:p>
        </w:tc>
        <w:tc>
          <w:tcPr>
            <w:tcW w:w="1460" w:type="dxa"/>
            <w:vAlign w:val="bottom"/>
            <w:gridSpan w:val="2"/>
            <w:vMerge w:val="continue"/>
            <w:shd w:val="clear" w:color="auto" w:fill="CCEEFF"/>
          </w:tcPr>
          <w:p>
            <w:pPr>
              <w:spacing w:after="0"/>
              <w:rPr>
                <w:sz w:val="11"/>
                <w:szCs w:val="11"/>
                <w:color w:val="auto"/>
              </w:rPr>
            </w:pPr>
          </w:p>
        </w:tc>
        <w:tc>
          <w:tcPr>
            <w:tcW w:w="13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Medical Device</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Membership</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Distributor</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Units (45 units)</w:t>
            </w:r>
          </w:p>
        </w:tc>
        <w:tc>
          <w:tcPr>
            <w:tcW w:w="1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4,143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4,413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MTI Holdings,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Retail Display &amp;</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(12%</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Security Services</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Due 11/1/18)</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MTI Holdings,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Retail Display &amp;</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Security Services</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(2,000,000 units)</w:t>
            </w:r>
          </w:p>
        </w:tc>
        <w:tc>
          <w:tcPr>
            <w:tcW w:w="1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12,900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ABUTEC,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Oil &amp; Gas Services</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Senior Secured Term</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Debt (12% Cash, 3%</w:t>
            </w:r>
          </w:p>
        </w:tc>
        <w:tc>
          <w:tcPr>
            <w:tcW w:w="1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PIK, Due 12/28/17)</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5,323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5,323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4,948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ABUTEC,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Oil &amp; Gas Services</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Preferred Membership</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Units (10.8% fully</w:t>
            </w:r>
          </w:p>
        </w:tc>
        <w:tc>
          <w:tcPr>
            <w:tcW w:w="1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diluted)</w:t>
            </w:r>
          </w:p>
        </w:tc>
        <w:tc>
          <w:tcPr>
            <w:tcW w:w="1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1,240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6,563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4,948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w w:val="99"/>
              </w:rPr>
              <w:t>Automotive Chemicals &amp;</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(13%</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Lubricants</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Due 2/17/17)</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2,500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w w:val="99"/>
              </w:rPr>
              <w:t>Automotive Chemicals &amp;</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Warrants</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Lubricants</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(6.65% ownership)</w:t>
            </w:r>
          </w:p>
        </w:tc>
        <w:tc>
          <w:tcPr>
            <w:tcW w:w="1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w w:val="99"/>
              </w:rPr>
              <w:t>Automotive Chemicals &amp;</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Lubricants</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Units (11.3% ownership)</w:t>
            </w:r>
          </w:p>
        </w:tc>
        <w:tc>
          <w:tcPr>
            <w:tcW w:w="1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w:t>
            </w: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3,250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3,717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SSCR,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Personal Product</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Senior Secured Term</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8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Manufacturer</w:t>
            </w:r>
          </w:p>
        </w:tc>
        <w:tc>
          <w:tcPr>
            <w:tcW w:w="2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Debt (7% Cash, Due</w:t>
            </w:r>
          </w:p>
        </w:tc>
        <w:tc>
          <w:tcPr>
            <w:tcW w:w="1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6/12/17)</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5,750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5,750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5,470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SSCR,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Personal Product</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(7%</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Manufacturer</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Due 9/15/17)</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17,875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17,875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13,922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SSCR,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Personal Product</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Preferred Membership</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Manufacturer</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Units (15.8% ownership)</w:t>
            </w:r>
          </w:p>
        </w:tc>
        <w:tc>
          <w:tcPr>
            <w:tcW w:w="1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1,878</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SSCR,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Personal Product</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8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Manufacturer</w:t>
            </w:r>
          </w:p>
        </w:tc>
        <w:tc>
          <w:tcPr>
            <w:tcW w:w="2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Warrant (0.31%</w:t>
            </w:r>
          </w:p>
        </w:tc>
        <w:tc>
          <w:tcPr>
            <w:tcW w:w="1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ownership)</w:t>
            </w:r>
          </w:p>
        </w:tc>
        <w:tc>
          <w:tcPr>
            <w:tcW w:w="1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25,513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19,392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4"/>
                <w:szCs w:val="14"/>
                <w:color w:val="auto"/>
              </w:rPr>
              <w:t>Source Recycling, LLC</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Scrap Metal Recycler</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7"/>
              </w:rPr>
              <w:t>Subordinated Debt (13%</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Due 9/2/16)</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4,927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Recycling, LLC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Scrap Metal Recycler</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Units</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(68,656 units)</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1,590</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Recycling, LLC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Scrap Metal Recycler</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Warrants (1% fully</w:t>
            </w: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6,590</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4,927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Sparus Holdings, Inc. </w:t>
            </w:r>
            <w:r>
              <w:rPr>
                <w:rFonts w:ascii="Arial" w:cs="Arial" w:eastAsia="Arial" w:hAnsi="Arial"/>
                <w:sz w:val="18"/>
                <w:szCs w:val="18"/>
                <w:color w:val="auto"/>
                <w:vertAlign w:val="superscript"/>
              </w:rPr>
              <w:t>(2)</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Energy Services</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Senior Secured Term</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34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640" w:type="dxa"/>
            <w:vAlign w:val="bottom"/>
            <w:shd w:val="clear" w:color="auto" w:fill="CCEEFF"/>
          </w:tcPr>
          <w:p>
            <w:pPr>
              <w:ind w:left="120"/>
              <w:spacing w:after="0" w:line="116" w:lineRule="exact"/>
              <w:rPr>
                <w:sz w:val="20"/>
                <w:szCs w:val="20"/>
                <w:color w:val="auto"/>
              </w:rPr>
            </w:pPr>
            <w:r>
              <w:rPr>
                <w:rFonts w:ascii="Arial" w:cs="Arial" w:eastAsia="Arial" w:hAnsi="Arial"/>
                <w:sz w:val="13"/>
                <w:szCs w:val="13"/>
                <w:color w:val="auto"/>
              </w:rPr>
              <w:t>Debt (12% Cash, 2%</w:t>
            </w:r>
          </w:p>
        </w:tc>
        <w:tc>
          <w:tcPr>
            <w:tcW w:w="5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PIK, Due 3/21/16)</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5,060</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5,012</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5,109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Sparus Holdings, Inc. </w:t>
            </w:r>
            <w:r>
              <w:rPr>
                <w:rFonts w:ascii="Arial" w:cs="Arial" w:eastAsia="Arial" w:hAnsi="Arial"/>
                <w:sz w:val="18"/>
                <w:szCs w:val="18"/>
                <w:color w:val="auto"/>
                <w:vertAlign w:val="superscript"/>
              </w:rPr>
              <w:t>(2)</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Energy Services</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Subordinated Debt (9%</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34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640" w:type="dxa"/>
            <w:vAlign w:val="bottom"/>
            <w:shd w:val="clear" w:color="auto" w:fill="CCEEFF"/>
          </w:tcPr>
          <w:p>
            <w:pPr>
              <w:ind w:left="120"/>
              <w:spacing w:after="0" w:line="116" w:lineRule="exact"/>
              <w:rPr>
                <w:sz w:val="20"/>
                <w:szCs w:val="20"/>
                <w:color w:val="auto"/>
              </w:rPr>
            </w:pPr>
            <w:r>
              <w:rPr>
                <w:rFonts w:ascii="Arial" w:cs="Arial" w:eastAsia="Arial" w:hAnsi="Arial"/>
                <w:sz w:val="13"/>
                <w:szCs w:val="13"/>
                <w:color w:val="auto"/>
              </w:rPr>
              <w:t>Cash, 5% PIK, Due</w:t>
            </w:r>
          </w:p>
        </w:tc>
        <w:tc>
          <w:tcPr>
            <w:tcW w:w="5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3/21/16)</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8,210</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8,066</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5,391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Sparus Holdings, Inc.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Energy Services</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Series B Preferred Stock</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(5,703 shares)</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1,173</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Sparus Holdings, Inc.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Energy Services</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5"/>
              </w:rPr>
              <w:t>Common Stock Warrants</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(3,491 shares)</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14,251</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STX Healthcare Management Services,</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Dental Practice</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shd w:val="clear" w:color="auto" w:fill="CCEEFF"/>
          </w:tcPr>
          <w:p>
            <w:pPr>
              <w:spacing w:after="0" w:line="161" w:lineRule="exact"/>
              <w:rPr>
                <w:sz w:val="20"/>
                <w:szCs w:val="20"/>
                <w:color w:val="auto"/>
              </w:rPr>
            </w:pPr>
            <w:r>
              <w:rPr>
                <w:rFonts w:ascii="Arial" w:cs="Arial" w:eastAsia="Arial" w:hAnsi="Arial"/>
                <w:sz w:val="12"/>
                <w:szCs w:val="12"/>
                <w:color w:val="auto"/>
              </w:rPr>
              <w:t xml:space="preserve">Inc. </w:t>
            </w:r>
            <w:r>
              <w:rPr>
                <w:rFonts w:ascii="Arial" w:cs="Arial" w:eastAsia="Arial" w:hAnsi="Arial"/>
                <w:sz w:val="18"/>
                <w:szCs w:val="18"/>
                <w:color w:val="auto"/>
                <w:vertAlign w:val="superscript"/>
              </w:rPr>
              <w:t>(1)</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Management</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(12.5% Cash, Due</w:t>
            </w:r>
          </w:p>
        </w:tc>
        <w:tc>
          <w:tcPr>
            <w:tcW w:w="5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6,425</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6,425</w:t>
            </w:r>
          </w:p>
        </w:tc>
        <w:tc>
          <w:tcPr>
            <w:tcW w:w="4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6,425</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64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color w:val="auto"/>
              </w:rPr>
              <w:t>7/31/18)</w:t>
            </w:r>
          </w:p>
        </w:tc>
        <w:tc>
          <w:tcPr>
            <w:tcW w:w="56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13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STX Healthcare Management Services,</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Dental Practice</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Management</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(1,200,000 shares)</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1,200</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STX Healthcare Management Services,</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Dental Practice</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5"/>
              </w:rPr>
              <w:t>Common Stock Warrants</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Management</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(1,154,254 shares)</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218</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w:t>
            </w: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7,843</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8,038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TCE Holdings, Inc.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Oil &amp; Gas Services</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Subordinated Debt (12%</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2% PIK, Due</w:t>
            </w: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11/22/18)</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12,334</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12,334</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11,906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TCE Holdings, Inc.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Oil &amp; Gas Services</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Subordinated Debt (12%</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2% PIK, Due</w:t>
            </w: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11/22/18)</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9,829</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9,829</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9,488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TCE Holdings, Inc.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Oil &amp; Gas Services</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Common Stock</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(3,600 shares)</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3,600</w:t>
            </w: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1,164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25,763</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22,558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Data Processing &amp;</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Term</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Digital Marketing</w:t>
            </w:r>
          </w:p>
        </w:tc>
        <w:tc>
          <w:tcPr>
            <w:tcW w:w="1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Debt (15% PIK, Due</w:t>
            </w: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11/26/16)</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421</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421</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V12 Holdings, Inc. </w:t>
            </w:r>
            <w:r>
              <w:rPr>
                <w:rFonts w:ascii="Arial" w:cs="Arial" w:eastAsia="Arial" w:hAnsi="Arial"/>
                <w:sz w:val="18"/>
                <w:szCs w:val="18"/>
                <w:color w:val="auto"/>
                <w:vertAlign w:val="superscript"/>
              </w:rPr>
              <w:t>(1)</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Data Processing &amp;</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Bridge Note (0% Cash,</w:t>
            </w:r>
          </w:p>
        </w:tc>
        <w:tc>
          <w:tcPr>
            <w:tcW w:w="5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663</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361</w:t>
            </w:r>
          </w:p>
        </w:tc>
        <w:tc>
          <w:tcPr>
            <w:tcW w:w="4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2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56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Digital Marketing</w:t>
            </w:r>
          </w:p>
        </w:tc>
        <w:tc>
          <w:tcPr>
            <w:tcW w:w="164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Due 6/30/15)</w:t>
            </w:r>
          </w:p>
        </w:tc>
        <w:tc>
          <w:tcPr>
            <w:tcW w:w="56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V12 Holdings, Inc. </w:t>
            </w:r>
            <w:r>
              <w:rPr>
                <w:rFonts w:ascii="Arial" w:cs="Arial" w:eastAsia="Arial" w:hAnsi="Arial"/>
                <w:sz w:val="18"/>
                <w:szCs w:val="18"/>
                <w:color w:val="auto"/>
                <w:vertAlign w:val="superscript"/>
              </w:rPr>
              <w:t>(1)</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Data Processing &amp;</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Tier 2 Note (0% Cash,</w:t>
            </w:r>
          </w:p>
        </w:tc>
        <w:tc>
          <w:tcPr>
            <w:tcW w:w="5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44</w:t>
            </w:r>
          </w:p>
        </w:tc>
        <w:tc>
          <w:tcPr>
            <w:tcW w:w="4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2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56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Digital Marketing</w:t>
            </w:r>
          </w:p>
        </w:tc>
        <w:tc>
          <w:tcPr>
            <w:tcW w:w="164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Due 6/30/15)</w:t>
            </w:r>
          </w:p>
        </w:tc>
        <w:tc>
          <w:tcPr>
            <w:tcW w:w="56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V12 Holdings, Inc. </w:t>
            </w:r>
            <w:r>
              <w:rPr>
                <w:rFonts w:ascii="Arial" w:cs="Arial" w:eastAsia="Arial" w:hAnsi="Arial"/>
                <w:sz w:val="18"/>
                <w:szCs w:val="18"/>
                <w:color w:val="auto"/>
                <w:vertAlign w:val="superscript"/>
              </w:rPr>
              <w:t>(1)</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Data Processing &amp;</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Senior Subordinated</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340" w:type="dxa"/>
            <w:vAlign w:val="bottom"/>
            <w:shd w:val="clear" w:color="auto" w:fill="CCEEFF"/>
          </w:tcPr>
          <w:p>
            <w:pPr>
              <w:spacing w:after="0"/>
              <w:rPr>
                <w:sz w:val="10"/>
                <w:szCs w:val="10"/>
                <w:color w:val="auto"/>
              </w:rPr>
            </w:pPr>
          </w:p>
        </w:tc>
        <w:tc>
          <w:tcPr>
            <w:tcW w:w="1560" w:type="dxa"/>
            <w:vAlign w:val="bottom"/>
            <w:shd w:val="clear" w:color="auto" w:fill="CCEEFF"/>
          </w:tcPr>
          <w:p>
            <w:pPr>
              <w:ind w:left="60"/>
              <w:spacing w:after="0" w:line="116" w:lineRule="exact"/>
              <w:rPr>
                <w:sz w:val="20"/>
                <w:szCs w:val="20"/>
                <w:color w:val="auto"/>
              </w:rPr>
            </w:pPr>
            <w:r>
              <w:rPr>
                <w:rFonts w:ascii="Arial" w:cs="Arial" w:eastAsia="Arial" w:hAnsi="Arial"/>
                <w:sz w:val="13"/>
                <w:szCs w:val="13"/>
                <w:color w:val="auto"/>
              </w:rPr>
              <w:t>Digital Marketing</w:t>
            </w:r>
          </w:p>
        </w:tc>
        <w:tc>
          <w:tcPr>
            <w:tcW w:w="1640" w:type="dxa"/>
            <w:vAlign w:val="bottom"/>
            <w:shd w:val="clear" w:color="auto" w:fill="CCEEFF"/>
          </w:tcPr>
          <w:p>
            <w:pPr>
              <w:ind w:left="120"/>
              <w:spacing w:after="0" w:line="116" w:lineRule="exact"/>
              <w:rPr>
                <w:sz w:val="20"/>
                <w:szCs w:val="20"/>
                <w:color w:val="auto"/>
              </w:rPr>
            </w:pPr>
            <w:r>
              <w:rPr>
                <w:rFonts w:ascii="Arial" w:cs="Arial" w:eastAsia="Arial" w:hAnsi="Arial"/>
                <w:sz w:val="13"/>
                <w:szCs w:val="13"/>
                <w:color w:val="auto"/>
              </w:rPr>
              <w:t>Note (0% Cash, Due</w:t>
            </w:r>
          </w:p>
        </w:tc>
        <w:tc>
          <w:tcPr>
            <w:tcW w:w="5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6/30/15)</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3,563</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2,369</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3,563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V12 Holdings, Inc. </w:t>
            </w:r>
            <w:r>
              <w:rPr>
                <w:rFonts w:ascii="Arial" w:cs="Arial" w:eastAsia="Arial" w:hAnsi="Arial"/>
                <w:sz w:val="18"/>
                <w:szCs w:val="18"/>
                <w:color w:val="auto"/>
                <w:vertAlign w:val="superscript"/>
              </w:rPr>
              <w:t>(1)</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Data Processing &amp;</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Tier 3 Note (0% Cash,</w:t>
            </w:r>
          </w:p>
        </w:tc>
        <w:tc>
          <w:tcPr>
            <w:tcW w:w="5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299</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207</w:t>
            </w:r>
          </w:p>
        </w:tc>
        <w:tc>
          <w:tcPr>
            <w:tcW w:w="4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2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56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Digital Marketing</w:t>
            </w:r>
          </w:p>
        </w:tc>
        <w:tc>
          <w:tcPr>
            <w:tcW w:w="164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Due 6/30/15)</w:t>
            </w:r>
          </w:p>
        </w:tc>
        <w:tc>
          <w:tcPr>
            <w:tcW w:w="56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V12 Holdings, Inc. </w:t>
            </w:r>
            <w:r>
              <w:rPr>
                <w:rFonts w:ascii="Arial" w:cs="Arial" w:eastAsia="Arial" w:hAnsi="Arial"/>
                <w:sz w:val="18"/>
                <w:szCs w:val="18"/>
                <w:color w:val="auto"/>
                <w:vertAlign w:val="superscript"/>
              </w:rPr>
              <w:t>(1)</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Data Processing &amp;</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Jr. Subordinated Note</w:t>
            </w:r>
          </w:p>
        </w:tc>
        <w:tc>
          <w:tcPr>
            <w:tcW w:w="5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2,750</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2,750</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56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Digital Marketing</w:t>
            </w:r>
          </w:p>
        </w:tc>
        <w:tc>
          <w:tcPr>
            <w:tcW w:w="164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w w:val="99"/>
              </w:rPr>
              <w:t>(0% Cash, Due 6/30/15)</w:t>
            </w:r>
          </w:p>
        </w:tc>
        <w:tc>
          <w:tcPr>
            <w:tcW w:w="56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13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V12 Holdings, Inc. </w:t>
            </w:r>
            <w:r>
              <w:rPr>
                <w:rFonts w:ascii="Arial" w:cs="Arial" w:eastAsia="Arial" w:hAnsi="Arial"/>
                <w:sz w:val="18"/>
                <w:szCs w:val="18"/>
                <w:color w:val="auto"/>
                <w:vertAlign w:val="superscript"/>
              </w:rPr>
              <w:t>(1)</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Data Processing &amp;</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Tier 4 Note (0% Cash,</w:t>
            </w:r>
          </w:p>
        </w:tc>
        <w:tc>
          <w:tcPr>
            <w:tcW w:w="5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243</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2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56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Digital Marketing</w:t>
            </w:r>
          </w:p>
        </w:tc>
        <w:tc>
          <w:tcPr>
            <w:tcW w:w="164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Due 6/30/15)</w:t>
            </w:r>
          </w:p>
        </w:tc>
        <w:tc>
          <w:tcPr>
            <w:tcW w:w="56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Data Processing &amp;</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A-1 Preferred</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Digital Marketing</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(255,102 shares)</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Data Processing &amp;</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A-3 Preferred</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Digital Marketing</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(88,194 shares)</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Data Processing &amp;</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A-5 Preferred</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Digital Marketing</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(20,530 shares)</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Data Processing &amp;</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5"/>
              </w:rPr>
              <w:t>Common Stock Warrants</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Digital Marketing</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(2,063,629 warrants)</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3,402</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8,020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 Total Affiliate investments</w:t>
            </w:r>
          </w:p>
        </w:tc>
        <w:tc>
          <w:tcPr>
            <w:tcW w:w="15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156,307</w:t>
            </w: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173,585</w:t>
            </w:r>
          </w:p>
        </w:tc>
        <w:tc>
          <w:tcPr>
            <w:tcW w:w="13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color w:val="auto"/>
              </w:rPr>
              <w:t>72.9</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3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- 28.0%</w:t>
            </w:r>
          </w:p>
        </w:tc>
        <w:tc>
          <w:tcPr>
            <w:tcW w:w="15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Computer Supply Retail</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Term</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Debt (12% Cash, 4%</w:t>
            </w: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PIK, Due 5/24/18)</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10,694</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10,694</w:t>
            </w: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10,694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Computer Supply Retail</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(1,125,000 shares)</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1,125</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Computer Supply Retail</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5"/>
              </w:rPr>
              <w:t>Common Stock Warrants</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(570,000 shares)</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892"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11,819</w:t>
            </w:r>
          </w:p>
        </w:tc>
        <w:tc>
          <w:tcPr>
            <w:tcW w:w="4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12,117</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Capitala Senior Liquid Loan Fund I,</w:t>
            </w:r>
          </w:p>
        </w:tc>
        <w:tc>
          <w:tcPr>
            <w:tcW w:w="1600" w:type="dxa"/>
            <w:vAlign w:val="bottom"/>
          </w:tcPr>
          <w:p>
            <w:pPr>
              <w:ind w:left="140"/>
              <w:spacing w:after="0" w:line="130" w:lineRule="exact"/>
              <w:rPr>
                <w:sz w:val="20"/>
                <w:szCs w:val="20"/>
                <w:color w:val="auto"/>
              </w:rPr>
            </w:pPr>
            <w:r>
              <w:rPr>
                <w:rFonts w:ascii="Arial" w:cs="Arial" w:eastAsia="Arial" w:hAnsi="Arial"/>
                <w:sz w:val="14"/>
                <w:szCs w:val="14"/>
                <w:color w:val="auto"/>
              </w:rPr>
              <w:t>Investment Fund</w:t>
            </w:r>
          </w:p>
        </w:tc>
        <w:tc>
          <w:tcPr>
            <w:tcW w:w="2120" w:type="dxa"/>
            <w:vAlign w:val="bottom"/>
          </w:tcPr>
          <w:p>
            <w:pPr>
              <w:ind w:left="160"/>
              <w:spacing w:after="0" w:line="130" w:lineRule="exact"/>
              <w:rPr>
                <w:sz w:val="20"/>
                <w:szCs w:val="20"/>
                <w:color w:val="auto"/>
              </w:rPr>
            </w:pPr>
            <w:r>
              <w:rPr>
                <w:rFonts w:ascii="Arial" w:cs="Arial" w:eastAsia="Arial" w:hAnsi="Arial"/>
                <w:sz w:val="14"/>
                <w:szCs w:val="14"/>
                <w:color w:val="auto"/>
              </w:rPr>
              <w:t>Common Stock (80%</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2280" w:type="dxa"/>
            <w:vAlign w:val="bottom"/>
            <w:gridSpan w:val="2"/>
          </w:tcPr>
          <w:p>
            <w:pPr>
              <w:spacing w:after="0" w:line="221" w:lineRule="exact"/>
              <w:rPr>
                <w:sz w:val="20"/>
                <w:szCs w:val="20"/>
                <w:color w:val="auto"/>
              </w:rPr>
            </w:pPr>
            <w:r>
              <w:rPr>
                <w:rFonts w:ascii="Arial" w:cs="Arial" w:eastAsia="Arial" w:hAnsi="Arial"/>
                <w:sz w:val="25"/>
                <w:szCs w:val="25"/>
                <w:color w:val="auto"/>
                <w:vertAlign w:val="subscript"/>
              </w:rPr>
              <w:t>LLC</w:t>
            </w:r>
            <w:r>
              <w:rPr>
                <w:rFonts w:ascii="Arial" w:cs="Arial" w:eastAsia="Arial" w:hAnsi="Arial"/>
                <w:sz w:val="11"/>
                <w:szCs w:val="11"/>
                <w:color w:val="auto"/>
              </w:rPr>
              <w:t xml:space="preserve"> (7) (10)</w:t>
            </w:r>
          </w:p>
        </w:tc>
        <w:tc>
          <w:tcPr>
            <w:tcW w:w="160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14"/>
                <w:szCs w:val="14"/>
                <w:color w:val="auto"/>
              </w:rPr>
              <w:t>ownership)</w:t>
            </w: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10,000</w:t>
            </w: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10,000</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10,000</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10,000</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KBP Investments, LLC</w:t>
            </w:r>
          </w:p>
        </w:tc>
        <w:tc>
          <w:tcPr>
            <w:tcW w:w="1600" w:type="dxa"/>
            <w:vAlign w:val="bottom"/>
          </w:tcPr>
          <w:p>
            <w:pPr>
              <w:ind w:left="140"/>
              <w:spacing w:after="0" w:line="130" w:lineRule="exact"/>
              <w:rPr>
                <w:sz w:val="20"/>
                <w:szCs w:val="20"/>
                <w:color w:val="auto"/>
              </w:rPr>
            </w:pPr>
            <w:r>
              <w:rPr>
                <w:rFonts w:ascii="Arial" w:cs="Arial" w:eastAsia="Arial" w:hAnsi="Arial"/>
                <w:sz w:val="14"/>
                <w:szCs w:val="14"/>
                <w:color w:val="auto"/>
              </w:rPr>
              <w:t>QSR Franchisee</w:t>
            </w:r>
          </w:p>
        </w:tc>
        <w:tc>
          <w:tcPr>
            <w:tcW w:w="2120" w:type="dxa"/>
            <w:vAlign w:val="bottom"/>
          </w:tcPr>
          <w:p>
            <w:pPr>
              <w:ind w:left="160"/>
              <w:spacing w:after="0" w:line="130" w:lineRule="exact"/>
              <w:rPr>
                <w:sz w:val="20"/>
                <w:szCs w:val="20"/>
                <w:color w:val="auto"/>
              </w:rPr>
            </w:pPr>
            <w:r>
              <w:rPr>
                <w:rFonts w:ascii="Arial" w:cs="Arial" w:eastAsia="Arial" w:hAnsi="Arial"/>
                <w:sz w:val="14"/>
                <w:szCs w:val="14"/>
                <w:color w:val="auto"/>
              </w:rPr>
              <w:t>Class A Common Stock</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120" w:type="dxa"/>
            <w:vAlign w:val="bottom"/>
          </w:tcPr>
          <w:p>
            <w:pPr>
              <w:ind w:left="160"/>
              <w:spacing w:after="0"/>
              <w:rPr>
                <w:sz w:val="20"/>
                <w:szCs w:val="20"/>
                <w:color w:val="auto"/>
              </w:rPr>
            </w:pPr>
            <w:r>
              <w:rPr>
                <w:rFonts w:ascii="Arial" w:cs="Arial" w:eastAsia="Arial" w:hAnsi="Arial"/>
                <w:sz w:val="14"/>
                <w:szCs w:val="14"/>
                <w:color w:val="auto"/>
              </w:rPr>
              <w:t>(380,413 shares)</w:t>
            </w: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900</w:t>
            </w:r>
          </w:p>
        </w:tc>
        <w:tc>
          <w:tcPr>
            <w:tcW w:w="2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900</w:t>
            </w:r>
          </w:p>
        </w:tc>
        <w:tc>
          <w:tcPr>
            <w:tcW w:w="2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60" w:type="dxa"/>
            <w:vAlign w:val="bottom"/>
          </w:tcPr>
          <w:p>
            <w:pPr>
              <w:spacing w:after="0" w:line="162" w:lineRule="exact"/>
              <w:rPr>
                <w:sz w:val="20"/>
                <w:szCs w:val="20"/>
                <w:color w:val="auto"/>
              </w:rPr>
            </w:pPr>
            <w:r>
              <w:rPr>
                <w:rFonts w:ascii="Arial" w:cs="Arial" w:eastAsia="Arial" w:hAnsi="Arial"/>
                <w:sz w:val="12"/>
                <w:szCs w:val="12"/>
                <w:color w:val="auto"/>
              </w:rPr>
              <w:t xml:space="preserve">Market E's, LLC </w:t>
            </w:r>
            <w:r>
              <w:rPr>
                <w:rFonts w:ascii="Arial" w:cs="Arial" w:eastAsia="Arial" w:hAnsi="Arial"/>
                <w:sz w:val="18"/>
                <w:szCs w:val="18"/>
                <w:color w:val="auto"/>
                <w:vertAlign w:val="superscript"/>
              </w:rPr>
              <w:t>(1)</w:t>
            </w:r>
          </w:p>
        </w:tc>
        <w:tc>
          <w:tcPr>
            <w:tcW w:w="1600" w:type="dxa"/>
            <w:vAlign w:val="bottom"/>
          </w:tcPr>
          <w:p>
            <w:pPr>
              <w:ind w:left="140"/>
              <w:spacing w:after="0"/>
              <w:rPr>
                <w:sz w:val="20"/>
                <w:szCs w:val="20"/>
                <w:color w:val="auto"/>
              </w:rPr>
            </w:pPr>
            <w:r>
              <w:rPr>
                <w:rFonts w:ascii="Arial" w:cs="Arial" w:eastAsia="Arial" w:hAnsi="Arial"/>
                <w:sz w:val="14"/>
                <w:szCs w:val="14"/>
                <w:color w:val="auto"/>
              </w:rPr>
              <w:t>Online Travel Sales &amp;</w:t>
            </w:r>
          </w:p>
        </w:tc>
        <w:tc>
          <w:tcPr>
            <w:tcW w:w="2120" w:type="dxa"/>
            <w:vAlign w:val="bottom"/>
          </w:tcPr>
          <w:p>
            <w:pPr>
              <w:ind w:left="160"/>
              <w:spacing w:after="0"/>
              <w:rPr>
                <w:sz w:val="20"/>
                <w:szCs w:val="20"/>
                <w:color w:val="auto"/>
              </w:rPr>
            </w:pPr>
            <w:r>
              <w:rPr>
                <w:rFonts w:ascii="Arial" w:cs="Arial" w:eastAsia="Arial" w:hAnsi="Arial"/>
                <w:sz w:val="14"/>
                <w:szCs w:val="14"/>
                <w:color w:val="auto"/>
              </w:rPr>
              <w:t>Senior Secured Debt (0%</w:t>
            </w:r>
          </w:p>
        </w:tc>
        <w:tc>
          <w:tcPr>
            <w:tcW w:w="1140" w:type="dxa"/>
            <w:vAlign w:val="bottom"/>
            <w:vMerge w:val="restart"/>
          </w:tcPr>
          <w:p>
            <w:pPr>
              <w:jc w:val="right"/>
              <w:ind w:right="168"/>
              <w:spacing w:after="0"/>
              <w:rPr>
                <w:sz w:val="20"/>
                <w:szCs w:val="20"/>
                <w:color w:val="auto"/>
              </w:rPr>
            </w:pPr>
            <w:r>
              <w:rPr>
                <w:rFonts w:ascii="Arial" w:cs="Arial" w:eastAsia="Arial" w:hAnsi="Arial"/>
                <w:sz w:val="14"/>
                <w:szCs w:val="14"/>
                <w:color w:val="auto"/>
              </w:rPr>
              <w:t>985</w:t>
            </w:r>
          </w:p>
        </w:tc>
        <w:tc>
          <w:tcPr>
            <w:tcW w:w="420" w:type="dxa"/>
            <w:vAlign w:val="bottom"/>
          </w:tcPr>
          <w:p>
            <w:pPr>
              <w:spacing w:after="0"/>
              <w:rPr>
                <w:sz w:val="14"/>
                <w:szCs w:val="14"/>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985</w:t>
            </w:r>
          </w:p>
        </w:tc>
        <w:tc>
          <w:tcPr>
            <w:tcW w:w="420" w:type="dxa"/>
            <w:vAlign w:val="bottom"/>
          </w:tcPr>
          <w:p>
            <w:pPr>
              <w:spacing w:after="0"/>
              <w:rPr>
                <w:sz w:val="14"/>
                <w:szCs w:val="14"/>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1,000</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600" w:type="dxa"/>
            <w:vAlign w:val="bottom"/>
          </w:tcPr>
          <w:p>
            <w:pPr>
              <w:ind w:left="140"/>
              <w:spacing w:after="0" w:line="135" w:lineRule="exact"/>
              <w:rPr>
                <w:sz w:val="20"/>
                <w:szCs w:val="20"/>
                <w:color w:val="auto"/>
              </w:rPr>
            </w:pPr>
            <w:r>
              <w:rPr>
                <w:rFonts w:ascii="Arial" w:cs="Arial" w:eastAsia="Arial" w:hAnsi="Arial"/>
                <w:sz w:val="14"/>
                <w:szCs w:val="14"/>
                <w:color w:val="auto"/>
              </w:rPr>
              <w:t>Marketing</w:t>
            </w:r>
          </w:p>
        </w:tc>
        <w:tc>
          <w:tcPr>
            <w:tcW w:w="2120" w:type="dxa"/>
            <w:vAlign w:val="bottom"/>
          </w:tcPr>
          <w:p>
            <w:pPr>
              <w:ind w:left="160"/>
              <w:spacing w:after="0" w:line="135" w:lineRule="exact"/>
              <w:rPr>
                <w:sz w:val="20"/>
                <w:szCs w:val="20"/>
                <w:color w:val="auto"/>
              </w:rPr>
            </w:pPr>
            <w:r>
              <w:rPr>
                <w:rFonts w:ascii="Arial" w:cs="Arial" w:eastAsia="Arial" w:hAnsi="Arial"/>
                <w:sz w:val="14"/>
                <w:szCs w:val="14"/>
                <w:color w:val="auto"/>
              </w:rPr>
              <w:t>Cash, Due 12/31/16)</w:t>
            </w:r>
          </w:p>
        </w:tc>
        <w:tc>
          <w:tcPr>
            <w:tcW w:w="11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60" w:type="dxa"/>
            <w:vAlign w:val="bottom"/>
          </w:tcPr>
          <w:p>
            <w:pPr>
              <w:spacing w:after="0" w:line="162" w:lineRule="exact"/>
              <w:rPr>
                <w:sz w:val="20"/>
                <w:szCs w:val="20"/>
                <w:color w:val="auto"/>
              </w:rPr>
            </w:pPr>
            <w:r>
              <w:rPr>
                <w:rFonts w:ascii="Arial" w:cs="Arial" w:eastAsia="Arial" w:hAnsi="Arial"/>
                <w:sz w:val="12"/>
                <w:szCs w:val="12"/>
                <w:color w:val="auto"/>
              </w:rPr>
              <w:t xml:space="preserve">Market E's, LLC </w:t>
            </w:r>
            <w:r>
              <w:rPr>
                <w:rFonts w:ascii="Arial" w:cs="Arial" w:eastAsia="Arial" w:hAnsi="Arial"/>
                <w:sz w:val="18"/>
                <w:szCs w:val="18"/>
                <w:color w:val="auto"/>
                <w:vertAlign w:val="superscript"/>
              </w:rPr>
              <w:t>(1)</w:t>
            </w:r>
          </w:p>
        </w:tc>
        <w:tc>
          <w:tcPr>
            <w:tcW w:w="1600" w:type="dxa"/>
            <w:vAlign w:val="bottom"/>
          </w:tcPr>
          <w:p>
            <w:pPr>
              <w:ind w:left="140"/>
              <w:spacing w:after="0"/>
              <w:rPr>
                <w:sz w:val="20"/>
                <w:szCs w:val="20"/>
                <w:color w:val="auto"/>
              </w:rPr>
            </w:pPr>
            <w:r>
              <w:rPr>
                <w:rFonts w:ascii="Arial" w:cs="Arial" w:eastAsia="Arial" w:hAnsi="Arial"/>
                <w:sz w:val="14"/>
                <w:szCs w:val="14"/>
                <w:color w:val="auto"/>
              </w:rPr>
              <w:t>Online Travel Sales &amp;</w:t>
            </w:r>
          </w:p>
        </w:tc>
        <w:tc>
          <w:tcPr>
            <w:tcW w:w="2120" w:type="dxa"/>
            <w:vAlign w:val="bottom"/>
          </w:tcPr>
          <w:p>
            <w:pPr>
              <w:ind w:left="160"/>
              <w:spacing w:after="0"/>
              <w:rPr>
                <w:sz w:val="20"/>
                <w:szCs w:val="20"/>
                <w:color w:val="auto"/>
              </w:rPr>
            </w:pPr>
            <w:r>
              <w:rPr>
                <w:rFonts w:ascii="Arial" w:cs="Arial" w:eastAsia="Arial" w:hAnsi="Arial"/>
                <w:sz w:val="14"/>
                <w:szCs w:val="14"/>
                <w:color w:val="auto"/>
              </w:rPr>
              <w:t>Subordinated Debt (0%</w:t>
            </w:r>
          </w:p>
        </w:tc>
        <w:tc>
          <w:tcPr>
            <w:tcW w:w="1140" w:type="dxa"/>
            <w:vAlign w:val="bottom"/>
            <w:vMerge w:val="restart"/>
          </w:tcPr>
          <w:p>
            <w:pPr>
              <w:jc w:val="right"/>
              <w:ind w:right="168"/>
              <w:spacing w:after="0"/>
              <w:rPr>
                <w:sz w:val="20"/>
                <w:szCs w:val="20"/>
                <w:color w:val="auto"/>
              </w:rPr>
            </w:pPr>
            <w:r>
              <w:rPr>
                <w:rFonts w:ascii="Arial" w:cs="Arial" w:eastAsia="Arial" w:hAnsi="Arial"/>
                <w:sz w:val="14"/>
                <w:szCs w:val="14"/>
                <w:color w:val="auto"/>
              </w:rPr>
              <w:t>2,897</w:t>
            </w:r>
          </w:p>
        </w:tc>
        <w:tc>
          <w:tcPr>
            <w:tcW w:w="420" w:type="dxa"/>
            <w:vAlign w:val="bottom"/>
          </w:tcPr>
          <w:p>
            <w:pPr>
              <w:spacing w:after="0"/>
              <w:rPr>
                <w:sz w:val="14"/>
                <w:szCs w:val="14"/>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2,875</w:t>
            </w:r>
          </w:p>
        </w:tc>
        <w:tc>
          <w:tcPr>
            <w:tcW w:w="4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750</w:t>
            </w:r>
          </w:p>
        </w:tc>
        <w:tc>
          <w:tcPr>
            <w:tcW w:w="220" w:type="dxa"/>
            <w:vAlign w:val="bottom"/>
          </w:tcPr>
          <w:p>
            <w:pPr>
              <w:spacing w:after="0"/>
              <w:rPr>
                <w:sz w:val="14"/>
                <w:szCs w:val="14"/>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600" w:type="dxa"/>
            <w:vAlign w:val="bottom"/>
          </w:tcPr>
          <w:p>
            <w:pPr>
              <w:ind w:left="140"/>
              <w:spacing w:after="0" w:line="135" w:lineRule="exact"/>
              <w:rPr>
                <w:sz w:val="20"/>
                <w:szCs w:val="20"/>
                <w:color w:val="auto"/>
              </w:rPr>
            </w:pPr>
            <w:r>
              <w:rPr>
                <w:rFonts w:ascii="Arial" w:cs="Arial" w:eastAsia="Arial" w:hAnsi="Arial"/>
                <w:sz w:val="14"/>
                <w:szCs w:val="14"/>
                <w:color w:val="auto"/>
              </w:rPr>
              <w:t>Marketing</w:t>
            </w:r>
          </w:p>
        </w:tc>
        <w:tc>
          <w:tcPr>
            <w:tcW w:w="2120" w:type="dxa"/>
            <w:vAlign w:val="bottom"/>
          </w:tcPr>
          <w:p>
            <w:pPr>
              <w:ind w:left="160"/>
              <w:spacing w:after="0" w:line="135" w:lineRule="exact"/>
              <w:rPr>
                <w:sz w:val="20"/>
                <w:szCs w:val="20"/>
                <w:color w:val="auto"/>
              </w:rPr>
            </w:pPr>
            <w:r>
              <w:rPr>
                <w:rFonts w:ascii="Arial" w:cs="Arial" w:eastAsia="Arial" w:hAnsi="Arial"/>
                <w:sz w:val="14"/>
                <w:szCs w:val="14"/>
                <w:color w:val="auto"/>
              </w:rPr>
              <w:t>Cash, Due 12/31/16)</w:t>
            </w:r>
          </w:p>
        </w:tc>
        <w:tc>
          <w:tcPr>
            <w:tcW w:w="11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Market E's, LLC</w:t>
            </w:r>
          </w:p>
        </w:tc>
        <w:tc>
          <w:tcPr>
            <w:tcW w:w="1600" w:type="dxa"/>
            <w:vAlign w:val="bottom"/>
          </w:tcPr>
          <w:p>
            <w:pPr>
              <w:ind w:left="140"/>
              <w:spacing w:after="0" w:line="130" w:lineRule="exact"/>
              <w:rPr>
                <w:sz w:val="20"/>
                <w:szCs w:val="20"/>
                <w:color w:val="auto"/>
              </w:rPr>
            </w:pPr>
            <w:r>
              <w:rPr>
                <w:rFonts w:ascii="Arial" w:cs="Arial" w:eastAsia="Arial" w:hAnsi="Arial"/>
                <w:sz w:val="14"/>
                <w:szCs w:val="14"/>
                <w:color w:val="auto"/>
              </w:rPr>
              <w:t>Online Travel Sales &amp;</w:t>
            </w:r>
          </w:p>
        </w:tc>
        <w:tc>
          <w:tcPr>
            <w:tcW w:w="2120" w:type="dxa"/>
            <w:vAlign w:val="bottom"/>
          </w:tcPr>
          <w:p>
            <w:pPr>
              <w:ind w:left="160"/>
              <w:spacing w:after="0" w:line="130" w:lineRule="exact"/>
              <w:rPr>
                <w:sz w:val="20"/>
                <w:szCs w:val="20"/>
                <w:color w:val="auto"/>
              </w:rPr>
            </w:pPr>
            <w:r>
              <w:rPr>
                <w:rFonts w:ascii="Arial" w:cs="Arial" w:eastAsia="Arial" w:hAnsi="Arial"/>
                <w:sz w:val="14"/>
                <w:szCs w:val="14"/>
                <w:color w:val="auto"/>
              </w:rPr>
              <w:t>Class A Preferred Stock</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ind w:left="140"/>
              <w:spacing w:after="0"/>
              <w:rPr>
                <w:sz w:val="20"/>
                <w:szCs w:val="20"/>
                <w:color w:val="auto"/>
              </w:rPr>
            </w:pPr>
            <w:r>
              <w:rPr>
                <w:rFonts w:ascii="Arial" w:cs="Arial" w:eastAsia="Arial" w:hAnsi="Arial"/>
                <w:sz w:val="14"/>
                <w:szCs w:val="14"/>
                <w:color w:val="auto"/>
              </w:rPr>
              <w:t>Marketing</w:t>
            </w:r>
          </w:p>
        </w:tc>
        <w:tc>
          <w:tcPr>
            <w:tcW w:w="2120" w:type="dxa"/>
            <w:vAlign w:val="bottom"/>
          </w:tcPr>
          <w:p>
            <w:pPr>
              <w:ind w:left="160"/>
              <w:spacing w:after="0"/>
              <w:rPr>
                <w:sz w:val="20"/>
                <w:szCs w:val="20"/>
                <w:color w:val="auto"/>
              </w:rPr>
            </w:pPr>
            <w:r>
              <w:rPr>
                <w:rFonts w:ascii="Arial" w:cs="Arial" w:eastAsia="Arial" w:hAnsi="Arial"/>
                <w:sz w:val="14"/>
                <w:szCs w:val="14"/>
                <w:color w:val="auto"/>
              </w:rPr>
              <w:t>(600 shares)</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240</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Market E's, LLC</w:t>
            </w:r>
          </w:p>
        </w:tc>
        <w:tc>
          <w:tcPr>
            <w:tcW w:w="1600" w:type="dxa"/>
            <w:vAlign w:val="bottom"/>
          </w:tcPr>
          <w:p>
            <w:pPr>
              <w:ind w:left="140"/>
              <w:spacing w:after="0" w:line="130" w:lineRule="exact"/>
              <w:rPr>
                <w:sz w:val="20"/>
                <w:szCs w:val="20"/>
                <w:color w:val="auto"/>
              </w:rPr>
            </w:pPr>
            <w:r>
              <w:rPr>
                <w:rFonts w:ascii="Arial" w:cs="Arial" w:eastAsia="Arial" w:hAnsi="Arial"/>
                <w:sz w:val="14"/>
                <w:szCs w:val="14"/>
                <w:color w:val="auto"/>
              </w:rPr>
              <w:t>Online Travel Sales &amp;</w:t>
            </w:r>
          </w:p>
        </w:tc>
        <w:tc>
          <w:tcPr>
            <w:tcW w:w="2120" w:type="dxa"/>
            <w:vAlign w:val="bottom"/>
          </w:tcPr>
          <w:p>
            <w:pPr>
              <w:ind w:left="160"/>
              <w:spacing w:after="0" w:line="130" w:lineRule="exact"/>
              <w:rPr>
                <w:sz w:val="20"/>
                <w:szCs w:val="20"/>
                <w:color w:val="auto"/>
              </w:rPr>
            </w:pPr>
            <w:r>
              <w:rPr>
                <w:rFonts w:ascii="Arial" w:cs="Arial" w:eastAsia="Arial" w:hAnsi="Arial"/>
                <w:sz w:val="14"/>
                <w:szCs w:val="14"/>
                <w:color w:val="auto"/>
              </w:rPr>
              <w:t>Class B Preferred Stock</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ind w:left="140"/>
              <w:spacing w:after="0"/>
              <w:rPr>
                <w:sz w:val="20"/>
                <w:szCs w:val="20"/>
                <w:color w:val="auto"/>
              </w:rPr>
            </w:pPr>
            <w:r>
              <w:rPr>
                <w:rFonts w:ascii="Arial" w:cs="Arial" w:eastAsia="Arial" w:hAnsi="Arial"/>
                <w:sz w:val="14"/>
                <w:szCs w:val="14"/>
                <w:color w:val="auto"/>
              </w:rPr>
              <w:t>Marketing</w:t>
            </w:r>
          </w:p>
        </w:tc>
        <w:tc>
          <w:tcPr>
            <w:tcW w:w="2120" w:type="dxa"/>
            <w:vAlign w:val="bottom"/>
          </w:tcPr>
          <w:p>
            <w:pPr>
              <w:ind w:left="160"/>
              <w:spacing w:after="0"/>
              <w:rPr>
                <w:sz w:val="20"/>
                <w:szCs w:val="20"/>
                <w:color w:val="auto"/>
              </w:rPr>
            </w:pPr>
            <w:r>
              <w:rPr>
                <w:rFonts w:ascii="Arial" w:cs="Arial" w:eastAsia="Arial" w:hAnsi="Arial"/>
                <w:sz w:val="14"/>
                <w:szCs w:val="14"/>
                <w:color w:val="auto"/>
              </w:rPr>
              <w:t>(2,411 shares)</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965</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Market E's, LLC</w:t>
            </w:r>
          </w:p>
        </w:tc>
        <w:tc>
          <w:tcPr>
            <w:tcW w:w="1600" w:type="dxa"/>
            <w:vAlign w:val="bottom"/>
          </w:tcPr>
          <w:p>
            <w:pPr>
              <w:ind w:left="140"/>
              <w:spacing w:after="0" w:line="130" w:lineRule="exact"/>
              <w:rPr>
                <w:sz w:val="20"/>
                <w:szCs w:val="20"/>
                <w:color w:val="auto"/>
              </w:rPr>
            </w:pPr>
            <w:r>
              <w:rPr>
                <w:rFonts w:ascii="Arial" w:cs="Arial" w:eastAsia="Arial" w:hAnsi="Arial"/>
                <w:sz w:val="14"/>
                <w:szCs w:val="14"/>
                <w:color w:val="auto"/>
              </w:rPr>
              <w:t>Online Travel Sales &amp;</w:t>
            </w:r>
          </w:p>
        </w:tc>
        <w:tc>
          <w:tcPr>
            <w:tcW w:w="2120" w:type="dxa"/>
            <w:vAlign w:val="bottom"/>
          </w:tcPr>
          <w:p>
            <w:pPr>
              <w:ind w:left="160"/>
              <w:spacing w:after="0" w:line="130" w:lineRule="exact"/>
              <w:rPr>
                <w:sz w:val="20"/>
                <w:szCs w:val="20"/>
                <w:color w:val="auto"/>
              </w:rPr>
            </w:pPr>
            <w:r>
              <w:rPr>
                <w:rFonts w:ascii="Arial" w:cs="Arial" w:eastAsia="Arial" w:hAnsi="Arial"/>
                <w:sz w:val="14"/>
                <w:szCs w:val="14"/>
                <w:color w:val="auto"/>
              </w:rPr>
              <w:t>Class A Common Stock</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00" w:type="dxa"/>
            <w:vAlign w:val="bottom"/>
          </w:tcPr>
          <w:p>
            <w:pPr>
              <w:ind w:left="140"/>
              <w:spacing w:after="0"/>
              <w:rPr>
                <w:sz w:val="20"/>
                <w:szCs w:val="20"/>
                <w:color w:val="auto"/>
              </w:rPr>
            </w:pPr>
            <w:r>
              <w:rPr>
                <w:rFonts w:ascii="Arial" w:cs="Arial" w:eastAsia="Arial" w:hAnsi="Arial"/>
                <w:sz w:val="14"/>
                <w:szCs w:val="14"/>
                <w:color w:val="auto"/>
              </w:rPr>
              <w:t>Marketing</w:t>
            </w:r>
          </w:p>
        </w:tc>
        <w:tc>
          <w:tcPr>
            <w:tcW w:w="2120" w:type="dxa"/>
            <w:vAlign w:val="bottom"/>
          </w:tcPr>
          <w:p>
            <w:pPr>
              <w:ind w:left="160"/>
              <w:spacing w:after="0"/>
              <w:rPr>
                <w:sz w:val="20"/>
                <w:szCs w:val="20"/>
                <w:color w:val="auto"/>
              </w:rPr>
            </w:pPr>
            <w:r>
              <w:rPr>
                <w:rFonts w:ascii="Arial" w:cs="Arial" w:eastAsia="Arial" w:hAnsi="Arial"/>
                <w:sz w:val="14"/>
                <w:szCs w:val="14"/>
                <w:color w:val="auto"/>
              </w:rPr>
              <w:t>(600 shares)</w:t>
            </w: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5,065</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1,750</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Micro Precision, LLC</w:t>
            </w:r>
          </w:p>
        </w:tc>
        <w:tc>
          <w:tcPr>
            <w:tcW w:w="1600" w:type="dxa"/>
            <w:vAlign w:val="bottom"/>
          </w:tcPr>
          <w:p>
            <w:pPr>
              <w:ind w:left="140"/>
              <w:spacing w:after="0" w:line="130" w:lineRule="exact"/>
              <w:rPr>
                <w:sz w:val="20"/>
                <w:szCs w:val="20"/>
                <w:color w:val="auto"/>
              </w:rPr>
            </w:pPr>
            <w:r>
              <w:rPr>
                <w:rFonts w:ascii="Arial" w:cs="Arial" w:eastAsia="Arial" w:hAnsi="Arial"/>
                <w:sz w:val="14"/>
                <w:szCs w:val="14"/>
                <w:color w:val="auto"/>
              </w:rPr>
              <w:t>Conglomerate</w:t>
            </w:r>
          </w:p>
        </w:tc>
        <w:tc>
          <w:tcPr>
            <w:tcW w:w="2120" w:type="dxa"/>
            <w:vAlign w:val="bottom"/>
          </w:tcPr>
          <w:p>
            <w:pPr>
              <w:ind w:left="160"/>
              <w:spacing w:after="0" w:line="130" w:lineRule="exact"/>
              <w:rPr>
                <w:sz w:val="20"/>
                <w:szCs w:val="20"/>
                <w:color w:val="auto"/>
              </w:rPr>
            </w:pPr>
            <w:r>
              <w:rPr>
                <w:rFonts w:ascii="Arial" w:cs="Arial" w:eastAsia="Arial" w:hAnsi="Arial"/>
                <w:sz w:val="14"/>
                <w:szCs w:val="14"/>
                <w:color w:val="auto"/>
              </w:rPr>
              <w:t>Subordinated Debt (10%</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20" w:type="dxa"/>
            <w:vAlign w:val="bottom"/>
          </w:tcPr>
          <w:p>
            <w:pPr>
              <w:ind w:left="160"/>
              <w:spacing w:after="0"/>
              <w:rPr>
                <w:sz w:val="20"/>
                <w:szCs w:val="20"/>
                <w:color w:val="auto"/>
              </w:rPr>
            </w:pPr>
            <w:r>
              <w:rPr>
                <w:rFonts w:ascii="Arial" w:cs="Arial" w:eastAsia="Arial" w:hAnsi="Arial"/>
                <w:sz w:val="14"/>
                <w:szCs w:val="14"/>
                <w:color w:val="auto"/>
              </w:rPr>
              <w:t>Cash, Due 9/16/16)</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1,862</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1,862</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1,862</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Micro Precision, LLC</w:t>
            </w:r>
          </w:p>
        </w:tc>
        <w:tc>
          <w:tcPr>
            <w:tcW w:w="1600" w:type="dxa"/>
            <w:vAlign w:val="bottom"/>
          </w:tcPr>
          <w:p>
            <w:pPr>
              <w:ind w:left="140"/>
              <w:spacing w:after="0" w:line="130" w:lineRule="exact"/>
              <w:rPr>
                <w:sz w:val="20"/>
                <w:szCs w:val="20"/>
                <w:color w:val="auto"/>
              </w:rPr>
            </w:pPr>
            <w:r>
              <w:rPr>
                <w:rFonts w:ascii="Arial" w:cs="Arial" w:eastAsia="Arial" w:hAnsi="Arial"/>
                <w:sz w:val="14"/>
                <w:szCs w:val="14"/>
                <w:color w:val="auto"/>
              </w:rPr>
              <w:t>Conglomerate</w:t>
            </w:r>
          </w:p>
        </w:tc>
        <w:tc>
          <w:tcPr>
            <w:tcW w:w="2120" w:type="dxa"/>
            <w:vAlign w:val="bottom"/>
          </w:tcPr>
          <w:p>
            <w:pPr>
              <w:ind w:left="160"/>
              <w:spacing w:after="0" w:line="130" w:lineRule="exact"/>
              <w:rPr>
                <w:sz w:val="20"/>
                <w:szCs w:val="20"/>
                <w:color w:val="auto"/>
              </w:rPr>
            </w:pPr>
            <w:r>
              <w:rPr>
                <w:rFonts w:ascii="Arial" w:cs="Arial" w:eastAsia="Arial" w:hAnsi="Arial"/>
                <w:sz w:val="14"/>
                <w:szCs w:val="14"/>
                <w:color w:val="auto"/>
              </w:rPr>
              <w:t>Subordinated Debt (14%</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120" w:type="dxa"/>
            <w:vAlign w:val="bottom"/>
          </w:tcPr>
          <w:p>
            <w:pPr>
              <w:ind w:left="160"/>
              <w:spacing w:after="0" w:line="149" w:lineRule="exact"/>
              <w:rPr>
                <w:sz w:val="20"/>
                <w:szCs w:val="20"/>
                <w:color w:val="auto"/>
              </w:rPr>
            </w:pPr>
            <w:r>
              <w:rPr>
                <w:rFonts w:ascii="Arial" w:cs="Arial" w:eastAsia="Arial" w:hAnsi="Arial"/>
                <w:sz w:val="14"/>
                <w:szCs w:val="14"/>
                <w:color w:val="auto"/>
              </w:rPr>
              <w:t>Cash, 4% PIK, Due</w:t>
            </w: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20" w:type="dxa"/>
            <w:vAlign w:val="bottom"/>
          </w:tcPr>
          <w:p>
            <w:pPr>
              <w:ind w:left="160"/>
              <w:spacing w:after="0"/>
              <w:rPr>
                <w:sz w:val="20"/>
                <w:szCs w:val="20"/>
                <w:color w:val="auto"/>
              </w:rPr>
            </w:pPr>
            <w:r>
              <w:rPr>
                <w:rFonts w:ascii="Arial" w:cs="Arial" w:eastAsia="Arial" w:hAnsi="Arial"/>
                <w:sz w:val="14"/>
                <w:szCs w:val="14"/>
                <w:color w:val="auto"/>
              </w:rPr>
              <w:t>9/16/16)</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3,720</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3,720</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3,720</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Micro Precision, LLC</w:t>
            </w:r>
          </w:p>
        </w:tc>
        <w:tc>
          <w:tcPr>
            <w:tcW w:w="1600" w:type="dxa"/>
            <w:vAlign w:val="bottom"/>
          </w:tcPr>
          <w:p>
            <w:pPr>
              <w:ind w:left="140"/>
              <w:spacing w:after="0" w:line="130" w:lineRule="exact"/>
              <w:rPr>
                <w:sz w:val="20"/>
                <w:szCs w:val="20"/>
                <w:color w:val="auto"/>
              </w:rPr>
            </w:pPr>
            <w:r>
              <w:rPr>
                <w:rFonts w:ascii="Arial" w:cs="Arial" w:eastAsia="Arial" w:hAnsi="Arial"/>
                <w:sz w:val="14"/>
                <w:szCs w:val="14"/>
                <w:color w:val="auto"/>
              </w:rPr>
              <w:t>Conglomerate</w:t>
            </w:r>
          </w:p>
        </w:tc>
        <w:tc>
          <w:tcPr>
            <w:tcW w:w="2120" w:type="dxa"/>
            <w:vAlign w:val="bottom"/>
          </w:tcPr>
          <w:p>
            <w:pPr>
              <w:ind w:left="160"/>
              <w:spacing w:after="0" w:line="130" w:lineRule="exact"/>
              <w:rPr>
                <w:sz w:val="20"/>
                <w:szCs w:val="20"/>
                <w:color w:val="auto"/>
              </w:rPr>
            </w:pPr>
            <w:r>
              <w:rPr>
                <w:rFonts w:ascii="Arial" w:cs="Arial" w:eastAsia="Arial" w:hAnsi="Arial"/>
                <w:sz w:val="14"/>
                <w:szCs w:val="14"/>
                <w:color w:val="auto"/>
              </w:rPr>
              <w:t>Series A Preferred Units</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120" w:type="dxa"/>
            <w:vAlign w:val="bottom"/>
          </w:tcPr>
          <w:p>
            <w:pPr>
              <w:ind w:left="160"/>
              <w:spacing w:after="0"/>
              <w:rPr>
                <w:sz w:val="20"/>
                <w:szCs w:val="20"/>
                <w:color w:val="auto"/>
              </w:rPr>
            </w:pPr>
            <w:r>
              <w:rPr>
                <w:rFonts w:ascii="Arial" w:cs="Arial" w:eastAsia="Arial" w:hAnsi="Arial"/>
                <w:sz w:val="14"/>
                <w:szCs w:val="14"/>
                <w:color w:val="auto"/>
              </w:rPr>
              <w:t>(47 units)</w:t>
            </w: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1,629</w:t>
            </w:r>
          </w:p>
        </w:tc>
        <w:tc>
          <w:tcPr>
            <w:tcW w:w="4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1,629</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7,211</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7,211</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Navis Holdings, Inc.</w:t>
            </w:r>
          </w:p>
        </w:tc>
        <w:tc>
          <w:tcPr>
            <w:tcW w:w="1600" w:type="dxa"/>
            <w:vAlign w:val="bottom"/>
          </w:tcPr>
          <w:p>
            <w:pPr>
              <w:ind w:left="140"/>
              <w:spacing w:after="0" w:line="130" w:lineRule="exact"/>
              <w:rPr>
                <w:sz w:val="20"/>
                <w:szCs w:val="20"/>
                <w:color w:val="auto"/>
              </w:rPr>
            </w:pPr>
            <w:r>
              <w:rPr>
                <w:rFonts w:ascii="Arial" w:cs="Arial" w:eastAsia="Arial" w:hAnsi="Arial"/>
                <w:sz w:val="14"/>
                <w:szCs w:val="14"/>
                <w:color w:val="auto"/>
              </w:rPr>
              <w:t>Textile Equipment</w:t>
            </w:r>
          </w:p>
        </w:tc>
        <w:tc>
          <w:tcPr>
            <w:tcW w:w="2120" w:type="dxa"/>
            <w:vAlign w:val="bottom"/>
          </w:tcPr>
          <w:p>
            <w:pPr>
              <w:ind w:left="160"/>
              <w:spacing w:after="0" w:line="130" w:lineRule="exact"/>
              <w:rPr>
                <w:sz w:val="20"/>
                <w:szCs w:val="20"/>
                <w:color w:val="auto"/>
              </w:rPr>
            </w:pPr>
            <w:r>
              <w:rPr>
                <w:rFonts w:ascii="Arial" w:cs="Arial" w:eastAsia="Arial" w:hAnsi="Arial"/>
                <w:sz w:val="14"/>
                <w:szCs w:val="14"/>
                <w:color w:val="auto"/>
              </w:rPr>
              <w:t>Senior Secured Term</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0" w:type="dxa"/>
            <w:vAlign w:val="bottom"/>
          </w:tcPr>
          <w:p>
            <w:pPr>
              <w:ind w:left="140"/>
              <w:spacing w:after="0" w:line="149" w:lineRule="exact"/>
              <w:rPr>
                <w:sz w:val="20"/>
                <w:szCs w:val="20"/>
                <w:color w:val="auto"/>
              </w:rPr>
            </w:pPr>
            <w:r>
              <w:rPr>
                <w:rFonts w:ascii="Arial" w:cs="Arial" w:eastAsia="Arial" w:hAnsi="Arial"/>
                <w:sz w:val="14"/>
                <w:szCs w:val="14"/>
                <w:color w:val="auto"/>
              </w:rPr>
              <w:t>Manufacturer</w:t>
            </w:r>
          </w:p>
        </w:tc>
        <w:tc>
          <w:tcPr>
            <w:tcW w:w="2120" w:type="dxa"/>
            <w:vAlign w:val="bottom"/>
          </w:tcPr>
          <w:p>
            <w:pPr>
              <w:ind w:left="160"/>
              <w:spacing w:after="0" w:line="149" w:lineRule="exact"/>
              <w:rPr>
                <w:sz w:val="20"/>
                <w:szCs w:val="20"/>
                <w:color w:val="auto"/>
              </w:rPr>
            </w:pPr>
            <w:r>
              <w:rPr>
                <w:rFonts w:ascii="Arial" w:cs="Arial" w:eastAsia="Arial" w:hAnsi="Arial"/>
                <w:sz w:val="14"/>
                <w:szCs w:val="14"/>
                <w:color w:val="auto"/>
              </w:rPr>
              <w:t>Debt (17%, 3% PIK at</w:t>
            </w: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120" w:type="dxa"/>
            <w:vAlign w:val="bottom"/>
          </w:tcPr>
          <w:p>
            <w:pPr>
              <w:ind w:left="160"/>
              <w:spacing w:after="0" w:line="149" w:lineRule="exact"/>
              <w:rPr>
                <w:sz w:val="20"/>
                <w:szCs w:val="20"/>
                <w:color w:val="auto"/>
              </w:rPr>
            </w:pPr>
            <w:r>
              <w:rPr>
                <w:rFonts w:ascii="Arial" w:cs="Arial" w:eastAsia="Arial" w:hAnsi="Arial"/>
                <w:sz w:val="14"/>
                <w:szCs w:val="14"/>
                <w:color w:val="auto"/>
              </w:rPr>
              <w:t>Company's option, Due</w:t>
            </w: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20" w:type="dxa"/>
            <w:vAlign w:val="bottom"/>
          </w:tcPr>
          <w:p>
            <w:pPr>
              <w:ind w:left="160"/>
              <w:spacing w:after="0"/>
              <w:rPr>
                <w:sz w:val="20"/>
                <w:szCs w:val="20"/>
                <w:color w:val="auto"/>
              </w:rPr>
            </w:pPr>
            <w:r>
              <w:rPr>
                <w:rFonts w:ascii="Arial" w:cs="Arial" w:eastAsia="Arial" w:hAnsi="Arial"/>
                <w:sz w:val="14"/>
                <w:szCs w:val="14"/>
                <w:color w:val="auto"/>
              </w:rPr>
              <w:t>2/1/16)</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6,500</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6,500</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6,500</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60" w:type="dxa"/>
            <w:vAlign w:val="bottom"/>
          </w:tcPr>
          <w:p>
            <w:pPr>
              <w:spacing w:after="0" w:line="162" w:lineRule="exact"/>
              <w:rPr>
                <w:sz w:val="20"/>
                <w:szCs w:val="20"/>
                <w:color w:val="auto"/>
              </w:rPr>
            </w:pPr>
            <w:r>
              <w:rPr>
                <w:rFonts w:ascii="Arial" w:cs="Arial" w:eastAsia="Arial" w:hAnsi="Arial"/>
                <w:sz w:val="12"/>
                <w:szCs w:val="12"/>
                <w:color w:val="auto"/>
              </w:rPr>
              <w:t xml:space="preserve">Navis Holdings, Inc. </w:t>
            </w:r>
            <w:r>
              <w:rPr>
                <w:rFonts w:ascii="Arial" w:cs="Arial" w:eastAsia="Arial" w:hAnsi="Arial"/>
                <w:sz w:val="18"/>
                <w:szCs w:val="18"/>
                <w:color w:val="auto"/>
                <w:vertAlign w:val="superscript"/>
              </w:rPr>
              <w:t>(5)</w:t>
            </w:r>
          </w:p>
        </w:tc>
        <w:tc>
          <w:tcPr>
            <w:tcW w:w="1600" w:type="dxa"/>
            <w:vAlign w:val="bottom"/>
          </w:tcPr>
          <w:p>
            <w:pPr>
              <w:ind w:left="140"/>
              <w:spacing w:after="0"/>
              <w:rPr>
                <w:sz w:val="20"/>
                <w:szCs w:val="20"/>
                <w:color w:val="auto"/>
              </w:rPr>
            </w:pPr>
            <w:r>
              <w:rPr>
                <w:rFonts w:ascii="Arial" w:cs="Arial" w:eastAsia="Arial" w:hAnsi="Arial"/>
                <w:sz w:val="14"/>
                <w:szCs w:val="14"/>
                <w:color w:val="auto"/>
              </w:rPr>
              <w:t>Textile Equipment</w:t>
            </w:r>
          </w:p>
        </w:tc>
        <w:tc>
          <w:tcPr>
            <w:tcW w:w="2120" w:type="dxa"/>
            <w:vAlign w:val="bottom"/>
          </w:tcPr>
          <w:p>
            <w:pPr>
              <w:ind w:left="160"/>
              <w:spacing w:after="0"/>
              <w:rPr>
                <w:sz w:val="20"/>
                <w:szCs w:val="20"/>
                <w:color w:val="auto"/>
              </w:rPr>
            </w:pPr>
            <w:r>
              <w:rPr>
                <w:rFonts w:ascii="Arial" w:cs="Arial" w:eastAsia="Arial" w:hAnsi="Arial"/>
                <w:sz w:val="14"/>
                <w:szCs w:val="14"/>
                <w:color w:val="auto"/>
              </w:rPr>
              <w:t>Class A Preferred Stock</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600" w:type="dxa"/>
            <w:vAlign w:val="bottom"/>
          </w:tcPr>
          <w:p>
            <w:pPr>
              <w:ind w:left="140"/>
              <w:spacing w:after="0" w:line="116" w:lineRule="exact"/>
              <w:rPr>
                <w:sz w:val="20"/>
                <w:szCs w:val="20"/>
                <w:color w:val="auto"/>
              </w:rPr>
            </w:pPr>
            <w:r>
              <w:rPr>
                <w:rFonts w:ascii="Arial" w:cs="Arial" w:eastAsia="Arial" w:hAnsi="Arial"/>
                <w:sz w:val="13"/>
                <w:szCs w:val="13"/>
                <w:color w:val="auto"/>
              </w:rPr>
              <w:t>Manufacturer</w:t>
            </w:r>
          </w:p>
        </w:tc>
        <w:tc>
          <w:tcPr>
            <w:tcW w:w="2120" w:type="dxa"/>
            <w:vAlign w:val="bottom"/>
          </w:tcPr>
          <w:p>
            <w:pPr>
              <w:ind w:left="160"/>
              <w:spacing w:after="0" w:line="116" w:lineRule="exact"/>
              <w:rPr>
                <w:sz w:val="20"/>
                <w:szCs w:val="20"/>
                <w:color w:val="auto"/>
              </w:rPr>
            </w:pPr>
            <w:r>
              <w:rPr>
                <w:rFonts w:ascii="Arial" w:cs="Arial" w:eastAsia="Arial" w:hAnsi="Arial"/>
                <w:sz w:val="13"/>
                <w:szCs w:val="13"/>
                <w:color w:val="auto"/>
              </w:rPr>
              <w:t>(1,000 shares, 10% Cash</w:t>
            </w:r>
          </w:p>
        </w:tc>
        <w:tc>
          <w:tcPr>
            <w:tcW w:w="1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20" w:type="dxa"/>
            <w:vAlign w:val="bottom"/>
          </w:tcPr>
          <w:p>
            <w:pPr>
              <w:ind w:left="160"/>
              <w:spacing w:after="0"/>
              <w:rPr>
                <w:sz w:val="20"/>
                <w:szCs w:val="20"/>
                <w:color w:val="auto"/>
              </w:rPr>
            </w:pPr>
            <w:r>
              <w:rPr>
                <w:rFonts w:ascii="Arial" w:cs="Arial" w:eastAsia="Arial" w:hAnsi="Arial"/>
                <w:sz w:val="14"/>
                <w:szCs w:val="14"/>
                <w:color w:val="auto"/>
              </w:rPr>
              <w:t>Dividend)</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1,000</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1,000</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Navis Holdings, Inc.</w:t>
            </w:r>
          </w:p>
        </w:tc>
        <w:tc>
          <w:tcPr>
            <w:tcW w:w="1600" w:type="dxa"/>
            <w:vAlign w:val="bottom"/>
          </w:tcPr>
          <w:p>
            <w:pPr>
              <w:ind w:left="140"/>
              <w:spacing w:after="0" w:line="130" w:lineRule="exact"/>
              <w:rPr>
                <w:sz w:val="20"/>
                <w:szCs w:val="20"/>
                <w:color w:val="auto"/>
              </w:rPr>
            </w:pPr>
            <w:r>
              <w:rPr>
                <w:rFonts w:ascii="Arial" w:cs="Arial" w:eastAsia="Arial" w:hAnsi="Arial"/>
                <w:sz w:val="14"/>
                <w:szCs w:val="14"/>
                <w:color w:val="auto"/>
              </w:rPr>
              <w:t>Textile Equipment</w:t>
            </w:r>
          </w:p>
        </w:tc>
        <w:tc>
          <w:tcPr>
            <w:tcW w:w="2120" w:type="dxa"/>
            <w:vAlign w:val="bottom"/>
          </w:tcPr>
          <w:p>
            <w:pPr>
              <w:ind w:left="160"/>
              <w:spacing w:after="0" w:line="130" w:lineRule="exact"/>
              <w:rPr>
                <w:sz w:val="20"/>
                <w:szCs w:val="20"/>
                <w:color w:val="auto"/>
              </w:rPr>
            </w:pPr>
            <w:r>
              <w:rPr>
                <w:rFonts w:ascii="Arial" w:cs="Arial" w:eastAsia="Arial" w:hAnsi="Arial"/>
                <w:sz w:val="14"/>
                <w:szCs w:val="14"/>
                <w:color w:val="auto"/>
              </w:rPr>
              <w:t>Common Stock (300,000</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00" w:type="dxa"/>
            <w:vAlign w:val="bottom"/>
          </w:tcPr>
          <w:p>
            <w:pPr>
              <w:ind w:left="140"/>
              <w:spacing w:after="0"/>
              <w:rPr>
                <w:sz w:val="20"/>
                <w:szCs w:val="20"/>
                <w:color w:val="auto"/>
              </w:rPr>
            </w:pPr>
            <w:r>
              <w:rPr>
                <w:rFonts w:ascii="Arial" w:cs="Arial" w:eastAsia="Arial" w:hAnsi="Arial"/>
                <w:sz w:val="14"/>
                <w:szCs w:val="14"/>
                <w:color w:val="auto"/>
              </w:rPr>
              <w:t>Manufacturer</w:t>
            </w:r>
          </w:p>
        </w:tc>
        <w:tc>
          <w:tcPr>
            <w:tcW w:w="2120" w:type="dxa"/>
            <w:vAlign w:val="bottom"/>
          </w:tcPr>
          <w:p>
            <w:pPr>
              <w:ind w:left="160"/>
              <w:spacing w:after="0"/>
              <w:rPr>
                <w:sz w:val="20"/>
                <w:szCs w:val="20"/>
                <w:color w:val="auto"/>
              </w:rPr>
            </w:pPr>
            <w:r>
              <w:rPr>
                <w:rFonts w:ascii="Arial" w:cs="Arial" w:eastAsia="Arial" w:hAnsi="Arial"/>
                <w:sz w:val="14"/>
                <w:szCs w:val="14"/>
                <w:color w:val="auto"/>
              </w:rPr>
              <w:t>shares)</w:t>
            </w: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4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3,814</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7,501</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11,314</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On-Site Fuel Services, Inc.</w:t>
            </w:r>
          </w:p>
        </w:tc>
        <w:tc>
          <w:tcPr>
            <w:tcW w:w="1600" w:type="dxa"/>
            <w:vAlign w:val="bottom"/>
          </w:tcPr>
          <w:p>
            <w:pPr>
              <w:ind w:left="140"/>
              <w:spacing w:after="0" w:line="130" w:lineRule="exact"/>
              <w:rPr>
                <w:sz w:val="20"/>
                <w:szCs w:val="20"/>
                <w:color w:val="auto"/>
              </w:rPr>
            </w:pPr>
            <w:r>
              <w:rPr>
                <w:rFonts w:ascii="Arial" w:cs="Arial" w:eastAsia="Arial" w:hAnsi="Arial"/>
                <w:sz w:val="14"/>
                <w:szCs w:val="14"/>
                <w:color w:val="auto"/>
              </w:rPr>
              <w:t>Fuel Transportation</w:t>
            </w:r>
          </w:p>
        </w:tc>
        <w:tc>
          <w:tcPr>
            <w:tcW w:w="2120" w:type="dxa"/>
            <w:vAlign w:val="bottom"/>
          </w:tcPr>
          <w:p>
            <w:pPr>
              <w:ind w:left="160"/>
              <w:spacing w:after="0" w:line="130" w:lineRule="exact"/>
              <w:rPr>
                <w:sz w:val="20"/>
                <w:szCs w:val="20"/>
                <w:color w:val="auto"/>
              </w:rPr>
            </w:pPr>
            <w:r>
              <w:rPr>
                <w:rFonts w:ascii="Arial" w:cs="Arial" w:eastAsia="Arial" w:hAnsi="Arial"/>
                <w:sz w:val="14"/>
                <w:szCs w:val="14"/>
                <w:color w:val="auto"/>
              </w:rPr>
              <w:t>Subordinated Debt (14%</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0" w:type="dxa"/>
            <w:vAlign w:val="bottom"/>
          </w:tcPr>
          <w:p>
            <w:pPr>
              <w:ind w:left="140"/>
              <w:spacing w:after="0" w:line="149" w:lineRule="exact"/>
              <w:rPr>
                <w:sz w:val="20"/>
                <w:szCs w:val="20"/>
                <w:color w:val="auto"/>
              </w:rPr>
            </w:pPr>
            <w:r>
              <w:rPr>
                <w:rFonts w:ascii="Arial" w:cs="Arial" w:eastAsia="Arial" w:hAnsi="Arial"/>
                <w:sz w:val="14"/>
                <w:szCs w:val="14"/>
                <w:color w:val="auto"/>
              </w:rPr>
              <w:t>Services</w:t>
            </w:r>
          </w:p>
        </w:tc>
        <w:tc>
          <w:tcPr>
            <w:tcW w:w="2120" w:type="dxa"/>
            <w:vAlign w:val="bottom"/>
          </w:tcPr>
          <w:p>
            <w:pPr>
              <w:ind w:left="160"/>
              <w:spacing w:after="0" w:line="149" w:lineRule="exact"/>
              <w:rPr>
                <w:sz w:val="20"/>
                <w:szCs w:val="20"/>
                <w:color w:val="auto"/>
              </w:rPr>
            </w:pPr>
            <w:r>
              <w:rPr>
                <w:rFonts w:ascii="Arial" w:cs="Arial" w:eastAsia="Arial" w:hAnsi="Arial"/>
                <w:sz w:val="14"/>
                <w:szCs w:val="14"/>
                <w:color w:val="auto"/>
              </w:rPr>
              <w:t>Cash, 4% PIK, Due</w:t>
            </w: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20" w:type="dxa"/>
            <w:vAlign w:val="bottom"/>
          </w:tcPr>
          <w:p>
            <w:pPr>
              <w:ind w:left="160"/>
              <w:spacing w:after="0"/>
              <w:rPr>
                <w:sz w:val="20"/>
                <w:szCs w:val="20"/>
                <w:color w:val="auto"/>
              </w:rPr>
            </w:pPr>
            <w:r>
              <w:rPr>
                <w:rFonts w:ascii="Arial" w:cs="Arial" w:eastAsia="Arial" w:hAnsi="Arial"/>
                <w:sz w:val="14"/>
                <w:szCs w:val="14"/>
                <w:color w:val="auto"/>
              </w:rPr>
              <w:t>12/19/16)</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6,674</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6,674</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6,238</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On-Site Fuel Services, Inc.</w:t>
            </w:r>
          </w:p>
        </w:tc>
        <w:tc>
          <w:tcPr>
            <w:tcW w:w="1600" w:type="dxa"/>
            <w:vAlign w:val="bottom"/>
          </w:tcPr>
          <w:p>
            <w:pPr>
              <w:ind w:left="140"/>
              <w:spacing w:after="0" w:line="130" w:lineRule="exact"/>
              <w:rPr>
                <w:sz w:val="20"/>
                <w:szCs w:val="20"/>
                <w:color w:val="auto"/>
              </w:rPr>
            </w:pPr>
            <w:r>
              <w:rPr>
                <w:rFonts w:ascii="Arial" w:cs="Arial" w:eastAsia="Arial" w:hAnsi="Arial"/>
                <w:sz w:val="14"/>
                <w:szCs w:val="14"/>
                <w:color w:val="auto"/>
              </w:rPr>
              <w:t>Fuel Transportation</w:t>
            </w:r>
          </w:p>
        </w:tc>
        <w:tc>
          <w:tcPr>
            <w:tcW w:w="2120" w:type="dxa"/>
            <w:vAlign w:val="bottom"/>
          </w:tcPr>
          <w:p>
            <w:pPr>
              <w:ind w:left="160"/>
              <w:spacing w:after="0" w:line="130" w:lineRule="exact"/>
              <w:rPr>
                <w:sz w:val="20"/>
                <w:szCs w:val="20"/>
                <w:color w:val="auto"/>
              </w:rPr>
            </w:pPr>
            <w:r>
              <w:rPr>
                <w:rFonts w:ascii="Arial" w:cs="Arial" w:eastAsia="Arial" w:hAnsi="Arial"/>
                <w:sz w:val="14"/>
                <w:szCs w:val="14"/>
                <w:color w:val="auto"/>
              </w:rPr>
              <w:t>Series A Preferred Stock</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ind w:left="140"/>
              <w:spacing w:after="0"/>
              <w:rPr>
                <w:sz w:val="20"/>
                <w:szCs w:val="20"/>
                <w:color w:val="auto"/>
              </w:rPr>
            </w:pPr>
            <w:r>
              <w:rPr>
                <w:rFonts w:ascii="Arial" w:cs="Arial" w:eastAsia="Arial" w:hAnsi="Arial"/>
                <w:sz w:val="14"/>
                <w:szCs w:val="14"/>
                <w:color w:val="auto"/>
              </w:rPr>
              <w:t>Services</w:t>
            </w:r>
          </w:p>
        </w:tc>
        <w:tc>
          <w:tcPr>
            <w:tcW w:w="2120" w:type="dxa"/>
            <w:vAlign w:val="bottom"/>
          </w:tcPr>
          <w:p>
            <w:pPr>
              <w:ind w:left="160"/>
              <w:spacing w:after="0"/>
              <w:rPr>
                <w:sz w:val="20"/>
                <w:szCs w:val="20"/>
                <w:color w:val="auto"/>
              </w:rPr>
            </w:pPr>
            <w:r>
              <w:rPr>
                <w:rFonts w:ascii="Arial" w:cs="Arial" w:eastAsia="Arial" w:hAnsi="Arial"/>
                <w:sz w:val="14"/>
                <w:szCs w:val="14"/>
                <w:color w:val="auto"/>
              </w:rPr>
              <w:t>(32,782 shares)</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3,278</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On-Site Fuel Services, Inc.</w:t>
            </w:r>
          </w:p>
        </w:tc>
        <w:tc>
          <w:tcPr>
            <w:tcW w:w="1600" w:type="dxa"/>
            <w:vAlign w:val="bottom"/>
          </w:tcPr>
          <w:p>
            <w:pPr>
              <w:ind w:left="140"/>
              <w:spacing w:after="0" w:line="130" w:lineRule="exact"/>
              <w:rPr>
                <w:sz w:val="20"/>
                <w:szCs w:val="20"/>
                <w:color w:val="auto"/>
              </w:rPr>
            </w:pPr>
            <w:r>
              <w:rPr>
                <w:rFonts w:ascii="Arial" w:cs="Arial" w:eastAsia="Arial" w:hAnsi="Arial"/>
                <w:sz w:val="14"/>
                <w:szCs w:val="14"/>
                <w:color w:val="auto"/>
              </w:rPr>
              <w:t>Fuel Transportation</w:t>
            </w:r>
          </w:p>
        </w:tc>
        <w:tc>
          <w:tcPr>
            <w:tcW w:w="2120" w:type="dxa"/>
            <w:vAlign w:val="bottom"/>
          </w:tcPr>
          <w:p>
            <w:pPr>
              <w:ind w:left="160"/>
              <w:spacing w:after="0" w:line="130" w:lineRule="exact"/>
              <w:rPr>
                <w:sz w:val="20"/>
                <w:szCs w:val="20"/>
                <w:color w:val="auto"/>
              </w:rPr>
            </w:pPr>
            <w:r>
              <w:rPr>
                <w:rFonts w:ascii="Arial" w:cs="Arial" w:eastAsia="Arial" w:hAnsi="Arial"/>
                <w:sz w:val="14"/>
                <w:szCs w:val="14"/>
                <w:color w:val="auto"/>
              </w:rPr>
              <w:t>Series B Preferred Stock</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ind w:left="140"/>
              <w:spacing w:after="0"/>
              <w:rPr>
                <w:sz w:val="20"/>
                <w:szCs w:val="20"/>
                <w:color w:val="auto"/>
              </w:rPr>
            </w:pPr>
            <w:r>
              <w:rPr>
                <w:rFonts w:ascii="Arial" w:cs="Arial" w:eastAsia="Arial" w:hAnsi="Arial"/>
                <w:sz w:val="14"/>
                <w:szCs w:val="14"/>
                <w:color w:val="auto"/>
              </w:rPr>
              <w:t>Services</w:t>
            </w:r>
          </w:p>
        </w:tc>
        <w:tc>
          <w:tcPr>
            <w:tcW w:w="2120" w:type="dxa"/>
            <w:vAlign w:val="bottom"/>
          </w:tcPr>
          <w:p>
            <w:pPr>
              <w:ind w:left="160"/>
              <w:spacing w:after="0"/>
              <w:rPr>
                <w:sz w:val="20"/>
                <w:szCs w:val="20"/>
                <w:color w:val="auto"/>
              </w:rPr>
            </w:pPr>
            <w:r>
              <w:rPr>
                <w:rFonts w:ascii="Arial" w:cs="Arial" w:eastAsia="Arial" w:hAnsi="Arial"/>
                <w:sz w:val="14"/>
                <w:szCs w:val="14"/>
                <w:color w:val="auto"/>
              </w:rPr>
              <w:t>(23,648 shares)</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2,365</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On-Site Fuel Services, Inc.</w:t>
            </w:r>
          </w:p>
        </w:tc>
        <w:tc>
          <w:tcPr>
            <w:tcW w:w="1600" w:type="dxa"/>
            <w:vAlign w:val="bottom"/>
          </w:tcPr>
          <w:p>
            <w:pPr>
              <w:ind w:left="140"/>
              <w:spacing w:after="0" w:line="130" w:lineRule="exact"/>
              <w:rPr>
                <w:sz w:val="20"/>
                <w:szCs w:val="20"/>
                <w:color w:val="auto"/>
              </w:rPr>
            </w:pPr>
            <w:r>
              <w:rPr>
                <w:rFonts w:ascii="Arial" w:cs="Arial" w:eastAsia="Arial" w:hAnsi="Arial"/>
                <w:sz w:val="14"/>
                <w:szCs w:val="14"/>
                <w:color w:val="auto"/>
              </w:rPr>
              <w:t>Fuel Transportation</w:t>
            </w:r>
          </w:p>
        </w:tc>
        <w:tc>
          <w:tcPr>
            <w:tcW w:w="2120" w:type="dxa"/>
            <w:vAlign w:val="bottom"/>
          </w:tcPr>
          <w:p>
            <w:pPr>
              <w:ind w:left="160"/>
              <w:spacing w:after="0" w:line="130" w:lineRule="exact"/>
              <w:rPr>
                <w:sz w:val="20"/>
                <w:szCs w:val="20"/>
                <w:color w:val="auto"/>
              </w:rPr>
            </w:pPr>
            <w:r>
              <w:rPr>
                <w:rFonts w:ascii="Arial" w:cs="Arial" w:eastAsia="Arial" w:hAnsi="Arial"/>
                <w:sz w:val="14"/>
                <w:szCs w:val="14"/>
                <w:color w:val="auto"/>
              </w:rPr>
              <w:t>Common Stock (33,107</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00" w:type="dxa"/>
            <w:vAlign w:val="bottom"/>
          </w:tcPr>
          <w:p>
            <w:pPr>
              <w:ind w:left="140"/>
              <w:spacing w:after="0"/>
              <w:rPr>
                <w:sz w:val="20"/>
                <w:szCs w:val="20"/>
                <w:color w:val="auto"/>
              </w:rPr>
            </w:pPr>
            <w:r>
              <w:rPr>
                <w:rFonts w:ascii="Arial" w:cs="Arial" w:eastAsia="Arial" w:hAnsi="Arial"/>
                <w:sz w:val="14"/>
                <w:szCs w:val="14"/>
                <w:color w:val="auto"/>
              </w:rPr>
              <w:t>Services</w:t>
            </w:r>
          </w:p>
        </w:tc>
        <w:tc>
          <w:tcPr>
            <w:tcW w:w="2120" w:type="dxa"/>
            <w:vAlign w:val="bottom"/>
          </w:tcPr>
          <w:p>
            <w:pPr>
              <w:ind w:left="160"/>
              <w:spacing w:after="0"/>
              <w:rPr>
                <w:sz w:val="20"/>
                <w:szCs w:val="20"/>
                <w:color w:val="auto"/>
              </w:rPr>
            </w:pPr>
            <w:r>
              <w:rPr>
                <w:rFonts w:ascii="Arial" w:cs="Arial" w:eastAsia="Arial" w:hAnsi="Arial"/>
                <w:sz w:val="14"/>
                <w:szCs w:val="14"/>
                <w:color w:val="auto"/>
              </w:rPr>
              <w:t>shares)</w:t>
            </w: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33</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12,350</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6,238</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Print Direction, Inc.</w:t>
            </w:r>
          </w:p>
        </w:tc>
        <w:tc>
          <w:tcPr>
            <w:tcW w:w="1600" w:type="dxa"/>
            <w:vAlign w:val="bottom"/>
          </w:tcPr>
          <w:p>
            <w:pPr>
              <w:ind w:left="140"/>
              <w:spacing w:after="0" w:line="130" w:lineRule="exact"/>
              <w:rPr>
                <w:sz w:val="20"/>
                <w:szCs w:val="20"/>
                <w:color w:val="auto"/>
              </w:rPr>
            </w:pPr>
            <w:r>
              <w:rPr>
                <w:rFonts w:ascii="Arial" w:cs="Arial" w:eastAsia="Arial" w:hAnsi="Arial"/>
                <w:sz w:val="14"/>
                <w:szCs w:val="14"/>
                <w:color w:val="auto"/>
              </w:rPr>
              <w:t>Printing Services</w:t>
            </w:r>
          </w:p>
        </w:tc>
        <w:tc>
          <w:tcPr>
            <w:tcW w:w="2120" w:type="dxa"/>
            <w:vAlign w:val="bottom"/>
          </w:tcPr>
          <w:p>
            <w:pPr>
              <w:ind w:left="160"/>
              <w:spacing w:after="0" w:line="130" w:lineRule="exact"/>
              <w:rPr>
                <w:sz w:val="20"/>
                <w:szCs w:val="20"/>
                <w:color w:val="auto"/>
              </w:rPr>
            </w:pPr>
            <w:r>
              <w:rPr>
                <w:rFonts w:ascii="Arial" w:cs="Arial" w:eastAsia="Arial" w:hAnsi="Arial"/>
                <w:sz w:val="14"/>
                <w:szCs w:val="14"/>
                <w:color w:val="auto"/>
              </w:rPr>
              <w:t>Senior Secured Term</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120" w:type="dxa"/>
            <w:vAlign w:val="bottom"/>
          </w:tcPr>
          <w:p>
            <w:pPr>
              <w:ind w:left="160"/>
              <w:spacing w:after="0" w:line="149" w:lineRule="exact"/>
              <w:rPr>
                <w:sz w:val="20"/>
                <w:szCs w:val="20"/>
                <w:color w:val="auto"/>
              </w:rPr>
            </w:pPr>
            <w:r>
              <w:rPr>
                <w:rFonts w:ascii="Arial" w:cs="Arial" w:eastAsia="Arial" w:hAnsi="Arial"/>
                <w:sz w:val="14"/>
                <w:szCs w:val="14"/>
                <w:color w:val="auto"/>
              </w:rPr>
              <w:t>Debt (15% Cash, Due</w:t>
            </w: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20" w:type="dxa"/>
            <w:vAlign w:val="bottom"/>
          </w:tcPr>
          <w:p>
            <w:pPr>
              <w:ind w:left="160"/>
              <w:spacing w:after="0"/>
              <w:rPr>
                <w:sz w:val="20"/>
                <w:szCs w:val="20"/>
                <w:color w:val="auto"/>
              </w:rPr>
            </w:pPr>
            <w:r>
              <w:rPr>
                <w:rFonts w:ascii="Arial" w:cs="Arial" w:eastAsia="Arial" w:hAnsi="Arial"/>
                <w:sz w:val="14"/>
                <w:szCs w:val="14"/>
                <w:color w:val="auto"/>
              </w:rPr>
              <w:t>2/24/19)</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14,000</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14,000</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14,000</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Print Direction, Inc.</w:t>
            </w:r>
          </w:p>
        </w:tc>
        <w:tc>
          <w:tcPr>
            <w:tcW w:w="1600" w:type="dxa"/>
            <w:vAlign w:val="bottom"/>
          </w:tcPr>
          <w:p>
            <w:pPr>
              <w:ind w:left="140"/>
              <w:spacing w:after="0" w:line="130" w:lineRule="exact"/>
              <w:rPr>
                <w:sz w:val="20"/>
                <w:szCs w:val="20"/>
                <w:color w:val="auto"/>
              </w:rPr>
            </w:pPr>
            <w:r>
              <w:rPr>
                <w:rFonts w:ascii="Arial" w:cs="Arial" w:eastAsia="Arial" w:hAnsi="Arial"/>
                <w:sz w:val="14"/>
                <w:szCs w:val="14"/>
                <w:color w:val="auto"/>
              </w:rPr>
              <w:t>Printing Services</w:t>
            </w:r>
          </w:p>
        </w:tc>
        <w:tc>
          <w:tcPr>
            <w:tcW w:w="2120" w:type="dxa"/>
            <w:vAlign w:val="bottom"/>
          </w:tcPr>
          <w:p>
            <w:pPr>
              <w:ind w:left="160"/>
              <w:spacing w:after="0" w:line="130" w:lineRule="exact"/>
              <w:rPr>
                <w:sz w:val="20"/>
                <w:szCs w:val="20"/>
                <w:color w:val="auto"/>
              </w:rPr>
            </w:pPr>
            <w:r>
              <w:rPr>
                <w:rFonts w:ascii="Arial" w:cs="Arial" w:eastAsia="Arial" w:hAnsi="Arial"/>
                <w:sz w:val="14"/>
                <w:szCs w:val="14"/>
                <w:color w:val="auto"/>
              </w:rPr>
              <w:t>Common Stock (19,363</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20" w:type="dxa"/>
            <w:vAlign w:val="bottom"/>
          </w:tcPr>
          <w:p>
            <w:pPr>
              <w:ind w:left="160"/>
              <w:spacing w:after="0"/>
              <w:rPr>
                <w:sz w:val="20"/>
                <w:szCs w:val="20"/>
                <w:color w:val="auto"/>
              </w:rPr>
            </w:pPr>
            <w:r>
              <w:rPr>
                <w:rFonts w:ascii="Arial" w:cs="Arial" w:eastAsia="Arial" w:hAnsi="Arial"/>
                <w:sz w:val="14"/>
                <w:szCs w:val="14"/>
                <w:color w:val="auto"/>
              </w:rPr>
              <w:t>shares)</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2,990</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2,990</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60" w:type="dxa"/>
            <w:vAlign w:val="bottom"/>
          </w:tcPr>
          <w:p>
            <w:pPr>
              <w:spacing w:after="0" w:line="130" w:lineRule="exact"/>
              <w:rPr>
                <w:sz w:val="20"/>
                <w:szCs w:val="20"/>
                <w:color w:val="auto"/>
              </w:rPr>
            </w:pPr>
            <w:r>
              <w:rPr>
                <w:rFonts w:ascii="Arial" w:cs="Arial" w:eastAsia="Arial" w:hAnsi="Arial"/>
                <w:sz w:val="14"/>
                <w:szCs w:val="14"/>
                <w:color w:val="auto"/>
              </w:rPr>
              <w:t>Print Direction, Inc.</w:t>
            </w:r>
          </w:p>
        </w:tc>
        <w:tc>
          <w:tcPr>
            <w:tcW w:w="1600" w:type="dxa"/>
            <w:vAlign w:val="bottom"/>
          </w:tcPr>
          <w:p>
            <w:pPr>
              <w:ind w:left="140"/>
              <w:spacing w:after="0" w:line="130" w:lineRule="exact"/>
              <w:rPr>
                <w:sz w:val="20"/>
                <w:szCs w:val="20"/>
                <w:color w:val="auto"/>
              </w:rPr>
            </w:pPr>
            <w:r>
              <w:rPr>
                <w:rFonts w:ascii="Arial" w:cs="Arial" w:eastAsia="Arial" w:hAnsi="Arial"/>
                <w:sz w:val="14"/>
                <w:szCs w:val="14"/>
                <w:color w:val="auto"/>
              </w:rPr>
              <w:t>Printing Services</w:t>
            </w:r>
          </w:p>
        </w:tc>
        <w:tc>
          <w:tcPr>
            <w:tcW w:w="2120" w:type="dxa"/>
            <w:vAlign w:val="bottom"/>
          </w:tcPr>
          <w:p>
            <w:pPr>
              <w:ind w:left="160"/>
              <w:spacing w:after="0" w:line="130" w:lineRule="exact"/>
              <w:rPr>
                <w:sz w:val="20"/>
                <w:szCs w:val="20"/>
                <w:color w:val="auto"/>
              </w:rPr>
            </w:pPr>
            <w:r>
              <w:rPr>
                <w:rFonts w:ascii="Arial" w:cs="Arial" w:eastAsia="Arial" w:hAnsi="Arial"/>
                <w:sz w:val="14"/>
                <w:szCs w:val="14"/>
                <w:color w:val="auto"/>
              </w:rPr>
              <w:t>Common Stock Warrants</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120" w:type="dxa"/>
            <w:vAlign w:val="bottom"/>
          </w:tcPr>
          <w:p>
            <w:pPr>
              <w:ind w:left="160"/>
              <w:spacing w:after="0"/>
              <w:rPr>
                <w:sz w:val="20"/>
                <w:szCs w:val="20"/>
                <w:color w:val="auto"/>
              </w:rPr>
            </w:pPr>
            <w:r>
              <w:rPr>
                <w:rFonts w:ascii="Arial" w:cs="Arial" w:eastAsia="Arial" w:hAnsi="Arial"/>
                <w:sz w:val="14"/>
                <w:szCs w:val="14"/>
                <w:color w:val="auto"/>
              </w:rPr>
              <w:t>(3% fully diluted)</w:t>
            </w: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132</w:t>
            </w:r>
          </w:p>
        </w:tc>
        <w:tc>
          <w:tcPr>
            <w:tcW w:w="2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16,990</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17,122</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4"/>
                <w:szCs w:val="14"/>
                <w:b w:val="1"/>
                <w:bCs w:val="1"/>
                <w:color w:val="auto"/>
              </w:rPr>
              <w:t>Sub Total Control investments</w:t>
            </w:r>
          </w:p>
        </w:tc>
        <w:tc>
          <w:tcPr>
            <w:tcW w:w="1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70,936</w:t>
            </w: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66,652</w:t>
            </w:r>
          </w:p>
        </w:tc>
        <w:tc>
          <w:tcPr>
            <w:tcW w:w="1360" w:type="dxa"/>
            <w:vAlign w:val="bottom"/>
            <w:gridSpan w:val="2"/>
          </w:tcPr>
          <w:p>
            <w:pPr>
              <w:jc w:val="right"/>
              <w:spacing w:after="0" w:line="176" w:lineRule="exact"/>
              <w:rPr>
                <w:sz w:val="20"/>
                <w:szCs w:val="20"/>
                <w:color w:val="auto"/>
              </w:rPr>
            </w:pPr>
            <w:r>
              <w:rPr>
                <w:rFonts w:ascii="Arial" w:cs="Arial" w:eastAsia="Arial" w:hAnsi="Arial"/>
                <w:sz w:val="12"/>
                <w:szCs w:val="12"/>
                <w:color w:val="auto"/>
              </w:rPr>
              <w:t>28.0</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60" w:type="dxa"/>
            <w:vAlign w:val="bottom"/>
            <w:tcBorders>
              <w:top w:val="single" w:sz="8" w:color="CCEEFF"/>
            </w:tcBorders>
            <w:shd w:val="clear" w:color="auto" w:fill="CCEEFF"/>
          </w:tcPr>
          <w:p>
            <w:pPr>
              <w:spacing w:after="0"/>
              <w:rPr>
                <w:sz w:val="11"/>
                <w:szCs w:val="11"/>
                <w:color w:val="auto"/>
              </w:rPr>
            </w:pPr>
          </w:p>
        </w:tc>
        <w:tc>
          <w:tcPr>
            <w:tcW w:w="1600" w:type="dxa"/>
            <w:vAlign w:val="bottom"/>
            <w:tcBorders>
              <w:top w:val="single" w:sz="8" w:color="CCEEFF"/>
            </w:tcBorders>
            <w:shd w:val="clear" w:color="auto" w:fill="CCEEFF"/>
          </w:tcPr>
          <w:p>
            <w:pPr>
              <w:spacing w:after="0"/>
              <w:rPr>
                <w:sz w:val="11"/>
                <w:szCs w:val="11"/>
                <w:color w:val="auto"/>
              </w:rPr>
            </w:pPr>
          </w:p>
        </w:tc>
        <w:tc>
          <w:tcPr>
            <w:tcW w:w="212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4"/>
                <w:szCs w:val="14"/>
                <w:b w:val="1"/>
                <w:bCs w:val="1"/>
                <w:color w:val="auto"/>
              </w:rPr>
              <w:t>TOTAL INVESTMENTS -217.9%</w:t>
            </w:r>
          </w:p>
        </w:tc>
        <w:tc>
          <w:tcPr>
            <w:tcW w:w="16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484,035</w:t>
            </w: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518,927</w:t>
            </w:r>
          </w:p>
        </w:tc>
        <w:tc>
          <w:tcPr>
            <w:tcW w:w="1360" w:type="dxa"/>
            <w:vAlign w:val="bottom"/>
            <w:gridSpan w:val="2"/>
          </w:tcPr>
          <w:p>
            <w:pPr>
              <w:jc w:val="right"/>
              <w:spacing w:after="0" w:line="176" w:lineRule="exact"/>
              <w:rPr>
                <w:sz w:val="20"/>
                <w:szCs w:val="20"/>
                <w:color w:val="auto"/>
              </w:rPr>
            </w:pPr>
            <w:r>
              <w:rPr>
                <w:rFonts w:ascii="Arial" w:cs="Arial" w:eastAsia="Arial" w:hAnsi="Arial"/>
                <w:sz w:val="12"/>
                <w:szCs w:val="12"/>
                <w:color w:val="auto"/>
              </w:rPr>
              <w:t>217.9</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PIK non-accrual Investment.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Percentages are based on net assets of $238,172 as of March 31, 2015.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equity investment has an exercisable put option.</w:t>
      </w:r>
    </w:p>
    <w:p>
      <w:pPr>
        <w:spacing w:after="0" w:line="9" w:lineRule="exact"/>
        <w:rPr>
          <w:rFonts w:ascii="Arial" w:cs="Arial" w:eastAsia="Arial" w:hAnsi="Arial"/>
          <w:sz w:val="18"/>
          <w:szCs w:val="18"/>
          <w:color w:val="auto"/>
        </w:rPr>
      </w:pPr>
    </w:p>
    <w:p>
      <w:pPr>
        <w:ind w:left="34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has a $0.6 million unfunded commitment.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has a $5.8 million unfunded commitment.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has a $10.0 million unfunded commitment.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currently accruing 3% PIK due to covenant non-compliance.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1" w:right="239" w:bottom="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3" w:name="page14"/>
    <w:bookmarkEnd w:id="13"/>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(4, 5)</w:t>
            </w:r>
          </w:p>
        </w:tc>
        <w:tc>
          <w:tcPr>
            <w:tcW w:w="120" w:type="dxa"/>
            <w:vAlign w:val="bottom"/>
          </w:tcPr>
          <w:p>
            <w:pPr>
              <w:spacing w:after="0"/>
              <w:rPr>
                <w:sz w:val="14"/>
                <w:szCs w:val="14"/>
                <w:color w:val="auto"/>
              </w:rPr>
            </w:pPr>
          </w:p>
        </w:tc>
        <w:tc>
          <w:tcPr>
            <w:tcW w:w="16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Industry</w:t>
            </w:r>
          </w:p>
        </w:tc>
        <w:tc>
          <w:tcPr>
            <w:tcW w:w="16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Type of Investment</w:t>
            </w:r>
          </w:p>
        </w:tc>
        <w:tc>
          <w:tcPr>
            <w:tcW w:w="22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3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2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Non-control/Non-affiliated</w:t>
            </w:r>
          </w:p>
        </w:tc>
        <w:tc>
          <w:tcPr>
            <w:tcW w:w="12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investments - 98.3%</w:t>
            </w: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8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AAE Acquisition, LLC </w:t>
            </w:r>
            <w:r>
              <w:rPr>
                <w:rFonts w:ascii="Arial" w:cs="Arial" w:eastAsia="Arial" w:hAnsi="Arial"/>
                <w:sz w:val="18"/>
                <w:szCs w:val="18"/>
                <w:color w:val="auto"/>
                <w:vertAlign w:val="superscript"/>
              </w:rPr>
              <w:t>(1)</w:t>
            </w:r>
          </w:p>
        </w:tc>
        <w:tc>
          <w:tcPr>
            <w:tcW w:w="1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Industrial Equipment</w:t>
            </w: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Term</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1740" w:type="dxa"/>
            <w:vAlign w:val="bottom"/>
            <w:gridSpan w:val="3"/>
            <w:shd w:val="clear" w:color="auto" w:fill="CCEEFF"/>
          </w:tcPr>
          <w:p>
            <w:pPr>
              <w:ind w:left="120"/>
              <w:spacing w:after="0" w:line="116" w:lineRule="exact"/>
              <w:rPr>
                <w:sz w:val="20"/>
                <w:szCs w:val="20"/>
                <w:color w:val="auto"/>
              </w:rPr>
            </w:pPr>
            <w:r>
              <w:rPr>
                <w:rFonts w:ascii="Arial" w:cs="Arial" w:eastAsia="Arial" w:hAnsi="Arial"/>
                <w:sz w:val="13"/>
                <w:szCs w:val="13"/>
                <w:color w:val="auto"/>
              </w:rPr>
              <w:t>Rental</w:t>
            </w:r>
          </w:p>
        </w:tc>
        <w:tc>
          <w:tcPr>
            <w:tcW w:w="160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color w:val="auto"/>
              </w:rPr>
              <w:t>Debt (12% Cash, Due</w:t>
            </w:r>
          </w:p>
        </w:tc>
        <w:tc>
          <w:tcPr>
            <w:tcW w:w="2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rPr>
              <w:t>3/31/18)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10,998</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11,000</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1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Industrial Equipment</w:t>
            </w:r>
          </w:p>
        </w:tc>
        <w:tc>
          <w:tcPr>
            <w:tcW w:w="1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Membership Units (14%</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Rental</w:t>
            </w: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fully diluted)</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w:t>
            </w: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2,212</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11,015</w:t>
            </w: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13,212</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 Wireless Holding Company</w:t>
            </w:r>
          </w:p>
        </w:tc>
        <w:tc>
          <w:tcPr>
            <w:tcW w:w="1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Wireless Communication</w:t>
            </w:r>
          </w:p>
        </w:tc>
        <w:tc>
          <w:tcPr>
            <w:tcW w:w="1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Subordinated Debt (12%</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Retailer</w:t>
            </w: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Due 9/09/19)</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12,000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12,000</w:t>
            </w: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12,000</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12,000</w:t>
            </w: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12,000</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8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American Exteriors, LLC </w:t>
            </w:r>
            <w:r>
              <w:rPr>
                <w:rFonts w:ascii="Arial" w:cs="Arial" w:eastAsia="Arial" w:hAnsi="Arial"/>
                <w:sz w:val="18"/>
                <w:szCs w:val="18"/>
                <w:color w:val="auto"/>
                <w:vertAlign w:val="superscript"/>
              </w:rPr>
              <w:t>(1) (11)</w:t>
            </w:r>
          </w:p>
        </w:tc>
        <w:tc>
          <w:tcPr>
            <w:tcW w:w="1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Replacement Window</w:t>
            </w: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Debt</w:t>
            </w:r>
          </w:p>
        </w:tc>
        <w:tc>
          <w:tcPr>
            <w:tcW w:w="2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4,357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3,157</w:t>
            </w:r>
          </w:p>
        </w:tc>
        <w:tc>
          <w:tcPr>
            <w:tcW w:w="18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4,357</w:t>
            </w:r>
          </w:p>
        </w:tc>
        <w:tc>
          <w:tcPr>
            <w:tcW w:w="10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74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4"/>
                <w:szCs w:val="14"/>
                <w:color w:val="auto"/>
              </w:rPr>
              <w:t>Manufacturer</w:t>
            </w:r>
          </w:p>
        </w:tc>
        <w:tc>
          <w:tcPr>
            <w:tcW w:w="160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w w:val="99"/>
              </w:rPr>
              <w:t>(14% Cash, Due 6/30/15)</w:t>
            </w:r>
          </w:p>
        </w:tc>
        <w:tc>
          <w:tcPr>
            <w:tcW w:w="220" w:type="dxa"/>
            <w:vAlign w:val="bottom"/>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8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American Exteriors, LLC </w:t>
            </w:r>
            <w:r>
              <w:rPr>
                <w:rFonts w:ascii="Arial" w:cs="Arial" w:eastAsia="Arial" w:hAnsi="Arial"/>
                <w:sz w:val="18"/>
                <w:szCs w:val="18"/>
                <w:color w:val="auto"/>
                <w:vertAlign w:val="superscript"/>
              </w:rPr>
              <w:t>(1)</w:t>
            </w:r>
          </w:p>
        </w:tc>
        <w:tc>
          <w:tcPr>
            <w:tcW w:w="1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Replacement Window</w:t>
            </w: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Jr. Convertible Note</w:t>
            </w:r>
          </w:p>
        </w:tc>
        <w:tc>
          <w:tcPr>
            <w:tcW w:w="2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415</w:t>
            </w:r>
          </w:p>
        </w:tc>
        <w:tc>
          <w:tcPr>
            <w:tcW w:w="1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74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4"/>
                <w:szCs w:val="14"/>
                <w:color w:val="auto"/>
              </w:rPr>
              <w:t>Manufacturer</w:t>
            </w:r>
          </w:p>
        </w:tc>
        <w:tc>
          <w:tcPr>
            <w:tcW w:w="160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w w:val="99"/>
              </w:rPr>
              <w:t>(10% Cash, Due 6/30/16)</w:t>
            </w:r>
          </w:p>
        </w:tc>
        <w:tc>
          <w:tcPr>
            <w:tcW w:w="22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8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American Exteriors, LLC </w:t>
            </w:r>
            <w:r>
              <w:rPr>
                <w:rFonts w:ascii="Arial" w:cs="Arial" w:eastAsia="Arial" w:hAnsi="Arial"/>
                <w:sz w:val="18"/>
                <w:szCs w:val="18"/>
                <w:color w:val="auto"/>
                <w:vertAlign w:val="superscript"/>
              </w:rPr>
              <w:t>(7)</w:t>
            </w:r>
          </w:p>
        </w:tc>
        <w:tc>
          <w:tcPr>
            <w:tcW w:w="1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Replacement Window</w:t>
            </w: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Warrants</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Manufacturer</w:t>
            </w: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 fully diluted)</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3,572</w:t>
            </w: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4,857</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Bluestem Brands, Inc.</w:t>
            </w:r>
          </w:p>
        </w:tc>
        <w:tc>
          <w:tcPr>
            <w:tcW w:w="1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Online Merchandise</w:t>
            </w:r>
          </w:p>
        </w:tc>
        <w:tc>
          <w:tcPr>
            <w:tcW w:w="1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Term</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Retailer</w:t>
            </w: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Debt (L+7.5% Cash, 1%</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Floor, Due 11/7/2020)</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4,804</w:t>
            </w: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4,804</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4,804</w:t>
            </w: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4,804</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8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Boot Barn Holdings, Inc </w:t>
            </w:r>
            <w:r>
              <w:rPr>
                <w:rFonts w:ascii="Arial" w:cs="Arial" w:eastAsia="Arial" w:hAnsi="Arial"/>
                <w:sz w:val="18"/>
                <w:szCs w:val="18"/>
                <w:color w:val="auto"/>
                <w:vertAlign w:val="superscript"/>
              </w:rPr>
              <w:t>(8)</w:t>
            </w:r>
          </w:p>
        </w:tc>
        <w:tc>
          <w:tcPr>
            <w:tcW w:w="1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Western Wear Retail</w:t>
            </w: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(600,000</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2,400</w:t>
            </w:r>
          </w:p>
        </w:tc>
        <w:tc>
          <w:tcPr>
            <w:tcW w:w="18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10,920</w:t>
            </w:r>
          </w:p>
        </w:tc>
        <w:tc>
          <w:tcPr>
            <w:tcW w:w="10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shares)</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2,400</w:t>
            </w: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10,920</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Caregiver Services, Inc.</w:t>
            </w:r>
          </w:p>
        </w:tc>
        <w:tc>
          <w:tcPr>
            <w:tcW w:w="1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In-Home Healthcare</w:t>
            </w:r>
          </w:p>
        </w:tc>
        <w:tc>
          <w:tcPr>
            <w:tcW w:w="1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(293,186</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258</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8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Caregiver Services, Inc. </w:t>
            </w:r>
            <w:r>
              <w:rPr>
                <w:rFonts w:ascii="Arial" w:cs="Arial" w:eastAsia="Arial" w:hAnsi="Arial"/>
                <w:sz w:val="18"/>
                <w:szCs w:val="18"/>
                <w:color w:val="auto"/>
                <w:vertAlign w:val="superscript"/>
              </w:rPr>
              <w:t>(7)</w:t>
            </w:r>
          </w:p>
        </w:tc>
        <w:tc>
          <w:tcPr>
            <w:tcW w:w="1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In-Home Healthcare</w:t>
            </w: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Warrants</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264</w:t>
            </w:r>
          </w:p>
        </w:tc>
        <w:tc>
          <w:tcPr>
            <w:tcW w:w="1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Services</w:t>
            </w: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(655,908 units)</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522</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Construction Partners, Inc.</w:t>
            </w:r>
          </w:p>
        </w:tc>
        <w:tc>
          <w:tcPr>
            <w:tcW w:w="1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Construction Services</w:t>
            </w:r>
          </w:p>
        </w:tc>
        <w:tc>
          <w:tcPr>
            <w:tcW w:w="1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(11.5% Cash, Due</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rPr>
              <w:t>6/12/2020)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12,500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12,500</w:t>
            </w: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12,500</w:t>
            </w: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8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Crowley Holdings, Inc. </w:t>
            </w:r>
            <w:r>
              <w:rPr>
                <w:rFonts w:ascii="Arial" w:cs="Arial" w:eastAsia="Arial" w:hAnsi="Arial"/>
                <w:sz w:val="18"/>
                <w:szCs w:val="18"/>
                <w:color w:val="auto"/>
                <w:vertAlign w:val="superscript"/>
              </w:rPr>
              <w:t>(6)</w:t>
            </w:r>
          </w:p>
        </w:tc>
        <w:tc>
          <w:tcPr>
            <w:tcW w:w="1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Transportation</w:t>
            </w: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A Income</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color w:val="auto"/>
              </w:rPr>
              <w:t>Preferred Shares (6,000</w:t>
            </w:r>
          </w:p>
        </w:tc>
        <w:tc>
          <w:tcPr>
            <w:tcW w:w="2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shares, 10% Cash, 2%</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PIK dividend)</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6,145</w:t>
            </w: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6,145</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6,145</w:t>
            </w: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6,145</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CSM Bakery Solutions, LLC</w:t>
            </w:r>
          </w:p>
        </w:tc>
        <w:tc>
          <w:tcPr>
            <w:tcW w:w="1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Bakery Supplies</w:t>
            </w:r>
          </w:p>
        </w:tc>
        <w:tc>
          <w:tcPr>
            <w:tcW w:w="1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Distributor</w:t>
            </w: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(L+7.75% Cash, 1%</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Floor, Due 8/7/22)</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17,000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16,640</w:t>
            </w: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16,297</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16,640</w:t>
            </w: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16,297</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1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Food Product</w:t>
            </w:r>
          </w:p>
        </w:tc>
        <w:tc>
          <w:tcPr>
            <w:tcW w:w="1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Term</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Manufacturer</w:t>
            </w: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Debt (L+5.75% Cash,</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 Floor, Due 4/3/2020)</w:t>
            </w: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7,900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7,594</w:t>
            </w: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7,594</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Flavors Holdings, Inc.</w:t>
            </w:r>
          </w:p>
        </w:tc>
        <w:tc>
          <w:tcPr>
            <w:tcW w:w="1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Food Product</w:t>
            </w:r>
          </w:p>
        </w:tc>
        <w:tc>
          <w:tcPr>
            <w:tcW w:w="1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Subordinated Debt</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Manufacturer</w:t>
            </w: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(L+10%, 1% Floor, Due</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rPr>
              <w:t>10/3/2021)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12,000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11,532</w:t>
            </w: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11,532</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19,126</w:t>
            </w: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19,126</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Immersive Media Tactical Solutions,</w:t>
            </w:r>
          </w:p>
        </w:tc>
        <w:tc>
          <w:tcPr>
            <w:tcW w:w="1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Specialty Defense</w:t>
            </w:r>
          </w:p>
        </w:tc>
        <w:tc>
          <w:tcPr>
            <w:tcW w:w="1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Term</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7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Contractor</w:t>
            </w: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Debt (13% Cash, Due</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rPr>
              <w:t>10/6/16)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1,850</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Immersive Media Tactical Solutions,</w:t>
            </w:r>
          </w:p>
        </w:tc>
        <w:tc>
          <w:tcPr>
            <w:tcW w:w="1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Specialty Defense</w:t>
            </w:r>
          </w:p>
        </w:tc>
        <w:tc>
          <w:tcPr>
            <w:tcW w:w="1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Unit Warrants</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c>
          <w:tcPr>
            <w:tcW w:w="1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Contractor</w:t>
            </w: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(12% fully diluted)</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1,850</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Kelle's Transport Service, LLC</w:t>
            </w:r>
          </w:p>
        </w:tc>
        <w:tc>
          <w:tcPr>
            <w:tcW w:w="17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Transportation</w:t>
            </w:r>
          </w:p>
        </w:tc>
        <w:tc>
          <w:tcPr>
            <w:tcW w:w="1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Debt</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9"/>
              </w:rPr>
              <w:t>(14% Cash, Due 3/31/19)</w:t>
            </w: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15,366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15,351</w:t>
            </w: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15,366</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2280" w:type="dxa"/>
            <w:vAlign w:val="bottom"/>
            <w:shd w:val="clear" w:color="auto" w:fill="CCEEFF"/>
          </w:tcPr>
          <w:p>
            <w:pPr>
              <w:spacing w:after="0" w:line="178" w:lineRule="exact"/>
              <w:rPr>
                <w:sz w:val="20"/>
                <w:szCs w:val="20"/>
                <w:color w:val="auto"/>
              </w:rPr>
            </w:pPr>
            <w:r>
              <w:rPr>
                <w:rFonts w:ascii="Arial" w:cs="Arial" w:eastAsia="Arial" w:hAnsi="Arial"/>
                <w:sz w:val="13"/>
                <w:szCs w:val="13"/>
                <w:color w:val="auto"/>
              </w:rPr>
              <w:t xml:space="preserve">Kelle's Transport Service, LLC </w:t>
            </w:r>
            <w:r>
              <w:rPr>
                <w:rFonts w:ascii="Arial" w:cs="Arial" w:eastAsia="Arial" w:hAnsi="Arial"/>
                <w:sz w:val="20"/>
                <w:szCs w:val="20"/>
                <w:color w:val="auto"/>
                <w:vertAlign w:val="superscript"/>
              </w:rPr>
              <w:t>(6)</w:t>
            </w:r>
          </w:p>
        </w:tc>
        <w:tc>
          <w:tcPr>
            <w:tcW w:w="1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Transportation</w:t>
            </w: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Preferred Units (1,000</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2,802</w:t>
            </w: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2,802</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bl>
    <w:p>
      <w:pPr>
        <w:sectPr>
          <w:pgSz w:w="11900" w:h="16900" w:orient="portrait"/>
          <w:cols w:equalWidth="0" w:num="1">
            <w:col w:w="11420"/>
          </w:cols>
          <w:pgMar w:left="240" w:top="864" w:right="239" w:bottom="0" w:gutter="0" w:footer="0" w:header="0"/>
        </w:sectPr>
      </w:pPr>
    </w:p>
    <w:bookmarkStart w:id="14" w:name="page15"/>
    <w:bookmarkEnd w:id="14"/>
    <w:p>
      <w:pPr>
        <w:ind w:left="4040"/>
        <w:spacing w:after="0"/>
        <w:rPr>
          <w:sz w:val="20"/>
          <w:szCs w:val="20"/>
          <w:color w:val="auto"/>
        </w:rPr>
      </w:pPr>
      <w:r>
        <w:rPr>
          <w:rFonts w:ascii="Arial" w:cs="Arial" w:eastAsia="Arial" w:hAnsi="Arial"/>
          <w:sz w:val="14"/>
          <w:szCs w:val="14"/>
          <w:color w:val="auto"/>
        </w:rPr>
        <w:t>units, 10% PIK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40"/>
        <w:spacing w:after="0"/>
        <w:rPr>
          <w:sz w:val="20"/>
          <w:szCs w:val="20"/>
          <w:color w:val="auto"/>
        </w:rPr>
      </w:pPr>
      <w:r>
        <w:rPr>
          <w:rFonts w:ascii="Arial" w:cs="Arial" w:eastAsia="Arial" w:hAnsi="Arial"/>
          <w:sz w:val="14"/>
          <w:szCs w:val="14"/>
          <w:color w:val="auto"/>
        </w:rPr>
        <w:t>Dividend)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4"/>
                <w:szCs w:val="14"/>
                <w:color w:val="auto"/>
              </w:rPr>
              <w:t>Kelle's Transport Service, LLC</w:t>
            </w:r>
          </w:p>
        </w:tc>
        <w:tc>
          <w:tcPr>
            <w:tcW w:w="1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Transportation</w:t>
            </w: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 Stock Warrants</w:t>
            </w:r>
          </w:p>
        </w:tc>
        <w:tc>
          <w:tcPr>
            <w:tcW w:w="1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(15% fully diluted)</w:t>
            </w:r>
          </w:p>
        </w:tc>
        <w:tc>
          <w:tcPr>
            <w:tcW w:w="1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2,781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18,176</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20,949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Medical Depot, Inc. </w:t>
            </w:r>
            <w:r>
              <w:rPr>
                <w:rFonts w:ascii="Arial" w:cs="Arial" w:eastAsia="Arial" w:hAnsi="Arial"/>
                <w:sz w:val="18"/>
                <w:szCs w:val="18"/>
                <w:color w:val="auto"/>
                <w:vertAlign w:val="superscript"/>
              </w:rPr>
              <w:t>(1)</w:t>
            </w:r>
          </w:p>
        </w:tc>
        <w:tc>
          <w:tcPr>
            <w:tcW w:w="1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Medical Device</w:t>
            </w: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Subordinated Debt (14%</w:t>
            </w:r>
          </w:p>
        </w:tc>
        <w:tc>
          <w:tcPr>
            <w:tcW w:w="11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4,667</w:t>
            </w: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4,667</w:t>
            </w:r>
          </w:p>
        </w:tc>
        <w:tc>
          <w:tcPr>
            <w:tcW w:w="15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color w:val="auto"/>
              </w:rPr>
              <w:t>4,667</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58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Distributor</w:t>
            </w:r>
          </w:p>
        </w:tc>
        <w:tc>
          <w:tcPr>
            <w:tcW w:w="206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Cash, Due 9/27/20)</w:t>
            </w:r>
          </w:p>
        </w:tc>
        <w:tc>
          <w:tcPr>
            <w:tcW w:w="1140" w:type="dxa"/>
            <w:vAlign w:val="bottom"/>
            <w:vMerge w:val="continue"/>
            <w:shd w:val="clear" w:color="auto" w:fill="CCEEFF"/>
          </w:tcPr>
          <w:p>
            <w:pPr>
              <w:spacing w:after="0"/>
              <w:rPr>
                <w:sz w:val="11"/>
                <w:szCs w:val="11"/>
                <w:color w:val="auto"/>
              </w:rPr>
            </w:pPr>
          </w:p>
        </w:tc>
        <w:tc>
          <w:tcPr>
            <w:tcW w:w="1460" w:type="dxa"/>
            <w:vAlign w:val="bottom"/>
            <w:gridSpan w:val="2"/>
            <w:vMerge w:val="continue"/>
            <w:shd w:val="clear" w:color="auto" w:fill="CCEEFF"/>
          </w:tcPr>
          <w:p>
            <w:pPr>
              <w:spacing w:after="0"/>
              <w:rPr>
                <w:sz w:val="11"/>
                <w:szCs w:val="11"/>
                <w:color w:val="auto"/>
              </w:rPr>
            </w:pPr>
          </w:p>
        </w:tc>
        <w:tc>
          <w:tcPr>
            <w:tcW w:w="1560" w:type="dxa"/>
            <w:vAlign w:val="bottom"/>
            <w:gridSpan w:val="2"/>
            <w:vMerge w:val="continue"/>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Medical Depot, Inc.</w:t>
            </w:r>
          </w:p>
        </w:tc>
        <w:tc>
          <w:tcPr>
            <w:tcW w:w="1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Medical Device</w:t>
            </w:r>
          </w:p>
        </w:tc>
        <w:tc>
          <w:tcPr>
            <w:tcW w:w="20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Series C Convertible</w:t>
            </w:r>
          </w:p>
        </w:tc>
        <w:tc>
          <w:tcPr>
            <w:tcW w:w="1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Distributor</w:t>
            </w:r>
          </w:p>
        </w:tc>
        <w:tc>
          <w:tcPr>
            <w:tcW w:w="2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 Stock (740</w:t>
            </w:r>
          </w:p>
        </w:tc>
        <w:tc>
          <w:tcPr>
            <w:tcW w:w="1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1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1,333</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5,283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9,950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Meritas Schools Holdings, LLC</w:t>
            </w:r>
          </w:p>
        </w:tc>
        <w:tc>
          <w:tcPr>
            <w:tcW w:w="1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Education Services</w:t>
            </w:r>
          </w:p>
        </w:tc>
        <w:tc>
          <w:tcPr>
            <w:tcW w:w="20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Subordinated Debt</w:t>
            </w:r>
          </w:p>
        </w:tc>
        <w:tc>
          <w:tcPr>
            <w:tcW w:w="1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(L+9% Cash, 1% Floor,</w:t>
            </w:r>
          </w:p>
        </w:tc>
        <w:tc>
          <w:tcPr>
            <w:tcW w:w="1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Due 1/23/2021)</w:t>
            </w: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2,986</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2,986</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Merlin International, Inc.</w:t>
            </w:r>
          </w:p>
        </w:tc>
        <w:tc>
          <w:tcPr>
            <w:tcW w:w="1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IT Government</w:t>
            </w:r>
          </w:p>
        </w:tc>
        <w:tc>
          <w:tcPr>
            <w:tcW w:w="20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Subordinated Debt</w:t>
            </w:r>
          </w:p>
        </w:tc>
        <w:tc>
          <w:tcPr>
            <w:tcW w:w="1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Contracting</w:t>
            </w:r>
          </w:p>
        </w:tc>
        <w:tc>
          <w:tcPr>
            <w:tcW w:w="2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(12.5% Cash, Due</w:t>
            </w:r>
          </w:p>
        </w:tc>
        <w:tc>
          <w:tcPr>
            <w:tcW w:w="1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12/16/2019)</w:t>
            </w: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20,000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20,000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20,000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Nielsen &amp; Bainbridge, LLC</w:t>
            </w:r>
          </w:p>
        </w:tc>
        <w:tc>
          <w:tcPr>
            <w:tcW w:w="1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Home Décor</w:t>
            </w:r>
          </w:p>
        </w:tc>
        <w:tc>
          <w:tcPr>
            <w:tcW w:w="20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Subordinated Debt</w:t>
            </w:r>
          </w:p>
        </w:tc>
        <w:tc>
          <w:tcPr>
            <w:tcW w:w="1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Manufacturer</w:t>
            </w:r>
          </w:p>
        </w:tc>
        <w:tc>
          <w:tcPr>
            <w:tcW w:w="2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(L+9.25% Cash, 1%</w:t>
            </w:r>
          </w:p>
        </w:tc>
        <w:tc>
          <w:tcPr>
            <w:tcW w:w="1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Floor, Due 8/15/21)</w:t>
            </w: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15,000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14,785</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14,611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14,785</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14,611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Precision Manufacturing, LLC </w:t>
            </w:r>
            <w:r>
              <w:rPr>
                <w:rFonts w:ascii="Arial" w:cs="Arial" w:eastAsia="Arial" w:hAnsi="Arial"/>
                <w:sz w:val="18"/>
                <w:szCs w:val="18"/>
                <w:color w:val="auto"/>
                <w:vertAlign w:val="superscript"/>
              </w:rPr>
              <w:t>(2)</w:t>
            </w:r>
          </w:p>
        </w:tc>
        <w:tc>
          <w:tcPr>
            <w:tcW w:w="1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Industrial Boiler</w:t>
            </w: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Subordinated Debt (14%</w:t>
            </w:r>
          </w:p>
        </w:tc>
        <w:tc>
          <w:tcPr>
            <w:tcW w:w="11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200</w:t>
            </w: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200</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58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Manufacturer</w:t>
            </w:r>
          </w:p>
        </w:tc>
        <w:tc>
          <w:tcPr>
            <w:tcW w:w="206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Cash, Due 2/13/15)</w:t>
            </w:r>
          </w:p>
        </w:tc>
        <w:tc>
          <w:tcPr>
            <w:tcW w:w="1140" w:type="dxa"/>
            <w:vAlign w:val="bottom"/>
            <w:vMerge w:val="continue"/>
            <w:shd w:val="clear" w:color="auto" w:fill="CCEEFF"/>
          </w:tcPr>
          <w:p>
            <w:pPr>
              <w:spacing w:after="0"/>
              <w:rPr>
                <w:sz w:val="11"/>
                <w:szCs w:val="11"/>
                <w:color w:val="auto"/>
              </w:rPr>
            </w:pPr>
          </w:p>
        </w:tc>
        <w:tc>
          <w:tcPr>
            <w:tcW w:w="1460" w:type="dxa"/>
            <w:vAlign w:val="bottom"/>
            <w:gridSpan w:val="2"/>
            <w:vMerge w:val="continue"/>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Precision Manufacturing, LLC </w:t>
            </w:r>
            <w:r>
              <w:rPr>
                <w:rFonts w:ascii="Arial" w:cs="Arial" w:eastAsia="Arial" w:hAnsi="Arial"/>
                <w:sz w:val="18"/>
                <w:szCs w:val="18"/>
                <w:color w:val="auto"/>
                <w:vertAlign w:val="superscript"/>
              </w:rPr>
              <w:t>(2)</w:t>
            </w:r>
          </w:p>
        </w:tc>
        <w:tc>
          <w:tcPr>
            <w:tcW w:w="1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Industrial Boiler</w:t>
            </w: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Subordinated Debt (14%</w:t>
            </w:r>
          </w:p>
        </w:tc>
        <w:tc>
          <w:tcPr>
            <w:tcW w:w="11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300</w:t>
            </w: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300</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58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Manufacturer</w:t>
            </w:r>
          </w:p>
        </w:tc>
        <w:tc>
          <w:tcPr>
            <w:tcW w:w="206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Cash, Due 2/28/15)</w:t>
            </w:r>
          </w:p>
        </w:tc>
        <w:tc>
          <w:tcPr>
            <w:tcW w:w="1140" w:type="dxa"/>
            <w:vAlign w:val="bottom"/>
            <w:vMerge w:val="continue"/>
            <w:shd w:val="clear" w:color="auto" w:fill="CCEEFF"/>
          </w:tcPr>
          <w:p>
            <w:pPr>
              <w:spacing w:after="0"/>
              <w:rPr>
                <w:sz w:val="11"/>
                <w:szCs w:val="11"/>
                <w:color w:val="auto"/>
              </w:rPr>
            </w:pPr>
          </w:p>
        </w:tc>
        <w:tc>
          <w:tcPr>
            <w:tcW w:w="1460" w:type="dxa"/>
            <w:vAlign w:val="bottom"/>
            <w:gridSpan w:val="2"/>
            <w:vMerge w:val="continue"/>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Precision Manufacturing, LLC </w:t>
            </w:r>
            <w:r>
              <w:rPr>
                <w:rFonts w:ascii="Arial" w:cs="Arial" w:eastAsia="Arial" w:hAnsi="Arial"/>
                <w:sz w:val="18"/>
                <w:szCs w:val="18"/>
                <w:color w:val="auto"/>
                <w:vertAlign w:val="superscript"/>
              </w:rPr>
              <w:t>(2)</w:t>
            </w:r>
          </w:p>
        </w:tc>
        <w:tc>
          <w:tcPr>
            <w:tcW w:w="1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Industrial Boiler</w:t>
            </w: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Subordinated Debt (13%</w:t>
            </w:r>
          </w:p>
        </w:tc>
        <w:tc>
          <w:tcPr>
            <w:tcW w:w="11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2,850</w:t>
            </w: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2,850</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58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Manufacturer</w:t>
            </w:r>
          </w:p>
        </w:tc>
        <w:tc>
          <w:tcPr>
            <w:tcW w:w="206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Cash, Due 2/10/17)</w:t>
            </w:r>
          </w:p>
        </w:tc>
        <w:tc>
          <w:tcPr>
            <w:tcW w:w="1140" w:type="dxa"/>
            <w:vAlign w:val="bottom"/>
            <w:vMerge w:val="continue"/>
            <w:shd w:val="clear" w:color="auto" w:fill="CCEEFF"/>
          </w:tcPr>
          <w:p>
            <w:pPr>
              <w:spacing w:after="0"/>
              <w:rPr>
                <w:sz w:val="11"/>
                <w:szCs w:val="11"/>
                <w:color w:val="auto"/>
              </w:rPr>
            </w:pPr>
          </w:p>
        </w:tc>
        <w:tc>
          <w:tcPr>
            <w:tcW w:w="1460" w:type="dxa"/>
            <w:vAlign w:val="bottom"/>
            <w:gridSpan w:val="2"/>
            <w:vMerge w:val="continue"/>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Precision Manufacturing, LLC</w:t>
            </w:r>
          </w:p>
        </w:tc>
        <w:tc>
          <w:tcPr>
            <w:tcW w:w="1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Industrial Boiler</w:t>
            </w:r>
          </w:p>
        </w:tc>
        <w:tc>
          <w:tcPr>
            <w:tcW w:w="20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Membership Unit</w:t>
            </w:r>
          </w:p>
        </w:tc>
        <w:tc>
          <w:tcPr>
            <w:tcW w:w="1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Manufacturer</w:t>
            </w:r>
          </w:p>
        </w:tc>
        <w:tc>
          <w:tcPr>
            <w:tcW w:w="2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Warrants (6.65% fully</w:t>
            </w:r>
          </w:p>
        </w:tc>
        <w:tc>
          <w:tcPr>
            <w:tcW w:w="1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diluted)</w:t>
            </w:r>
          </w:p>
        </w:tc>
        <w:tc>
          <w:tcPr>
            <w:tcW w:w="1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3,350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Sequoia Healthcare Management, LLC</w:t>
            </w:r>
          </w:p>
        </w:tc>
        <w:tc>
          <w:tcPr>
            <w:tcW w:w="1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7"/>
              </w:rPr>
              <w:t>Healthcare Management</w:t>
            </w:r>
          </w:p>
        </w:tc>
        <w:tc>
          <w:tcPr>
            <w:tcW w:w="20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Senior Secured Term</w:t>
            </w:r>
          </w:p>
        </w:tc>
        <w:tc>
          <w:tcPr>
            <w:tcW w:w="1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Debt (12% cash, 4%</w:t>
            </w:r>
          </w:p>
        </w:tc>
        <w:tc>
          <w:tcPr>
            <w:tcW w:w="1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PIK, due 7/17/2019)</w:t>
            </w: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12,420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12,195</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12,420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12,195</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12,420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Sierra Hamilton, LLC</w:t>
            </w:r>
          </w:p>
        </w:tc>
        <w:tc>
          <w:tcPr>
            <w:tcW w:w="1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Oil &amp; Gas Engineering</w:t>
            </w:r>
          </w:p>
        </w:tc>
        <w:tc>
          <w:tcPr>
            <w:tcW w:w="20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Senior Secured Debt</w:t>
            </w:r>
          </w:p>
        </w:tc>
        <w:tc>
          <w:tcPr>
            <w:tcW w:w="1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and Consulting Services</w:t>
            </w:r>
          </w:p>
        </w:tc>
        <w:tc>
          <w:tcPr>
            <w:tcW w:w="2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(12.25% Cash, Due</w:t>
            </w:r>
          </w:p>
        </w:tc>
        <w:tc>
          <w:tcPr>
            <w:tcW w:w="1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12/15/18)</w:t>
            </w: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15,000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14,547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14,547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Southern Pump &amp; Tank Company, LLC</w:t>
            </w:r>
          </w:p>
        </w:tc>
        <w:tc>
          <w:tcPr>
            <w:tcW w:w="1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Petroleum Equipment</w:t>
            </w:r>
          </w:p>
        </w:tc>
        <w:tc>
          <w:tcPr>
            <w:tcW w:w="20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Senior Secured Term</w:t>
            </w:r>
          </w:p>
        </w:tc>
        <w:tc>
          <w:tcPr>
            <w:tcW w:w="1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2"/>
                <w:szCs w:val="12"/>
                <w:color w:val="auto"/>
              </w:rPr>
              <w:t>(1)</w:t>
            </w:r>
          </w:p>
        </w:tc>
        <w:tc>
          <w:tcPr>
            <w:tcW w:w="1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Supplier</w:t>
            </w:r>
          </w:p>
        </w:tc>
        <w:tc>
          <w:tcPr>
            <w:tcW w:w="2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Debt (13% Cash, 6%</w:t>
            </w:r>
          </w:p>
        </w:tc>
        <w:tc>
          <w:tcPr>
            <w:tcW w:w="1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PIK, Due 1/15/15)</w:t>
            </w: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4,316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3,495</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3,850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Southern Pump &amp; Tank Company, LLC</w:t>
            </w:r>
          </w:p>
        </w:tc>
        <w:tc>
          <w:tcPr>
            <w:tcW w:w="1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Petroleum Equipment</w:t>
            </w:r>
          </w:p>
        </w:tc>
        <w:tc>
          <w:tcPr>
            <w:tcW w:w="20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Stock Warrants</w:t>
            </w:r>
          </w:p>
        </w:tc>
        <w:tc>
          <w:tcPr>
            <w:tcW w:w="1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Supplier</w:t>
            </w: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(10% fully diluted)</w:t>
            </w:r>
          </w:p>
        </w:tc>
        <w:tc>
          <w:tcPr>
            <w:tcW w:w="1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3,495</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3,850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Stoddard Hill Media Holdings, LLC</w:t>
            </w:r>
          </w:p>
        </w:tc>
        <w:tc>
          <w:tcPr>
            <w:tcW w:w="1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IT Hosting Services</w:t>
            </w:r>
          </w:p>
        </w:tc>
        <w:tc>
          <w:tcPr>
            <w:tcW w:w="20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Class D Preferred Units</w:t>
            </w:r>
          </w:p>
        </w:tc>
        <w:tc>
          <w:tcPr>
            <w:tcW w:w="1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(132,159 shares)</w:t>
            </w:r>
          </w:p>
        </w:tc>
        <w:tc>
          <w:tcPr>
            <w:tcW w:w="1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 w:name="page16"/>
    <w:bookmarkEnd w:id="1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Taylor Precision Products, Inc.</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Household Product</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w w:val="98"/>
              </w:rPr>
              <w:t>Series C Preferred Stock</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Manufacturer</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(379 shares)</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758</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758</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2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Tenere, Inc. </w:t>
            </w:r>
            <w:r>
              <w:rPr>
                <w:rFonts w:ascii="Arial" w:cs="Arial" w:eastAsia="Arial" w:hAnsi="Arial"/>
                <w:sz w:val="18"/>
                <w:szCs w:val="18"/>
                <w:color w:val="auto"/>
                <w:vertAlign w:val="superscript"/>
              </w:rPr>
              <w:t>(9)</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Industrial Manufacturing</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Senior Secured Term</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32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1620" w:type="dxa"/>
            <w:vAlign w:val="bottom"/>
            <w:shd w:val="clear" w:color="auto" w:fill="CCEEFF"/>
          </w:tcPr>
          <w:p>
            <w:pPr>
              <w:ind w:left="80"/>
              <w:spacing w:after="0" w:line="116" w:lineRule="exact"/>
              <w:rPr>
                <w:sz w:val="20"/>
                <w:szCs w:val="20"/>
                <w:color w:val="auto"/>
              </w:rPr>
            </w:pPr>
            <w:r>
              <w:rPr>
                <w:rFonts w:ascii="Arial" w:cs="Arial" w:eastAsia="Arial" w:hAnsi="Arial"/>
                <w:sz w:val="13"/>
                <w:szCs w:val="13"/>
                <w:color w:val="auto"/>
              </w:rPr>
              <w:t>Debt (11% Cash, 2%</w:t>
            </w:r>
          </w:p>
        </w:tc>
        <w:tc>
          <w:tcPr>
            <w:tcW w:w="5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PIK, Due 12/15/17)</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3,510</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3,510</w:t>
            </w:r>
          </w:p>
        </w:tc>
        <w:tc>
          <w:tcPr>
            <w:tcW w:w="4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3,510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3,510</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3,510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TGI Friday's, Inc.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Restaurant Chain</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(L+8.25% Cash, 1%</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Floor, Due 7/15/21)</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9,962</w:t>
            </w:r>
          </w:p>
        </w:tc>
        <w:tc>
          <w:tcPr>
            <w:tcW w:w="4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9,738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9,962</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9,738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US LBM Holdings, LLC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Building Products</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Senior Secured Debt</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(L+7.0% Cash, 1% Floor,</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Due 5/2/2020)</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4,992</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4,895</w:t>
            </w:r>
          </w:p>
        </w:tc>
        <w:tc>
          <w:tcPr>
            <w:tcW w:w="4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4,895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4,895</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4,895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2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U.S. Well Services, LLC </w:t>
            </w:r>
            <w:r>
              <w:rPr>
                <w:rFonts w:ascii="Arial" w:cs="Arial" w:eastAsia="Arial" w:hAnsi="Arial"/>
                <w:sz w:val="18"/>
                <w:szCs w:val="18"/>
                <w:color w:val="auto"/>
                <w:vertAlign w:val="superscript"/>
              </w:rPr>
              <w:t>(10)</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Oil &amp; Gas Services</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Senior Secured Debt</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32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1620" w:type="dxa"/>
            <w:vAlign w:val="bottom"/>
            <w:shd w:val="clear" w:color="auto" w:fill="CCEEFF"/>
          </w:tcPr>
          <w:p>
            <w:pPr>
              <w:ind w:left="80"/>
              <w:spacing w:after="0" w:line="116" w:lineRule="exact"/>
              <w:rPr>
                <w:sz w:val="20"/>
                <w:szCs w:val="20"/>
                <w:color w:val="auto"/>
              </w:rPr>
            </w:pPr>
            <w:r>
              <w:rPr>
                <w:rFonts w:ascii="Arial" w:cs="Arial" w:eastAsia="Arial" w:hAnsi="Arial"/>
                <w:sz w:val="13"/>
                <w:szCs w:val="13"/>
                <w:color w:val="auto"/>
              </w:rPr>
              <w:t>(L+11.5% Cash, 0.5%</w:t>
            </w:r>
          </w:p>
        </w:tc>
        <w:tc>
          <w:tcPr>
            <w:tcW w:w="5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floor, Due 5/2/19)</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4,822</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4,727</w:t>
            </w:r>
          </w:p>
        </w:tc>
        <w:tc>
          <w:tcPr>
            <w:tcW w:w="4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4,761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4,727</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4,761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Velum Global Credit Management,</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Financial Services</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Senior Secured Debt</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shd w:val="clear" w:color="auto" w:fill="CCEEFF"/>
          </w:tcPr>
          <w:p>
            <w:pPr>
              <w:spacing w:after="0" w:line="161" w:lineRule="exact"/>
              <w:rPr>
                <w:sz w:val="20"/>
                <w:szCs w:val="20"/>
                <w:color w:val="auto"/>
              </w:rPr>
            </w:pPr>
            <w:r>
              <w:rPr>
                <w:rFonts w:ascii="Arial" w:cs="Arial" w:eastAsia="Arial" w:hAnsi="Arial"/>
                <w:sz w:val="12"/>
                <w:szCs w:val="12"/>
                <w:color w:val="auto"/>
              </w:rPr>
              <w:t xml:space="preserve">LLC </w:t>
            </w:r>
            <w:r>
              <w:rPr>
                <w:rFonts w:ascii="Arial" w:cs="Arial" w:eastAsia="Arial" w:hAnsi="Arial"/>
                <w:sz w:val="18"/>
                <w:szCs w:val="18"/>
                <w:color w:val="auto"/>
                <w:vertAlign w:val="superscript"/>
              </w:rPr>
              <w:t>(8)</w:t>
            </w:r>
          </w:p>
        </w:tc>
        <w:tc>
          <w:tcPr>
            <w:tcW w:w="1620" w:type="dxa"/>
            <w:vAlign w:val="bottom"/>
            <w:shd w:val="clear" w:color="auto" w:fill="CCEEFF"/>
          </w:tcPr>
          <w:p>
            <w:pPr>
              <w:spacing w:after="0"/>
              <w:rPr>
                <w:sz w:val="13"/>
                <w:szCs w:val="13"/>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(15% Cash, Due</w:t>
            </w:r>
          </w:p>
        </w:tc>
        <w:tc>
          <w:tcPr>
            <w:tcW w:w="5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8,300</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8,300</w:t>
            </w:r>
          </w:p>
        </w:tc>
        <w:tc>
          <w:tcPr>
            <w:tcW w:w="42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color w:val="auto"/>
              </w:rPr>
              <w:t>8,300</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12/31/15)</w:t>
            </w:r>
          </w:p>
        </w:tc>
        <w:tc>
          <w:tcPr>
            <w:tcW w:w="5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8,300</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8,300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Worklife America, Inc.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Professional Employer</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7"/>
              </w:rPr>
              <w:t>Common Stock Warrants</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Organization</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(3.84% ownership)</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2,311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Worklife America, Inc.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Professional Employer</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Preferred Stock Warrants</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Organization</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(3.84% ownership)</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2,700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3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5"/>
              </w:rPr>
              <w:t>Sub Total Non-control/Non-affiliated</w:t>
            </w:r>
          </w:p>
        </w:tc>
        <w:tc>
          <w:tcPr>
            <w:tcW w:w="162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investments</w:t>
            </w:r>
          </w:p>
        </w:tc>
        <w:tc>
          <w:tcPr>
            <w:tcW w:w="16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219,163</w:t>
            </w: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236,804</w:t>
            </w:r>
          </w:p>
        </w:tc>
        <w:tc>
          <w:tcPr>
            <w:tcW w:w="12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2"/>
                <w:szCs w:val="12"/>
                <w:color w:val="auto"/>
              </w:rPr>
              <w:t>98.3</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3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- 71.1%</w:t>
            </w:r>
          </w:p>
        </w:tc>
        <w:tc>
          <w:tcPr>
            <w:tcW w:w="16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Automobile Part</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Senior Subordinated</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Manufacturer</w:t>
            </w:r>
          </w:p>
        </w:tc>
        <w:tc>
          <w:tcPr>
            <w:tcW w:w="1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Debt (14% Cash, due</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8/9/2019)</w:t>
            </w:r>
          </w:p>
        </w:tc>
        <w:tc>
          <w:tcPr>
            <w:tcW w:w="5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Automobile Part</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5"/>
              </w:rPr>
              <w:t>Junior Subordinated Debt</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Manufacturer</w:t>
            </w:r>
          </w:p>
        </w:tc>
        <w:tc>
          <w:tcPr>
            <w:tcW w:w="1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(12% Cash, due</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8/9/2019)</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7,200</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7,200</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7,200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Burgaflex Holdings, LLC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Automobile Part</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Manufacturer</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(1,253,198 shares)</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1,504</w:t>
            </w:r>
          </w:p>
        </w:tc>
        <w:tc>
          <w:tcPr>
            <w:tcW w:w="4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3,646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13,704</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15,846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Footwear Retail</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Subordinated Debt (13%</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Due 9/28/16)</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8,231</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8,213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320" w:type="dxa"/>
            <w:vAlign w:val="bottom"/>
            <w:shd w:val="clear" w:color="auto" w:fill="CCEEFF"/>
          </w:tcPr>
          <w:p>
            <w:pPr>
              <w:spacing w:after="0" w:line="142" w:lineRule="exact"/>
              <w:rPr>
                <w:sz w:val="20"/>
                <w:szCs w:val="20"/>
                <w:color w:val="auto"/>
              </w:rPr>
            </w:pPr>
            <w:r>
              <w:rPr>
                <w:rFonts w:ascii="Arial" w:cs="Arial" w:eastAsia="Arial" w:hAnsi="Arial"/>
                <w:sz w:val="11"/>
                <w:szCs w:val="11"/>
                <w:color w:val="auto"/>
              </w:rPr>
              <w:t xml:space="preserve">City Gear, LLC </w:t>
            </w:r>
            <w:r>
              <w:rPr>
                <w:rFonts w:ascii="Arial" w:cs="Arial" w:eastAsia="Arial" w:hAnsi="Arial"/>
                <w:sz w:val="16"/>
                <w:szCs w:val="16"/>
                <w:color w:val="auto"/>
                <w:vertAlign w:val="superscript"/>
              </w:rPr>
              <w:t>(6)</w:t>
            </w:r>
          </w:p>
        </w:tc>
        <w:tc>
          <w:tcPr>
            <w:tcW w:w="162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Footwear Retail</w:t>
            </w:r>
          </w:p>
        </w:tc>
        <w:tc>
          <w:tcPr>
            <w:tcW w:w="162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Preferred Membership</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620" w:type="dxa"/>
            <w:vAlign w:val="bottom"/>
            <w:shd w:val="clear" w:color="auto" w:fill="CCEEFF"/>
          </w:tcPr>
          <w:p>
            <w:pPr>
              <w:ind w:left="80"/>
              <w:spacing w:after="0" w:line="137" w:lineRule="exact"/>
              <w:rPr>
                <w:sz w:val="20"/>
                <w:szCs w:val="20"/>
                <w:color w:val="auto"/>
              </w:rPr>
            </w:pPr>
            <w:r>
              <w:rPr>
                <w:rFonts w:ascii="Arial" w:cs="Arial" w:eastAsia="Arial" w:hAnsi="Arial"/>
                <w:sz w:val="14"/>
                <w:szCs w:val="14"/>
                <w:color w:val="auto"/>
              </w:rPr>
              <w:t>Units (9% Cash</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dividend)</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1,269</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1,269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Footwear Retail</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Warrants (14.15% fully</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diluted)</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6,205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9,500</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15,687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Sales &amp; Marketing</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Subordinated Debt (14%</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w:t>
            </w:r>
          </w:p>
        </w:tc>
        <w:tc>
          <w:tcPr>
            <w:tcW w:w="1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2% PIK, Due</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3/22/18)</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11,402</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11,402</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11,402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Sales &amp; Marketing</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(2,216,463 shares)</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2,576</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10,348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Sales &amp; Marketing</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Warrant</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(403,257 shares)</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1,882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13,978</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23,632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2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GA Communications, Inc. </w:t>
            </w:r>
            <w:r>
              <w:rPr>
                <w:rFonts w:ascii="Arial" w:cs="Arial" w:eastAsia="Arial" w:hAnsi="Arial"/>
                <w:sz w:val="18"/>
                <w:szCs w:val="18"/>
                <w:color w:val="auto"/>
                <w:vertAlign w:val="superscript"/>
              </w:rPr>
              <w:t>(6)</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Advertising &amp; Marketing</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Series A-1 Preferred</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320" w:type="dxa"/>
            <w:vAlign w:val="bottom"/>
            <w:shd w:val="clear" w:color="auto" w:fill="CCEEFF"/>
          </w:tcPr>
          <w:p>
            <w:pPr>
              <w:spacing w:after="0"/>
              <w:rPr>
                <w:sz w:val="10"/>
                <w:szCs w:val="10"/>
                <w:color w:val="auto"/>
              </w:rPr>
            </w:pPr>
          </w:p>
        </w:tc>
        <w:tc>
          <w:tcPr>
            <w:tcW w:w="1620" w:type="dxa"/>
            <w:vAlign w:val="bottom"/>
            <w:shd w:val="clear" w:color="auto" w:fill="CCEEFF"/>
          </w:tcPr>
          <w:p>
            <w:pPr>
              <w:ind w:left="80"/>
              <w:spacing w:after="0" w:line="116" w:lineRule="exact"/>
              <w:rPr>
                <w:sz w:val="20"/>
                <w:szCs w:val="20"/>
                <w:color w:val="auto"/>
              </w:rPr>
            </w:pPr>
            <w:r>
              <w:rPr>
                <w:rFonts w:ascii="Arial" w:cs="Arial" w:eastAsia="Arial" w:hAnsi="Arial"/>
                <w:sz w:val="13"/>
                <w:szCs w:val="13"/>
                <w:color w:val="auto"/>
              </w:rPr>
              <w:t>Services</w:t>
            </w:r>
          </w:p>
        </w:tc>
        <w:tc>
          <w:tcPr>
            <w:tcW w:w="1620" w:type="dxa"/>
            <w:vAlign w:val="bottom"/>
            <w:shd w:val="clear" w:color="auto" w:fill="CCEEFF"/>
          </w:tcPr>
          <w:p>
            <w:pPr>
              <w:ind w:left="80"/>
              <w:spacing w:after="0" w:line="116" w:lineRule="exact"/>
              <w:rPr>
                <w:sz w:val="20"/>
                <w:szCs w:val="20"/>
                <w:color w:val="auto"/>
              </w:rPr>
            </w:pPr>
            <w:r>
              <w:rPr>
                <w:rFonts w:ascii="Arial" w:cs="Arial" w:eastAsia="Arial" w:hAnsi="Arial"/>
                <w:sz w:val="13"/>
                <w:szCs w:val="13"/>
                <w:color w:val="auto"/>
              </w:rPr>
              <w:t>Stock (1,998 shares, 8%</w:t>
            </w:r>
          </w:p>
        </w:tc>
        <w:tc>
          <w:tcPr>
            <w:tcW w:w="5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PIK dividend)</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2,197</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2,559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Advertising &amp; Marketing</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B-1 Common</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Stock (200,000 shares)</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1,660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2,199</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4,219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 Inc.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Produce Distribution</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Subordinated Debt (13%</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Due 7/16/18)</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5,182</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5,182</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5,182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 Inc.</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Produce Distribution</w:t>
            </w:r>
          </w:p>
        </w:tc>
        <w:tc>
          <w:tcPr>
            <w:tcW w:w="1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(8,182</w:t>
            </w: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818</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3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892"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4"/>
                <w:szCs w:val="14"/>
                <w:color w:val="auto"/>
              </w:rPr>
              <w:t>J&amp;J Produce Holdings, Inc.</w:t>
            </w: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Produce Distribution</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 Stock Warrants</w:t>
            </w:r>
          </w:p>
        </w:tc>
        <w:tc>
          <w:tcPr>
            <w:tcW w:w="1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(4,506 shares)</w:t>
            </w:r>
          </w:p>
        </w:tc>
        <w:tc>
          <w:tcPr>
            <w:tcW w:w="112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5,711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LJS Partners,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QSR Franchisor</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(1,500,000 shares)</w:t>
            </w:r>
          </w:p>
        </w:tc>
        <w:tc>
          <w:tcPr>
            <w:tcW w:w="1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2,506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2,506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MJC Holdings,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Specialty Clothing</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A Preferred Units</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(2,000,000 units)</w:t>
            </w:r>
          </w:p>
        </w:tc>
        <w:tc>
          <w:tcPr>
            <w:tcW w:w="1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5,723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5,723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10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MMI Holdings, LLC </w:t>
            </w:r>
            <w:r>
              <w:rPr>
                <w:rFonts w:ascii="Arial" w:cs="Arial" w:eastAsia="Arial" w:hAnsi="Arial"/>
                <w:sz w:val="18"/>
                <w:szCs w:val="18"/>
                <w:color w:val="auto"/>
                <w:vertAlign w:val="superscript"/>
              </w:rPr>
              <w:t>(1)</w:t>
            </w: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Medical Device</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Senior Secured Debt</w:t>
            </w:r>
          </w:p>
        </w:tc>
        <w:tc>
          <w:tcPr>
            <w:tcW w:w="11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2,600</w:t>
            </w: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5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color w:val="auto"/>
              </w:rPr>
              <w:t>2,600</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840" w:type="dxa"/>
            <w:vAlign w:val="bottom"/>
            <w:shd w:val="clear" w:color="auto" w:fill="CCEEFF"/>
          </w:tcPr>
          <w:p>
            <w:pPr>
              <w:ind w:left="300"/>
              <w:spacing w:after="0" w:line="135" w:lineRule="exact"/>
              <w:rPr>
                <w:sz w:val="20"/>
                <w:szCs w:val="20"/>
                <w:color w:val="auto"/>
              </w:rPr>
            </w:pPr>
            <w:r>
              <w:rPr>
                <w:rFonts w:ascii="Arial" w:cs="Arial" w:eastAsia="Arial" w:hAnsi="Arial"/>
                <w:sz w:val="14"/>
                <w:szCs w:val="14"/>
                <w:color w:val="auto"/>
              </w:rPr>
              <w:t>Distributor</w:t>
            </w:r>
          </w:p>
        </w:tc>
        <w:tc>
          <w:tcPr>
            <w:tcW w:w="206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rPr>
              <w:t>(12% Cash, Due 1/31/17)</w:t>
            </w:r>
          </w:p>
        </w:tc>
        <w:tc>
          <w:tcPr>
            <w:tcW w:w="1120" w:type="dxa"/>
            <w:vAlign w:val="bottom"/>
            <w:vMerge w:val="continue"/>
            <w:shd w:val="clear" w:color="auto" w:fill="CCEEFF"/>
          </w:tcPr>
          <w:p>
            <w:pPr>
              <w:spacing w:after="0"/>
              <w:rPr>
                <w:sz w:val="11"/>
                <w:szCs w:val="11"/>
                <w:color w:val="auto"/>
              </w:rPr>
            </w:pPr>
          </w:p>
        </w:tc>
        <w:tc>
          <w:tcPr>
            <w:tcW w:w="1460" w:type="dxa"/>
            <w:vAlign w:val="bottom"/>
            <w:gridSpan w:val="2"/>
            <w:vMerge w:val="continue"/>
            <w:shd w:val="clear" w:color="auto" w:fill="CCEEFF"/>
          </w:tcPr>
          <w:p>
            <w:pPr>
              <w:spacing w:after="0"/>
              <w:rPr>
                <w:sz w:val="11"/>
                <w:szCs w:val="11"/>
                <w:color w:val="auto"/>
              </w:rPr>
            </w:pPr>
          </w:p>
        </w:tc>
        <w:tc>
          <w:tcPr>
            <w:tcW w:w="1560" w:type="dxa"/>
            <w:vAlign w:val="bottom"/>
            <w:gridSpan w:val="2"/>
            <w:vMerge w:val="continue"/>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10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MMI Holdings, LLC </w:t>
            </w:r>
            <w:r>
              <w:rPr>
                <w:rFonts w:ascii="Arial" w:cs="Arial" w:eastAsia="Arial" w:hAnsi="Arial"/>
                <w:sz w:val="18"/>
                <w:szCs w:val="18"/>
                <w:color w:val="auto"/>
                <w:vertAlign w:val="superscript"/>
              </w:rPr>
              <w:t>(1)</w:t>
            </w: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Medical Device</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Subordinated Debt (6%</w:t>
            </w:r>
          </w:p>
        </w:tc>
        <w:tc>
          <w:tcPr>
            <w:tcW w:w="11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400</w:t>
            </w: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388</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3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840" w:type="dxa"/>
            <w:vAlign w:val="bottom"/>
            <w:shd w:val="clear" w:color="auto" w:fill="CCEEFF"/>
          </w:tcPr>
          <w:p>
            <w:pPr>
              <w:ind w:left="300"/>
              <w:spacing w:after="0" w:line="135" w:lineRule="exact"/>
              <w:rPr>
                <w:sz w:val="20"/>
                <w:szCs w:val="20"/>
                <w:color w:val="auto"/>
              </w:rPr>
            </w:pPr>
            <w:r>
              <w:rPr>
                <w:rFonts w:ascii="Arial" w:cs="Arial" w:eastAsia="Arial" w:hAnsi="Arial"/>
                <w:sz w:val="14"/>
                <w:szCs w:val="14"/>
                <w:color w:val="auto"/>
              </w:rPr>
              <w:t>Distributor</w:t>
            </w:r>
          </w:p>
        </w:tc>
        <w:tc>
          <w:tcPr>
            <w:tcW w:w="206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rPr>
              <w:t>Cash, Due 1/31/17)</w:t>
            </w:r>
          </w:p>
        </w:tc>
        <w:tc>
          <w:tcPr>
            <w:tcW w:w="1120" w:type="dxa"/>
            <w:vAlign w:val="bottom"/>
            <w:vMerge w:val="continue"/>
            <w:shd w:val="clear" w:color="auto" w:fill="CCEEFF"/>
          </w:tcPr>
          <w:p>
            <w:pPr>
              <w:spacing w:after="0"/>
              <w:rPr>
                <w:sz w:val="11"/>
                <w:szCs w:val="11"/>
                <w:color w:val="auto"/>
              </w:rPr>
            </w:pPr>
          </w:p>
        </w:tc>
        <w:tc>
          <w:tcPr>
            <w:tcW w:w="1460" w:type="dxa"/>
            <w:vAlign w:val="bottom"/>
            <w:gridSpan w:val="2"/>
            <w:vMerge w:val="continue"/>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10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MMI Holdings, LLC </w:t>
            </w:r>
            <w:r>
              <w:rPr>
                <w:rFonts w:ascii="Arial" w:cs="Arial" w:eastAsia="Arial" w:hAnsi="Arial"/>
                <w:sz w:val="18"/>
                <w:szCs w:val="18"/>
                <w:color w:val="auto"/>
                <w:vertAlign w:val="superscript"/>
              </w:rPr>
              <w:t>(6)</w:t>
            </w: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Medical Device</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Preferred Units (1,000</w:t>
            </w:r>
          </w:p>
        </w:tc>
        <w:tc>
          <w:tcPr>
            <w:tcW w:w="112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1,136</w:t>
            </w:r>
          </w:p>
        </w:tc>
        <w:tc>
          <w:tcPr>
            <w:tcW w:w="15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color w:val="auto"/>
              </w:rPr>
              <w:t>1,273</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840" w:type="dxa"/>
            <w:vAlign w:val="bottom"/>
            <w:shd w:val="clear" w:color="auto" w:fill="CCEEFF"/>
          </w:tcPr>
          <w:p>
            <w:pPr>
              <w:ind w:left="300"/>
              <w:spacing w:after="0" w:line="135" w:lineRule="exact"/>
              <w:rPr>
                <w:sz w:val="20"/>
                <w:szCs w:val="20"/>
                <w:color w:val="auto"/>
              </w:rPr>
            </w:pPr>
            <w:r>
              <w:rPr>
                <w:rFonts w:ascii="Arial" w:cs="Arial" w:eastAsia="Arial" w:hAnsi="Arial"/>
                <w:sz w:val="14"/>
                <w:szCs w:val="14"/>
                <w:color w:val="auto"/>
              </w:rPr>
              <w:t>Distributor</w:t>
            </w:r>
          </w:p>
        </w:tc>
        <w:tc>
          <w:tcPr>
            <w:tcW w:w="206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rPr>
              <w:t>units, 6% PIK dividend)</w:t>
            </w:r>
          </w:p>
        </w:tc>
        <w:tc>
          <w:tcPr>
            <w:tcW w:w="1120" w:type="dxa"/>
            <w:vAlign w:val="bottom"/>
            <w:shd w:val="clear" w:color="auto" w:fill="CCEEFF"/>
          </w:tcPr>
          <w:p>
            <w:pPr>
              <w:spacing w:after="0"/>
              <w:rPr>
                <w:sz w:val="11"/>
                <w:szCs w:val="11"/>
                <w:color w:val="auto"/>
              </w:rPr>
            </w:pPr>
          </w:p>
        </w:tc>
        <w:tc>
          <w:tcPr>
            <w:tcW w:w="1460" w:type="dxa"/>
            <w:vAlign w:val="bottom"/>
            <w:gridSpan w:val="2"/>
            <w:vMerge w:val="continue"/>
            <w:shd w:val="clear" w:color="auto" w:fill="CCEEFF"/>
          </w:tcPr>
          <w:p>
            <w:pPr>
              <w:spacing w:after="0"/>
              <w:rPr>
                <w:sz w:val="11"/>
                <w:szCs w:val="11"/>
                <w:color w:val="auto"/>
              </w:rPr>
            </w:pPr>
          </w:p>
        </w:tc>
        <w:tc>
          <w:tcPr>
            <w:tcW w:w="1560" w:type="dxa"/>
            <w:vAlign w:val="bottom"/>
            <w:gridSpan w:val="2"/>
            <w:vMerge w:val="continue"/>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Medical Device</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Membership</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Distributor</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Units (45 units)</w:t>
            </w:r>
          </w:p>
        </w:tc>
        <w:tc>
          <w:tcPr>
            <w:tcW w:w="1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4,124</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4,399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MTI Holdings,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Retail Display &amp;</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(12%</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Security Services</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Due 11/1/18)</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8,000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MTI Holdings,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Retail Display &amp;</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Units</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Security Services</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(2,000,000 units)</w:t>
            </w:r>
          </w:p>
        </w:tc>
        <w:tc>
          <w:tcPr>
            <w:tcW w:w="1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4,958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12,958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ABUTEC,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Oil &amp; Gas Services</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Senior Secured Term</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Debt (12% Cash, 3%</w:t>
            </w:r>
          </w:p>
        </w:tc>
        <w:tc>
          <w:tcPr>
            <w:tcW w:w="1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PIK, Due 12/28/17)</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5,283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5,283</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5,166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ABUTEC,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Oil &amp; Gas Services</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Preferred Membership</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Units (10.8% fully</w:t>
            </w:r>
          </w:p>
        </w:tc>
        <w:tc>
          <w:tcPr>
            <w:tcW w:w="1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diluted)</w:t>
            </w:r>
          </w:p>
        </w:tc>
        <w:tc>
          <w:tcPr>
            <w:tcW w:w="1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1,240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6,523</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5,166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w w:val="99"/>
              </w:rPr>
              <w:t>Automotive Chemicals &amp;</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(13%</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Lubricants</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Due 2/17/17)</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2,500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2,500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w w:val="99"/>
              </w:rPr>
              <w:t>Automotive Chemicals &amp;</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Warrants</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Lubricants</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(6.65% ownership)</w:t>
            </w:r>
          </w:p>
        </w:tc>
        <w:tc>
          <w:tcPr>
            <w:tcW w:w="1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w w:val="99"/>
              </w:rPr>
              <w:t>Automotive Chemicals &amp;</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Lubricants</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Units (11.3% ownership)</w:t>
            </w:r>
          </w:p>
        </w:tc>
        <w:tc>
          <w:tcPr>
            <w:tcW w:w="1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3,250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3,891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SSCR,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Personal Product</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Senior Secured Term</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8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Manufacturer</w:t>
            </w:r>
          </w:p>
        </w:tc>
        <w:tc>
          <w:tcPr>
            <w:tcW w:w="2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Debt (7% Cash, Due</w:t>
            </w:r>
          </w:p>
        </w:tc>
        <w:tc>
          <w:tcPr>
            <w:tcW w:w="1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6/12/17)</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4,751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SSCR,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Personal Product</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(7%</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Manufacturer</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Due 9/15/17)</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17,125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17,125</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11,490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SSCR, LLC</w:t>
            </w:r>
          </w:p>
        </w:tc>
        <w:tc>
          <w:tcPr>
            <w:tcW w:w="18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Personal Product</w:t>
            </w:r>
          </w:p>
        </w:tc>
        <w:tc>
          <w:tcPr>
            <w:tcW w:w="20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Preferred Membership</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Manufacturer</w:t>
            </w:r>
          </w:p>
        </w:tc>
        <w:tc>
          <w:tcPr>
            <w:tcW w:w="2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Units (15.8% ownership)</w:t>
            </w:r>
          </w:p>
        </w:tc>
        <w:tc>
          <w:tcPr>
            <w:tcW w:w="1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1,878</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4"/>
                <w:szCs w:val="14"/>
                <w:color w:val="auto"/>
              </w:rPr>
              <w:t>Source Capital SSCR, LLC</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Personal Product</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Membership Unit</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Manufacturer</w:t>
            </w:r>
          </w:p>
        </w:tc>
        <w:tc>
          <w:tcPr>
            <w:tcW w:w="1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Warrant (0.31%</w:t>
            </w: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ownership)</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24,013</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16,241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Recycling, LLC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Scrap Metal Recycler</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Subordinated Debt (13%</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Due 9/2/16)</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4,927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Recycling, LLC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Scrap Metal Recycler</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Units</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(68,656 units)</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1,590</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Recycling, LLC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Scrap Metal Recycler</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Warrants (1% fully</w:t>
            </w: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6,590</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4,927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Sparus Holdings, Inc. </w:t>
            </w:r>
            <w:r>
              <w:rPr>
                <w:rFonts w:ascii="Arial" w:cs="Arial" w:eastAsia="Arial" w:hAnsi="Arial"/>
                <w:sz w:val="18"/>
                <w:szCs w:val="18"/>
                <w:color w:val="auto"/>
                <w:vertAlign w:val="superscript"/>
              </w:rPr>
              <w:t>(3)</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Energy Services</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Senior Secured Term</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34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640" w:type="dxa"/>
            <w:vAlign w:val="bottom"/>
            <w:shd w:val="clear" w:color="auto" w:fill="CCEEFF"/>
          </w:tcPr>
          <w:p>
            <w:pPr>
              <w:ind w:left="120"/>
              <w:spacing w:after="0" w:line="116" w:lineRule="exact"/>
              <w:rPr>
                <w:sz w:val="20"/>
                <w:szCs w:val="20"/>
                <w:color w:val="auto"/>
              </w:rPr>
            </w:pPr>
            <w:r>
              <w:rPr>
                <w:rFonts w:ascii="Arial" w:cs="Arial" w:eastAsia="Arial" w:hAnsi="Arial"/>
                <w:sz w:val="13"/>
                <w:szCs w:val="13"/>
                <w:color w:val="auto"/>
              </w:rPr>
              <w:t>Debt (12% Cash, 2%</w:t>
            </w:r>
          </w:p>
        </w:tc>
        <w:tc>
          <w:tcPr>
            <w:tcW w:w="5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PIK, Due 3/21/16)</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5,034</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5,012</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4,050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Sparus Holdings, Inc. </w:t>
            </w:r>
            <w:r>
              <w:rPr>
                <w:rFonts w:ascii="Arial" w:cs="Arial" w:eastAsia="Arial" w:hAnsi="Arial"/>
                <w:sz w:val="18"/>
                <w:szCs w:val="18"/>
                <w:color w:val="auto"/>
                <w:vertAlign w:val="superscript"/>
              </w:rPr>
              <w:t>(3)</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Energy Services</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Subordinated Debt (9%</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34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640" w:type="dxa"/>
            <w:vAlign w:val="bottom"/>
            <w:shd w:val="clear" w:color="auto" w:fill="CCEEFF"/>
          </w:tcPr>
          <w:p>
            <w:pPr>
              <w:ind w:left="120"/>
              <w:spacing w:after="0" w:line="116" w:lineRule="exact"/>
              <w:rPr>
                <w:sz w:val="20"/>
                <w:szCs w:val="20"/>
                <w:color w:val="auto"/>
              </w:rPr>
            </w:pPr>
            <w:r>
              <w:rPr>
                <w:rFonts w:ascii="Arial" w:cs="Arial" w:eastAsia="Arial" w:hAnsi="Arial"/>
                <w:sz w:val="13"/>
                <w:szCs w:val="13"/>
                <w:color w:val="auto"/>
              </w:rPr>
              <w:t>Cash, 5% PIK, Due</w:t>
            </w:r>
          </w:p>
        </w:tc>
        <w:tc>
          <w:tcPr>
            <w:tcW w:w="5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3/21/16)</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8,108</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8,066</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6,523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Sparus Holdings, Inc.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Energy Services</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Series B Preferred Stock</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(5,703 shares)</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1,173</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Sparus Holdings, Inc.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Energy Services</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5"/>
              </w:rPr>
              <w:t>Common Stock Warrants</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(3,491 shares)</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14,251</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10,573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STX Healthcare Management Services,</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Dental Practice</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shd w:val="clear" w:color="auto" w:fill="CCEEFF"/>
          </w:tcPr>
          <w:p>
            <w:pPr>
              <w:spacing w:after="0" w:line="161" w:lineRule="exact"/>
              <w:rPr>
                <w:sz w:val="20"/>
                <w:szCs w:val="20"/>
                <w:color w:val="auto"/>
              </w:rPr>
            </w:pPr>
            <w:r>
              <w:rPr>
                <w:rFonts w:ascii="Arial" w:cs="Arial" w:eastAsia="Arial" w:hAnsi="Arial"/>
                <w:sz w:val="12"/>
                <w:szCs w:val="12"/>
                <w:color w:val="auto"/>
              </w:rPr>
              <w:t xml:space="preserve">Inc. </w:t>
            </w:r>
            <w:r>
              <w:rPr>
                <w:rFonts w:ascii="Arial" w:cs="Arial" w:eastAsia="Arial" w:hAnsi="Arial"/>
                <w:sz w:val="18"/>
                <w:szCs w:val="18"/>
                <w:color w:val="auto"/>
                <w:vertAlign w:val="superscript"/>
              </w:rPr>
              <w:t>(1)</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Management</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(12.5% Cash, Due</w:t>
            </w:r>
          </w:p>
        </w:tc>
        <w:tc>
          <w:tcPr>
            <w:tcW w:w="5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6,425</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6,425</w:t>
            </w:r>
          </w:p>
        </w:tc>
        <w:tc>
          <w:tcPr>
            <w:tcW w:w="42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color w:val="auto"/>
              </w:rPr>
              <w:t>6,425</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64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color w:val="auto"/>
              </w:rPr>
              <w:t>7/31/18)</w:t>
            </w:r>
          </w:p>
        </w:tc>
        <w:tc>
          <w:tcPr>
            <w:tcW w:w="56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STX Healthcare Management Services,</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Dental Practice</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Management</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(1,200,000 shares)</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1,200</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w:t>
            </w: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STX Healthcare Management Services,</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Dental Practice</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5"/>
              </w:rPr>
              <w:t>Common Stock Warrants</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Management</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(1,154,254 shares)</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218</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7,843</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7,826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TCE Holdings, Inc.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Oil &amp; Gas Services</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Subordinated Debt (12%</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2% PIK, Due</w:t>
            </w: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11/22/18)</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12,294</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12,294</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11,995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TCE Holdings, Inc.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Oil &amp; Gas Services</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Subordinated Debt (12%</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2% PIK, Due</w:t>
            </w: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11/22/18)</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9,796</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9,796</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9,516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TCE Holdings, Inc.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Oil &amp; Gas Services</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Common Stock</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(3,600 shares)</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3,600</w:t>
            </w:r>
          </w:p>
        </w:tc>
        <w:tc>
          <w:tcPr>
            <w:tcW w:w="4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2,650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25,690</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24,161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Data Processing &amp;</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Term</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Digital Marketing</w:t>
            </w:r>
          </w:p>
        </w:tc>
        <w:tc>
          <w:tcPr>
            <w:tcW w:w="1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Debt (15% PIK, Due</w:t>
            </w: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11/26/16)</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406</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406</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V12 Holdings, Inc. </w:t>
            </w:r>
            <w:r>
              <w:rPr>
                <w:rFonts w:ascii="Arial" w:cs="Arial" w:eastAsia="Arial" w:hAnsi="Arial"/>
                <w:sz w:val="18"/>
                <w:szCs w:val="18"/>
                <w:color w:val="auto"/>
                <w:vertAlign w:val="superscript"/>
              </w:rPr>
              <w:t>(1)</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Data Processing &amp;</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Bridge Note (0% Cash,</w:t>
            </w:r>
          </w:p>
        </w:tc>
        <w:tc>
          <w:tcPr>
            <w:tcW w:w="5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663</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361</w:t>
            </w:r>
          </w:p>
        </w:tc>
        <w:tc>
          <w:tcPr>
            <w:tcW w:w="4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3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56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Digital Marketing</w:t>
            </w:r>
          </w:p>
        </w:tc>
        <w:tc>
          <w:tcPr>
            <w:tcW w:w="164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Due 6/30/15)</w:t>
            </w:r>
          </w:p>
        </w:tc>
        <w:tc>
          <w:tcPr>
            <w:tcW w:w="56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V12 Holdings, Inc. </w:t>
            </w:r>
            <w:r>
              <w:rPr>
                <w:rFonts w:ascii="Arial" w:cs="Arial" w:eastAsia="Arial" w:hAnsi="Arial"/>
                <w:sz w:val="18"/>
                <w:szCs w:val="18"/>
                <w:color w:val="auto"/>
                <w:vertAlign w:val="superscript"/>
              </w:rPr>
              <w:t>(1)</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Data Processing &amp;</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Tier 2 Note (0% Cash,</w:t>
            </w:r>
          </w:p>
        </w:tc>
        <w:tc>
          <w:tcPr>
            <w:tcW w:w="5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44</w:t>
            </w:r>
          </w:p>
        </w:tc>
        <w:tc>
          <w:tcPr>
            <w:tcW w:w="4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3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56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Digital Marketing</w:t>
            </w:r>
          </w:p>
        </w:tc>
        <w:tc>
          <w:tcPr>
            <w:tcW w:w="164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Due 6/30/15)</w:t>
            </w:r>
          </w:p>
        </w:tc>
        <w:tc>
          <w:tcPr>
            <w:tcW w:w="56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V12 Holdings, Inc. </w:t>
            </w:r>
            <w:r>
              <w:rPr>
                <w:rFonts w:ascii="Arial" w:cs="Arial" w:eastAsia="Arial" w:hAnsi="Arial"/>
                <w:sz w:val="18"/>
                <w:szCs w:val="18"/>
                <w:color w:val="auto"/>
                <w:vertAlign w:val="superscript"/>
              </w:rPr>
              <w:t>(1)</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Data Processing &amp;</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Senior Subordinated</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340" w:type="dxa"/>
            <w:vAlign w:val="bottom"/>
            <w:shd w:val="clear" w:color="auto" w:fill="CCEEFF"/>
          </w:tcPr>
          <w:p>
            <w:pPr>
              <w:spacing w:after="0"/>
              <w:rPr>
                <w:sz w:val="10"/>
                <w:szCs w:val="10"/>
                <w:color w:val="auto"/>
              </w:rPr>
            </w:pPr>
          </w:p>
        </w:tc>
        <w:tc>
          <w:tcPr>
            <w:tcW w:w="1560" w:type="dxa"/>
            <w:vAlign w:val="bottom"/>
            <w:shd w:val="clear" w:color="auto" w:fill="CCEEFF"/>
          </w:tcPr>
          <w:p>
            <w:pPr>
              <w:ind w:left="60"/>
              <w:spacing w:after="0" w:line="116" w:lineRule="exact"/>
              <w:rPr>
                <w:sz w:val="20"/>
                <w:szCs w:val="20"/>
                <w:color w:val="auto"/>
              </w:rPr>
            </w:pPr>
            <w:r>
              <w:rPr>
                <w:rFonts w:ascii="Arial" w:cs="Arial" w:eastAsia="Arial" w:hAnsi="Arial"/>
                <w:sz w:val="13"/>
                <w:szCs w:val="13"/>
                <w:color w:val="auto"/>
              </w:rPr>
              <w:t>Digital Marketing</w:t>
            </w:r>
          </w:p>
        </w:tc>
        <w:tc>
          <w:tcPr>
            <w:tcW w:w="1640" w:type="dxa"/>
            <w:vAlign w:val="bottom"/>
            <w:shd w:val="clear" w:color="auto" w:fill="CCEEFF"/>
          </w:tcPr>
          <w:p>
            <w:pPr>
              <w:ind w:left="120"/>
              <w:spacing w:after="0" w:line="116" w:lineRule="exact"/>
              <w:rPr>
                <w:sz w:val="20"/>
                <w:szCs w:val="20"/>
                <w:color w:val="auto"/>
              </w:rPr>
            </w:pPr>
            <w:r>
              <w:rPr>
                <w:rFonts w:ascii="Arial" w:cs="Arial" w:eastAsia="Arial" w:hAnsi="Arial"/>
                <w:sz w:val="13"/>
                <w:szCs w:val="13"/>
                <w:color w:val="auto"/>
              </w:rPr>
              <w:t>Note (0% Cash, Due</w:t>
            </w:r>
          </w:p>
        </w:tc>
        <w:tc>
          <w:tcPr>
            <w:tcW w:w="5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6/30/15)</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3,563</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2,369</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3,563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V12 Holdings, Inc. </w:t>
            </w:r>
            <w:r>
              <w:rPr>
                <w:rFonts w:ascii="Arial" w:cs="Arial" w:eastAsia="Arial" w:hAnsi="Arial"/>
                <w:sz w:val="18"/>
                <w:szCs w:val="18"/>
                <w:color w:val="auto"/>
                <w:vertAlign w:val="superscript"/>
              </w:rPr>
              <w:t>(1)</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Data Processing &amp;</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Tier 3 Note (0% Cash,</w:t>
            </w:r>
          </w:p>
        </w:tc>
        <w:tc>
          <w:tcPr>
            <w:tcW w:w="5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299</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207</w:t>
            </w:r>
          </w:p>
        </w:tc>
        <w:tc>
          <w:tcPr>
            <w:tcW w:w="4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3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56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Digital Marketing</w:t>
            </w:r>
          </w:p>
        </w:tc>
        <w:tc>
          <w:tcPr>
            <w:tcW w:w="164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Due 6/30/15)</w:t>
            </w:r>
          </w:p>
        </w:tc>
        <w:tc>
          <w:tcPr>
            <w:tcW w:w="56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V12 Holdings, Inc. </w:t>
            </w:r>
            <w:r>
              <w:rPr>
                <w:rFonts w:ascii="Arial" w:cs="Arial" w:eastAsia="Arial" w:hAnsi="Arial"/>
                <w:sz w:val="18"/>
                <w:szCs w:val="18"/>
                <w:color w:val="auto"/>
                <w:vertAlign w:val="superscript"/>
              </w:rPr>
              <w:t>(1)</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Data Processing &amp;</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Jr. Subordinated Note</w:t>
            </w:r>
          </w:p>
        </w:tc>
        <w:tc>
          <w:tcPr>
            <w:tcW w:w="5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2,750</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color w:val="auto"/>
              </w:rPr>
              <w:t>2,750</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56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Digital Marketing</w:t>
            </w:r>
          </w:p>
        </w:tc>
        <w:tc>
          <w:tcPr>
            <w:tcW w:w="164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w w:val="99"/>
              </w:rPr>
              <w:t>(0% Cash, Due 6/30/15)</w:t>
            </w:r>
          </w:p>
        </w:tc>
        <w:tc>
          <w:tcPr>
            <w:tcW w:w="56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V12 Holdings, Inc. </w:t>
            </w:r>
            <w:r>
              <w:rPr>
                <w:rFonts w:ascii="Arial" w:cs="Arial" w:eastAsia="Arial" w:hAnsi="Arial"/>
                <w:sz w:val="18"/>
                <w:szCs w:val="18"/>
                <w:color w:val="auto"/>
                <w:vertAlign w:val="superscript"/>
              </w:rPr>
              <w:t>(1)</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Data Processing &amp;</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Tier 4 Note (0% Cash,</w:t>
            </w:r>
          </w:p>
        </w:tc>
        <w:tc>
          <w:tcPr>
            <w:tcW w:w="5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243</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3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56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color w:val="auto"/>
              </w:rPr>
              <w:t>Digital Marketing</w:t>
            </w:r>
          </w:p>
        </w:tc>
        <w:tc>
          <w:tcPr>
            <w:tcW w:w="164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Due 6/30/15)</w:t>
            </w:r>
          </w:p>
        </w:tc>
        <w:tc>
          <w:tcPr>
            <w:tcW w:w="56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Data Processing &amp;</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A-1 Preferred</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Digital Marketing</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(255,102 shares)</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Data Processing &amp;</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A-3 Preferred</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Digital Marketing</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(88,194 shares)</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Data Processing &amp;</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A-5 Preferred</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Digital Marketing</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(20,530 shares)</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Data Processing &amp;</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5"/>
              </w:rPr>
              <w:t>Common Stock Warrants</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Digital Marketing</w:t>
            </w: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(2,063,629 warrants)</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3,387</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8,005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 Total Affiliate investments</w:t>
            </w:r>
          </w:p>
        </w:tc>
        <w:tc>
          <w:tcPr>
            <w:tcW w:w="15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154,552</w:t>
            </w: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171,471</w:t>
            </w:r>
          </w:p>
        </w:tc>
        <w:tc>
          <w:tcPr>
            <w:tcW w:w="1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color w:val="auto"/>
              </w:rPr>
              <w:t>71.1</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3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- 30.0%</w:t>
            </w:r>
          </w:p>
        </w:tc>
        <w:tc>
          <w:tcPr>
            <w:tcW w:w="15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Computer Supply Retail</w:t>
            </w:r>
          </w:p>
        </w:tc>
        <w:tc>
          <w:tcPr>
            <w:tcW w:w="1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Term</w:t>
            </w: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Debt (12% Cash, 4%</w:t>
            </w: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PIK, Due 5/24/18)</w:t>
            </w:r>
          </w:p>
        </w:tc>
        <w:tc>
          <w:tcPr>
            <w:tcW w:w="5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10,587</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10,587</w:t>
            </w: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10,587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bl>
    <w:p>
      <w:pPr>
        <w:sectPr>
          <w:pgSz w:w="11900" w:h="16838" w:orient="portrait"/>
          <w:cols w:equalWidth="0" w:num="1">
            <w:col w:w="11420"/>
          </w:cols>
          <w:pgMar w:left="240" w:top="892"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CableOrganizer Acquisition, LLC</w:t>
            </w:r>
          </w:p>
        </w:tc>
        <w:tc>
          <w:tcPr>
            <w:tcW w:w="1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Computer Supply Retail</w:t>
            </w: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Stock</w:t>
            </w:r>
          </w:p>
        </w:tc>
        <w:tc>
          <w:tcPr>
            <w:tcW w:w="1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(1,125,000 shares)</w:t>
            </w:r>
          </w:p>
        </w:tc>
        <w:tc>
          <w:tcPr>
            <w:tcW w:w="1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1,125</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17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Computer Supply Retail</w:t>
            </w:r>
          </w:p>
        </w:tc>
        <w:tc>
          <w:tcPr>
            <w:tcW w:w="21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Warrants</w:t>
            </w:r>
          </w:p>
        </w:tc>
        <w:tc>
          <w:tcPr>
            <w:tcW w:w="1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(570,000 shares)</w:t>
            </w:r>
          </w:p>
        </w:tc>
        <w:tc>
          <w:tcPr>
            <w:tcW w:w="1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11,712</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11,984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18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KBP Investments, LLC </w:t>
            </w:r>
            <w:r>
              <w:rPr>
                <w:rFonts w:ascii="Arial" w:cs="Arial" w:eastAsia="Arial" w:hAnsi="Arial"/>
                <w:sz w:val="18"/>
                <w:szCs w:val="18"/>
                <w:color w:val="auto"/>
                <w:vertAlign w:val="superscript"/>
              </w:rPr>
              <w:t>(6)</w:t>
            </w:r>
          </w:p>
        </w:tc>
        <w:tc>
          <w:tcPr>
            <w:tcW w:w="1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QSR Franchisee</w:t>
            </w: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Class A Preferred Stock</w:t>
            </w:r>
          </w:p>
        </w:tc>
        <w:tc>
          <w:tcPr>
            <w:tcW w:w="1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2120" w:type="dxa"/>
            <w:vAlign w:val="bottom"/>
            <w:shd w:val="clear" w:color="auto" w:fill="CCEEFF"/>
          </w:tcPr>
          <w:p>
            <w:pPr>
              <w:ind w:left="120"/>
              <w:spacing w:after="0" w:line="116" w:lineRule="exact"/>
              <w:rPr>
                <w:sz w:val="20"/>
                <w:szCs w:val="20"/>
                <w:color w:val="auto"/>
              </w:rPr>
            </w:pPr>
            <w:r>
              <w:rPr>
                <w:rFonts w:ascii="Arial" w:cs="Arial" w:eastAsia="Arial" w:hAnsi="Arial"/>
                <w:sz w:val="13"/>
                <w:szCs w:val="13"/>
                <w:color w:val="auto"/>
              </w:rPr>
              <w:t>(8,270 shares, 10% Cash</w:t>
            </w:r>
          </w:p>
        </w:tc>
        <w:tc>
          <w:tcPr>
            <w:tcW w:w="11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w:t>
            </w:r>
          </w:p>
        </w:tc>
        <w:tc>
          <w:tcPr>
            <w:tcW w:w="1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8,269</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8,269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KBP Investments, LLC</w:t>
            </w:r>
          </w:p>
        </w:tc>
        <w:tc>
          <w:tcPr>
            <w:tcW w:w="17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QSR Franchisee</w:t>
            </w:r>
          </w:p>
        </w:tc>
        <w:tc>
          <w:tcPr>
            <w:tcW w:w="21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Common Stock</w:t>
            </w:r>
          </w:p>
        </w:tc>
        <w:tc>
          <w:tcPr>
            <w:tcW w:w="1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(380,413 shares)</w:t>
            </w:r>
          </w:p>
        </w:tc>
        <w:tc>
          <w:tcPr>
            <w:tcW w:w="1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9,196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8,269</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17,465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18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Market E's, LLC </w:t>
            </w:r>
            <w:r>
              <w:rPr>
                <w:rFonts w:ascii="Arial" w:cs="Arial" w:eastAsia="Arial" w:hAnsi="Arial"/>
                <w:sz w:val="18"/>
                <w:szCs w:val="18"/>
                <w:color w:val="auto"/>
                <w:vertAlign w:val="superscript"/>
              </w:rPr>
              <w:t>(1)</w:t>
            </w:r>
          </w:p>
        </w:tc>
        <w:tc>
          <w:tcPr>
            <w:tcW w:w="1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Online Travel Sales &amp;</w:t>
            </w: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Senior Secured Debt (0%</w:t>
            </w:r>
          </w:p>
        </w:tc>
        <w:tc>
          <w:tcPr>
            <w:tcW w:w="110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985</w:t>
            </w: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985</w:t>
            </w:r>
          </w:p>
        </w:tc>
        <w:tc>
          <w:tcPr>
            <w:tcW w:w="15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color w:val="auto"/>
              </w:rPr>
              <w:t>1,000</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172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Marketing</w:t>
            </w:r>
          </w:p>
        </w:tc>
        <w:tc>
          <w:tcPr>
            <w:tcW w:w="212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Cash, Due 12/31/16)</w:t>
            </w:r>
          </w:p>
        </w:tc>
        <w:tc>
          <w:tcPr>
            <w:tcW w:w="1100" w:type="dxa"/>
            <w:vAlign w:val="bottom"/>
            <w:vMerge w:val="continue"/>
            <w:shd w:val="clear" w:color="auto" w:fill="CCEEFF"/>
          </w:tcPr>
          <w:p>
            <w:pPr>
              <w:spacing w:after="0"/>
              <w:rPr>
                <w:sz w:val="11"/>
                <w:szCs w:val="11"/>
                <w:color w:val="auto"/>
              </w:rPr>
            </w:pPr>
          </w:p>
        </w:tc>
        <w:tc>
          <w:tcPr>
            <w:tcW w:w="1460" w:type="dxa"/>
            <w:vAlign w:val="bottom"/>
            <w:gridSpan w:val="2"/>
            <w:vMerge w:val="continue"/>
            <w:shd w:val="clear" w:color="auto" w:fill="CCEEFF"/>
          </w:tcPr>
          <w:p>
            <w:pPr>
              <w:spacing w:after="0"/>
              <w:rPr>
                <w:sz w:val="11"/>
                <w:szCs w:val="11"/>
                <w:color w:val="auto"/>
              </w:rPr>
            </w:pPr>
          </w:p>
        </w:tc>
        <w:tc>
          <w:tcPr>
            <w:tcW w:w="1560" w:type="dxa"/>
            <w:vAlign w:val="bottom"/>
            <w:gridSpan w:val="2"/>
            <w:vMerge w:val="continue"/>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18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Market E's, LLC </w:t>
            </w:r>
            <w:r>
              <w:rPr>
                <w:rFonts w:ascii="Arial" w:cs="Arial" w:eastAsia="Arial" w:hAnsi="Arial"/>
                <w:sz w:val="18"/>
                <w:szCs w:val="18"/>
                <w:color w:val="auto"/>
                <w:vertAlign w:val="superscript"/>
              </w:rPr>
              <w:t>(1)</w:t>
            </w:r>
          </w:p>
        </w:tc>
        <w:tc>
          <w:tcPr>
            <w:tcW w:w="1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Online Travel Sales &amp;</w:t>
            </w: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Subordinated Debt (0%</w:t>
            </w:r>
          </w:p>
        </w:tc>
        <w:tc>
          <w:tcPr>
            <w:tcW w:w="110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2,875</w:t>
            </w: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2,875</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3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172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Marketing</w:t>
            </w:r>
          </w:p>
        </w:tc>
        <w:tc>
          <w:tcPr>
            <w:tcW w:w="212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Cash, Due 12/31/16)</w:t>
            </w:r>
          </w:p>
        </w:tc>
        <w:tc>
          <w:tcPr>
            <w:tcW w:w="1100" w:type="dxa"/>
            <w:vAlign w:val="bottom"/>
            <w:vMerge w:val="continue"/>
            <w:shd w:val="clear" w:color="auto" w:fill="CCEEFF"/>
          </w:tcPr>
          <w:p>
            <w:pPr>
              <w:spacing w:after="0"/>
              <w:rPr>
                <w:sz w:val="11"/>
                <w:szCs w:val="11"/>
                <w:color w:val="auto"/>
              </w:rPr>
            </w:pPr>
          </w:p>
        </w:tc>
        <w:tc>
          <w:tcPr>
            <w:tcW w:w="1460" w:type="dxa"/>
            <w:vAlign w:val="bottom"/>
            <w:gridSpan w:val="2"/>
            <w:vMerge w:val="continue"/>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Market E's, LLC</w:t>
            </w:r>
          </w:p>
        </w:tc>
        <w:tc>
          <w:tcPr>
            <w:tcW w:w="17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Online Travel Sales &amp;</w:t>
            </w:r>
          </w:p>
        </w:tc>
        <w:tc>
          <w:tcPr>
            <w:tcW w:w="21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Preferred Stock</w:t>
            </w:r>
          </w:p>
        </w:tc>
        <w:tc>
          <w:tcPr>
            <w:tcW w:w="1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Marketing</w:t>
            </w: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(600 shares)</w:t>
            </w:r>
          </w:p>
        </w:tc>
        <w:tc>
          <w:tcPr>
            <w:tcW w:w="1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Market E's, LLC</w:t>
            </w:r>
          </w:p>
        </w:tc>
        <w:tc>
          <w:tcPr>
            <w:tcW w:w="17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Online Travel Sales &amp;</w:t>
            </w:r>
          </w:p>
        </w:tc>
        <w:tc>
          <w:tcPr>
            <w:tcW w:w="21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B Preferred Stock</w:t>
            </w:r>
          </w:p>
        </w:tc>
        <w:tc>
          <w:tcPr>
            <w:tcW w:w="1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Marketing</w:t>
            </w: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(2,411 shares)</w:t>
            </w:r>
          </w:p>
        </w:tc>
        <w:tc>
          <w:tcPr>
            <w:tcW w:w="1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965</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Market E's, LLC</w:t>
            </w:r>
          </w:p>
        </w:tc>
        <w:tc>
          <w:tcPr>
            <w:tcW w:w="17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Online Travel Sales &amp;</w:t>
            </w:r>
          </w:p>
        </w:tc>
        <w:tc>
          <w:tcPr>
            <w:tcW w:w="21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Common Stock</w:t>
            </w:r>
          </w:p>
        </w:tc>
        <w:tc>
          <w:tcPr>
            <w:tcW w:w="1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Marketing</w:t>
            </w: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(600 shares)</w:t>
            </w:r>
          </w:p>
        </w:tc>
        <w:tc>
          <w:tcPr>
            <w:tcW w:w="1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5,065</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1,750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Micro Precision, LLC</w:t>
            </w:r>
          </w:p>
        </w:tc>
        <w:tc>
          <w:tcPr>
            <w:tcW w:w="17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Conglomerate</w:t>
            </w:r>
          </w:p>
        </w:tc>
        <w:tc>
          <w:tcPr>
            <w:tcW w:w="21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(10%</w:t>
            </w:r>
          </w:p>
        </w:tc>
        <w:tc>
          <w:tcPr>
            <w:tcW w:w="1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Due 9/16/16)</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1,862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1,862</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1,862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Micro Precision, LLC</w:t>
            </w:r>
          </w:p>
        </w:tc>
        <w:tc>
          <w:tcPr>
            <w:tcW w:w="17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Conglomerate</w:t>
            </w:r>
          </w:p>
        </w:tc>
        <w:tc>
          <w:tcPr>
            <w:tcW w:w="21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(14%</w:t>
            </w:r>
          </w:p>
        </w:tc>
        <w:tc>
          <w:tcPr>
            <w:tcW w:w="1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4% PIK, Due</w:t>
            </w:r>
          </w:p>
        </w:tc>
        <w:tc>
          <w:tcPr>
            <w:tcW w:w="1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9/16/16)</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3,688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3,688</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3,688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Micro Precision, LLC</w:t>
            </w:r>
          </w:p>
        </w:tc>
        <w:tc>
          <w:tcPr>
            <w:tcW w:w="17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Conglomerate</w:t>
            </w:r>
          </w:p>
        </w:tc>
        <w:tc>
          <w:tcPr>
            <w:tcW w:w="21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A Preferred Units</w:t>
            </w:r>
          </w:p>
        </w:tc>
        <w:tc>
          <w:tcPr>
            <w:tcW w:w="1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(47 units)</w:t>
            </w:r>
          </w:p>
        </w:tc>
        <w:tc>
          <w:tcPr>
            <w:tcW w:w="1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1,629</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1,629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7,179</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7,179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7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Textile Equipment</w:t>
            </w:r>
          </w:p>
        </w:tc>
        <w:tc>
          <w:tcPr>
            <w:tcW w:w="21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Term</w:t>
            </w:r>
          </w:p>
        </w:tc>
        <w:tc>
          <w:tcPr>
            <w:tcW w:w="1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Manufacturer</w:t>
            </w: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Debt (17%, 3% PIK at</w:t>
            </w:r>
          </w:p>
        </w:tc>
        <w:tc>
          <w:tcPr>
            <w:tcW w:w="1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Company's option, Due</w:t>
            </w:r>
          </w:p>
        </w:tc>
        <w:tc>
          <w:tcPr>
            <w:tcW w:w="1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2/1/16)</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6,500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6,500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18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Navis Holdings, Inc. </w:t>
            </w:r>
            <w:r>
              <w:rPr>
                <w:rFonts w:ascii="Arial" w:cs="Arial" w:eastAsia="Arial" w:hAnsi="Arial"/>
                <w:sz w:val="18"/>
                <w:szCs w:val="18"/>
                <w:color w:val="auto"/>
                <w:vertAlign w:val="superscript"/>
              </w:rPr>
              <w:t>(6)</w:t>
            </w:r>
          </w:p>
        </w:tc>
        <w:tc>
          <w:tcPr>
            <w:tcW w:w="1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Textile Equipment</w:t>
            </w: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Class A Preferred Stock</w:t>
            </w:r>
          </w:p>
        </w:tc>
        <w:tc>
          <w:tcPr>
            <w:tcW w:w="1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1720" w:type="dxa"/>
            <w:vAlign w:val="bottom"/>
            <w:shd w:val="clear" w:color="auto" w:fill="CCEEFF"/>
          </w:tcPr>
          <w:p>
            <w:pPr>
              <w:ind w:left="220"/>
              <w:spacing w:after="0" w:line="116" w:lineRule="exact"/>
              <w:rPr>
                <w:sz w:val="20"/>
                <w:szCs w:val="20"/>
                <w:color w:val="auto"/>
              </w:rPr>
            </w:pPr>
            <w:r>
              <w:rPr>
                <w:rFonts w:ascii="Arial" w:cs="Arial" w:eastAsia="Arial" w:hAnsi="Arial"/>
                <w:sz w:val="13"/>
                <w:szCs w:val="13"/>
                <w:color w:val="auto"/>
              </w:rPr>
              <w:t>Manufacturer</w:t>
            </w:r>
          </w:p>
        </w:tc>
        <w:tc>
          <w:tcPr>
            <w:tcW w:w="2120" w:type="dxa"/>
            <w:vAlign w:val="bottom"/>
            <w:shd w:val="clear" w:color="auto" w:fill="CCEEFF"/>
          </w:tcPr>
          <w:p>
            <w:pPr>
              <w:ind w:left="120"/>
              <w:spacing w:after="0" w:line="116" w:lineRule="exact"/>
              <w:rPr>
                <w:sz w:val="20"/>
                <w:szCs w:val="20"/>
                <w:color w:val="auto"/>
              </w:rPr>
            </w:pPr>
            <w:r>
              <w:rPr>
                <w:rFonts w:ascii="Arial" w:cs="Arial" w:eastAsia="Arial" w:hAnsi="Arial"/>
                <w:sz w:val="13"/>
                <w:szCs w:val="13"/>
                <w:color w:val="auto"/>
              </w:rPr>
              <w:t>(1,000 shares, 10% Cash</w:t>
            </w:r>
          </w:p>
        </w:tc>
        <w:tc>
          <w:tcPr>
            <w:tcW w:w="11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w:t>
            </w:r>
          </w:p>
        </w:tc>
        <w:tc>
          <w:tcPr>
            <w:tcW w:w="1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17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Textile Equipment</w:t>
            </w:r>
          </w:p>
        </w:tc>
        <w:tc>
          <w:tcPr>
            <w:tcW w:w="21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(300,000</w:t>
            </w:r>
          </w:p>
        </w:tc>
        <w:tc>
          <w:tcPr>
            <w:tcW w:w="1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Manufacturer</w:t>
            </w: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1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3,077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7,501</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10,577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17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Fuel Transportation</w:t>
            </w:r>
          </w:p>
        </w:tc>
        <w:tc>
          <w:tcPr>
            <w:tcW w:w="21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(14%</w:t>
            </w:r>
          </w:p>
        </w:tc>
        <w:tc>
          <w:tcPr>
            <w:tcW w:w="1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7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Services</w:t>
            </w:r>
          </w:p>
        </w:tc>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4% PIK, Due</w:t>
            </w:r>
          </w:p>
        </w:tc>
        <w:tc>
          <w:tcPr>
            <w:tcW w:w="1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12/19/16)</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5,048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5,048</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4,783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17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Fuel Transportation</w:t>
            </w:r>
          </w:p>
        </w:tc>
        <w:tc>
          <w:tcPr>
            <w:tcW w:w="21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A Preferred Stock</w:t>
            </w:r>
          </w:p>
        </w:tc>
        <w:tc>
          <w:tcPr>
            <w:tcW w:w="1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Services</w:t>
            </w: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(32,782 shares)</w:t>
            </w:r>
          </w:p>
        </w:tc>
        <w:tc>
          <w:tcPr>
            <w:tcW w:w="1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3,278</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17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Fuel Transportation</w:t>
            </w:r>
          </w:p>
        </w:tc>
        <w:tc>
          <w:tcPr>
            <w:tcW w:w="21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B Preferred Stock</w:t>
            </w:r>
          </w:p>
        </w:tc>
        <w:tc>
          <w:tcPr>
            <w:tcW w:w="1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Services</w:t>
            </w: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(23,648 shares)</w:t>
            </w:r>
          </w:p>
        </w:tc>
        <w:tc>
          <w:tcPr>
            <w:tcW w:w="1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2,365</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17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Fuel Transportation</w:t>
            </w:r>
          </w:p>
        </w:tc>
        <w:tc>
          <w:tcPr>
            <w:tcW w:w="21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(33,107</w:t>
            </w:r>
          </w:p>
        </w:tc>
        <w:tc>
          <w:tcPr>
            <w:tcW w:w="1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Services</w:t>
            </w:r>
          </w:p>
        </w:tc>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1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10,724</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4,783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Print Direction, Inc.</w:t>
            </w:r>
          </w:p>
        </w:tc>
        <w:tc>
          <w:tcPr>
            <w:tcW w:w="1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Printing Services</w:t>
            </w:r>
          </w:p>
        </w:tc>
        <w:tc>
          <w:tcPr>
            <w:tcW w:w="2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Senior Secured Term</w:t>
            </w: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Debt (15% Cash, Due</w:t>
            </w:r>
          </w:p>
        </w:tc>
        <w:tc>
          <w:tcPr>
            <w:tcW w:w="1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2/24/19)</w:t>
            </w: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14,000</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14,000</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14,000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Print Direction, Inc.</w:t>
            </w:r>
          </w:p>
        </w:tc>
        <w:tc>
          <w:tcPr>
            <w:tcW w:w="144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Printing Services</w:t>
            </w:r>
          </w:p>
        </w:tc>
        <w:tc>
          <w:tcPr>
            <w:tcW w:w="22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Common Stock (19,363</w:t>
            </w:r>
          </w:p>
        </w:tc>
        <w:tc>
          <w:tcPr>
            <w:tcW w:w="1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shares)</w:t>
            </w: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2,990</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4,141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Print Direction, Inc.</w:t>
            </w:r>
          </w:p>
        </w:tc>
        <w:tc>
          <w:tcPr>
            <w:tcW w:w="144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Printing Services</w:t>
            </w:r>
          </w:p>
        </w:tc>
        <w:tc>
          <w:tcPr>
            <w:tcW w:w="22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Common Stock Warrants</w:t>
            </w:r>
          </w:p>
        </w:tc>
        <w:tc>
          <w:tcPr>
            <w:tcW w:w="1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(3% fully diluted)</w:t>
            </w:r>
          </w:p>
        </w:tc>
        <w:tc>
          <w:tcPr>
            <w:tcW w:w="1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16,990</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18,324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 Total Control investments</w:t>
            </w:r>
          </w:p>
        </w:tc>
        <w:tc>
          <w:tcPr>
            <w:tcW w:w="14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67,440</w:t>
            </w: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72,062</w:t>
            </w:r>
          </w:p>
        </w:tc>
        <w:tc>
          <w:tcPr>
            <w:tcW w:w="1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color w:val="auto"/>
              </w:rPr>
              <w:t>30.0</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INVESTMENTS -199.4%</w:t>
            </w:r>
          </w:p>
        </w:tc>
        <w:tc>
          <w:tcPr>
            <w:tcW w:w="14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441,155</w:t>
            </w: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480,337</w:t>
            </w:r>
          </w:p>
        </w:tc>
        <w:tc>
          <w:tcPr>
            <w:tcW w:w="1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color w:val="auto"/>
              </w:rPr>
              <w:t>199.4</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PIK Non-Accrual Investment.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Percentages are based on net assets of $240,837 as of December 31, 2014.</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equity investment has an exercisable put option.</w:t>
      </w:r>
    </w:p>
    <w:p>
      <w:pPr>
        <w:spacing w:after="0" w:line="9" w:lineRule="exact"/>
        <w:rPr>
          <w:rFonts w:ascii="Arial" w:cs="Arial" w:eastAsia="Arial" w:hAnsi="Arial"/>
          <w:sz w:val="18"/>
          <w:szCs w:val="18"/>
          <w:color w:val="auto"/>
        </w:rPr>
      </w:pPr>
    </w:p>
    <w:p>
      <w:pPr>
        <w:ind w:left="340" w:hanging="332"/>
        <w:spacing w:after="0" w:line="281"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 $0.6 million unfunded commitment.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 $10.0 million unfunded commitment.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currently paying 17% cash rate due to covenant non-compliance.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We are an “emerging growth company” within the meaning of the Jumpstart Our Business Startups Act of 2012 (the “JOBS Act”), and as such, are subject to reduced public company reporting requirements. We commenced operations on May 24, 2013 and completed our initial public offering (“IPO”) on September 30, 2013. The Company is managed by Capitala Investment Advisors, LLC (the “Investment Advisor”), an investment adviser that is registered as an investment adviser under the Investment Advisers Act of 1940, as amended (the “Advisers Act”), and Capitala Advisors Corp. (the “Administrator”) provides the administrative services necessary for us to operate. For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182" w:lineRule="exact"/>
        <w:rPr>
          <w:sz w:val="20"/>
          <w:szCs w:val="20"/>
          <w:color w:val="auto"/>
        </w:rPr>
      </w:pPr>
    </w:p>
    <w:p>
      <w:pPr>
        <w:ind w:right="100" w:firstLine="881"/>
        <w:spacing w:after="0" w:line="297" w:lineRule="auto"/>
        <w:rPr>
          <w:sz w:val="20"/>
          <w:szCs w:val="20"/>
          <w:color w:val="auto"/>
        </w:rPr>
      </w:pPr>
      <w:r>
        <w:rPr>
          <w:rFonts w:ascii="Arial" w:cs="Arial" w:eastAsia="Arial" w:hAnsi="Arial"/>
          <w:sz w:val="16"/>
          <w:szCs w:val="16"/>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smaller and lower middle market companies.</w:t>
      </w:r>
    </w:p>
    <w:p>
      <w:pPr>
        <w:spacing w:after="0" w:line="158" w:lineRule="exact"/>
        <w:rPr>
          <w:sz w:val="20"/>
          <w:szCs w:val="20"/>
          <w:color w:val="auto"/>
        </w:rPr>
      </w:pPr>
    </w:p>
    <w:p>
      <w:pPr>
        <w:ind w:right="20" w:firstLine="881"/>
        <w:spacing w:after="0" w:line="297" w:lineRule="auto"/>
        <w:rPr>
          <w:sz w:val="20"/>
          <w:szCs w:val="20"/>
          <w:color w:val="auto"/>
        </w:rPr>
      </w:pPr>
      <w:r>
        <w:rPr>
          <w:rFonts w:ascii="Arial" w:cs="Arial" w:eastAsia="Arial" w:hAnsi="Arial"/>
          <w:sz w:val="16"/>
          <w:szCs w:val="16"/>
          <w:color w:val="auto"/>
        </w:rPr>
        <w:t>The Company’s investment objective is to generate both current income and capital appreciation through debt and equity investments. Both directly and through our subsidiaries that are licensed by the U.S. Small Business Administration (“SBA”) under the Small Business Investment Company (“SBIC”) Act, we offer customized financing to business owners, management teams and financial sponsors for change of ownership transactions, recapitalizations, strategic acquisitions, business expansion and other growth initiatives. We invest primarily in traditional mezzanine, senior subordinated and unitranche debt, as well as senior and second-lien loans and, to a lesser extent, equity securities issued by lower middle market and middle-market companies.</w:t>
      </w:r>
    </w:p>
    <w:p>
      <w:pPr>
        <w:spacing w:after="0" w:line="158" w:lineRule="exact"/>
        <w:rPr>
          <w:sz w:val="20"/>
          <w:szCs w:val="20"/>
          <w:color w:val="auto"/>
        </w:rPr>
      </w:pPr>
    </w:p>
    <w:p>
      <w:pPr>
        <w:ind w:firstLine="881"/>
        <w:spacing w:after="0" w:line="286"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wholly-owned subsidiaries. Fund II and Fund III retained their SBIC licenses and continue to hold their existing investments and continue to make new investments. The IPO consisted of the sale of</w:t>
      </w:r>
    </w:p>
    <w:p>
      <w:pPr>
        <w:spacing w:after="0" w:line="2" w:lineRule="exact"/>
        <w:rPr>
          <w:sz w:val="20"/>
          <w:szCs w:val="20"/>
          <w:color w:val="auto"/>
        </w:rPr>
      </w:pPr>
    </w:p>
    <w:p>
      <w:pPr>
        <w:jc w:val="both"/>
        <w:ind w:right="160"/>
        <w:spacing w:after="0" w:line="277" w:lineRule="auto"/>
        <w:rPr>
          <w:sz w:val="20"/>
          <w:szCs w:val="20"/>
          <w:color w:val="auto"/>
        </w:rPr>
      </w:pPr>
      <w:r>
        <w:rPr>
          <w:rFonts w:ascii="Arial" w:cs="Arial" w:eastAsia="Arial" w:hAnsi="Arial"/>
          <w:sz w:val="17"/>
          <w:szCs w:val="17"/>
          <w:color w:val="auto"/>
        </w:rPr>
        <w:t>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As of March 31, 2015, the Company had 12,977,242 shares of common stock outstanding.</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923"/>
        <w:spacing w:after="0" w:line="269" w:lineRule="auto"/>
        <w:rPr>
          <w:sz w:val="20"/>
          <w:szCs w:val="20"/>
          <w:color w:val="auto"/>
        </w:rPr>
      </w:pPr>
      <w:r>
        <w:rPr>
          <w:rFonts w:ascii="Arial" w:cs="Arial" w:eastAsia="Arial" w:hAnsi="Arial"/>
          <w:sz w:val="17"/>
          <w:szCs w:val="17"/>
          <w:color w:val="auto"/>
        </w:rPr>
        <w:t>The accompanying unaudited financial statements have been prepared in conformity with United States generally accepted accounting principles (“U.S. GAAP”) for interim financial information and pursuant to the requirements for reporting on Form 10-Q and Article 10 and Article 6 of Regulation S-X. Accordingly, certain disclosures accompanying annual consolidated financial statements prepared in accordance with U.S. GAAP are omitted. In the opinion of management, all adjustments, consisting solely of normal recurring adjustments necessary for the fair presentation of financial statements for the interim periods, have been reflected in the unaudited consolidated financial statements. 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period ended December 31, 2014, filed with the U.S Securities and Exchange Commission (“SEC”) on March 4, 2015. Financial statements prepared on a U.S. GAAP basis require management to make estimates and assumptions that affect the amounts and disclosures reported in the consolidated financial statements and accompanying notes. Such estimates and assumptions could change in the future as more information becomes known, which could impact the amounts reported and disclosed herein.</w:t>
      </w:r>
    </w:p>
    <w:p>
      <w:pPr>
        <w:spacing w:after="0" w:line="183"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 xml:space="preserve">The Company is considered an investment company as defined in ASC Topic 946 </w:t>
      </w:r>
      <w:r>
        <w:rPr>
          <w:rFonts w:ascii="Arial" w:cs="Arial" w:eastAsia="Arial" w:hAnsi="Arial"/>
          <w:sz w:val="18"/>
          <w:szCs w:val="18"/>
          <w:i w:val="1"/>
          <w:iCs w:val="1"/>
          <w:color w:val="auto"/>
        </w:rPr>
        <w:t>– Financial Services – Investment Companies</w:t>
      </w:r>
      <w:r>
        <w:rPr>
          <w:rFonts w:ascii="Arial" w:cs="Arial" w:eastAsia="Arial" w:hAnsi="Arial"/>
          <w:sz w:val="18"/>
          <w:szCs w:val="18"/>
          <w:color w:val="auto"/>
        </w:rPr>
        <w:t>. Accordingly, the required disclosures as outlined in the Accounting Standards Updates are included in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financial statements are investment valuation, revenue recognition, and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ind w:right="160" w:firstLine="881"/>
        <w:spacing w:after="0" w:line="257" w:lineRule="auto"/>
        <w:rPr>
          <w:sz w:val="20"/>
          <w:szCs w:val="20"/>
          <w:color w:val="auto"/>
        </w:rPr>
      </w:pPr>
      <w:r>
        <w:rPr>
          <w:rFonts w:ascii="Arial" w:cs="Arial" w:eastAsia="Arial" w:hAnsi="Arial"/>
          <w:sz w:val="18"/>
          <w:szCs w:val="18"/>
          <w:color w:val="auto"/>
        </w:rPr>
        <w:t xml:space="preserve">As provided under Regulation S-X and ASC Topic 946 </w:t>
      </w:r>
      <w:r>
        <w:rPr>
          <w:rFonts w:ascii="Arial" w:cs="Arial" w:eastAsia="Arial" w:hAnsi="Arial"/>
          <w:sz w:val="18"/>
          <w:szCs w:val="18"/>
          <w:i w:val="1"/>
          <w:iCs w:val="1"/>
          <w:color w:val="auto"/>
        </w:rPr>
        <w:t>– Financial Services – Investment Companies</w:t>
      </w:r>
      <w:r>
        <w:rPr>
          <w:rFonts w:ascii="Arial" w:cs="Arial" w:eastAsia="Arial" w:hAnsi="Arial"/>
          <w:sz w:val="18"/>
          <w:szCs w:val="18"/>
          <w:color w:val="auto"/>
        </w:rPr>
        <w:t>,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subsidiaries in its consolidated financial statements. The Company does not consolidate its non-controlling interest in Capitala Senior Liquid Loan Fund I, LLC (“CSLLF”). See Note 4 for further description of the Company’s investment in CSLLF.</w:t>
      </w:r>
    </w:p>
    <w:p>
      <w:pPr>
        <w:spacing w:after="0" w:line="188" w:lineRule="exact"/>
        <w:rPr>
          <w:sz w:val="20"/>
          <w:szCs w:val="20"/>
          <w:color w:val="auto"/>
        </w:rPr>
      </w:pPr>
    </w:p>
    <w:p>
      <w:pPr>
        <w:ind w:firstLine="881"/>
        <w:spacing w:after="0" w:line="302" w:lineRule="auto"/>
        <w:rPr>
          <w:sz w:val="20"/>
          <w:szCs w:val="20"/>
          <w:color w:val="auto"/>
        </w:rPr>
      </w:pPr>
      <w:r>
        <w:rPr>
          <w:rFonts w:ascii="Arial" w:cs="Arial" w:eastAsia="Arial" w:hAnsi="Arial"/>
          <w:sz w:val="16"/>
          <w:szCs w:val="16"/>
          <w:color w:val="auto"/>
        </w:rPr>
        <w:t>The Company’s financial position as of March 31, 2015 is presented on a consolidated basis. The effects of all intercompany transactions between the Company and its subsidiaries (Fund II, Fund III, and the Florida Sidecar)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In accordance with ASC Topic 280 –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has determined that it has a single reporting segment and operating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structure.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right="100" w:firstLine="881"/>
        <w:spacing w:after="0" w:line="264" w:lineRule="auto"/>
        <w:rPr>
          <w:sz w:val="20"/>
          <w:szCs w:val="20"/>
          <w:color w:val="auto"/>
        </w:rPr>
      </w:pPr>
      <w:r>
        <w:rPr>
          <w:rFonts w:ascii="Arial" w:cs="Arial" w:eastAsia="Arial" w:hAnsi="Arial"/>
          <w:sz w:val="18"/>
          <w:szCs w:val="18"/>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(“FDIC”) insurance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229" w:lineRule="exact"/>
        <w:rPr>
          <w:sz w:val="20"/>
          <w:szCs w:val="20"/>
          <w:color w:val="auto"/>
        </w:rPr>
      </w:pPr>
    </w:p>
    <w:p>
      <w:pPr>
        <w:ind w:right="140" w:firstLine="881"/>
        <w:spacing w:after="0" w:line="291" w:lineRule="auto"/>
        <w:rPr>
          <w:sz w:val="20"/>
          <w:szCs w:val="20"/>
          <w:color w:val="auto"/>
        </w:rPr>
      </w:pPr>
      <w:r>
        <w:rPr>
          <w:rFonts w:ascii="Arial" w:cs="Arial" w:eastAsia="Arial" w:hAnsi="Arial"/>
          <w:sz w:val="16"/>
          <w:szCs w:val="16"/>
          <w:color w:val="auto"/>
        </w:rPr>
        <w:t>In accordance with the provisions of the 1940 Act, the Company classifies investment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p>
      <w:pPr>
        <w:ind w:left="100"/>
        <w:spacing w:after="0"/>
        <w:rPr>
          <w:sz w:val="20"/>
          <w:szCs w:val="20"/>
          <w:color w:val="auto"/>
        </w:rPr>
      </w:pPr>
      <w:r>
        <w:rPr>
          <w:rFonts w:ascii="Arial" w:cs="Arial" w:eastAsia="Arial" w:hAnsi="Arial"/>
          <w:sz w:val="18"/>
          <w:szCs w:val="18"/>
          <w:b w:val="1"/>
          <w:bCs w:val="1"/>
          <w:color w:val="auto"/>
        </w:rPr>
        <w:t>Valuation of Investments</w:t>
      </w:r>
    </w:p>
    <w:p>
      <w:pPr>
        <w:spacing w:after="0" w:line="229"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(“ASC 820”). ASC 820 defines fair value, establishes a framework used to measure fair value and requires disclosures for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measurements. In accordance with ASC 820, the Company has categorized its financial instruments carried at fair value, based on the priority of the valuation technique, into a three-level fair value hierarchy as discussed in Note 4.</w:t>
      </w:r>
    </w:p>
    <w:p>
      <w:pPr>
        <w:spacing w:after="0" w:line="187" w:lineRule="exact"/>
        <w:rPr>
          <w:sz w:val="20"/>
          <w:szCs w:val="20"/>
          <w:color w:val="auto"/>
        </w:rPr>
      </w:pPr>
    </w:p>
    <w:p>
      <w:pPr>
        <w:ind w:right="200" w:firstLine="881"/>
        <w:spacing w:after="0" w:line="259" w:lineRule="auto"/>
        <w:rPr>
          <w:sz w:val="20"/>
          <w:szCs w:val="20"/>
          <w:color w:val="auto"/>
        </w:rPr>
      </w:pPr>
      <w:r>
        <w:rPr>
          <w:rFonts w:ascii="Arial" w:cs="Arial" w:eastAsia="Arial" w:hAnsi="Arial"/>
          <w:sz w:val="18"/>
          <w:szCs w:val="18"/>
          <w:color w:val="auto"/>
        </w:rPr>
        <w:t>In determining fair value, our Board of Directors (the “Board”) uses various valuation approaches, and engages a third-party valuation firm, which provides an independent valuation of certain investments. In accordance with U.S. GAAP, a fair value hierarchy for inputs is used in measuring fair value that maximizes the use of observable inputs and minimizes the use of unobservable inputs and minimizes the use of unobservable inputs by requiring that the most observable inputs be used when available.</w:t>
      </w:r>
    </w:p>
    <w:p>
      <w:pPr>
        <w:spacing w:after="0" w:line="187" w:lineRule="exact"/>
        <w:rPr>
          <w:sz w:val="20"/>
          <w:szCs w:val="20"/>
          <w:color w:val="auto"/>
        </w:rPr>
      </w:pPr>
    </w:p>
    <w:p>
      <w:pPr>
        <w:ind w:right="80" w:firstLine="881"/>
        <w:spacing w:after="0" w:line="264"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181" w:lineRule="exact"/>
        <w:rPr>
          <w:sz w:val="20"/>
          <w:szCs w:val="20"/>
          <w:color w:val="auto"/>
        </w:rPr>
      </w:pPr>
    </w:p>
    <w:p>
      <w:pPr>
        <w:ind w:firstLine="881"/>
        <w:spacing w:after="0" w:line="289" w:lineRule="auto"/>
        <w:rPr>
          <w:sz w:val="20"/>
          <w:szCs w:val="20"/>
          <w:color w:val="auto"/>
        </w:rPr>
      </w:pPr>
      <w:r>
        <w:rPr>
          <w:rFonts w:ascii="Arial" w:cs="Arial" w:eastAsia="Arial" w:hAnsi="Arial"/>
          <w:sz w:val="16"/>
          <w:szCs w:val="16"/>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(as defined below).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67"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ind w:right="280" w:firstLine="881"/>
        <w:spacing w:after="0" w:line="312" w:lineRule="auto"/>
        <w:rPr>
          <w:sz w:val="20"/>
          <w:szCs w:val="20"/>
          <w:color w:val="auto"/>
        </w:rPr>
      </w:pPr>
      <w:r>
        <w:rPr>
          <w:rFonts w:ascii="Arial" w:cs="Arial" w:eastAsia="Arial" w:hAnsi="Arial"/>
          <w:sz w:val="16"/>
          <w:szCs w:val="16"/>
          <w:color w:val="auto"/>
        </w:rPr>
        <w:t>In estimating fair value of portfolio investments, the Company starts with the cost basis of the investment, which includes amortized original issue discount and payment-in-kind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47" w:lineRule="exact"/>
        <w:rPr>
          <w:sz w:val="20"/>
          <w:szCs w:val="20"/>
          <w:color w:val="auto"/>
        </w:rPr>
      </w:pPr>
    </w:p>
    <w:p>
      <w:pPr>
        <w:jc w:val="both"/>
        <w:ind w:right="100" w:firstLine="881"/>
        <w:spacing w:after="0" w:line="264" w:lineRule="auto"/>
        <w:rPr>
          <w:sz w:val="20"/>
          <w:szCs w:val="20"/>
          <w:color w:val="auto"/>
        </w:rPr>
      </w:pPr>
      <w:r>
        <w:rPr>
          <w:rFonts w:ascii="Arial" w:cs="Arial" w:eastAsia="Arial" w:hAnsi="Arial"/>
          <w:sz w:val="18"/>
          <w:szCs w:val="18"/>
          <w:color w:val="auto"/>
        </w:rPr>
        <w:t>As a practical expedient, the Company uses the net asset value (“NAV”) as the fair value for CSLLF. CSLLF records its underlying investments at fair value on a daily basis utilizing pricing information from third-party sources. Management may perform model-based analytical valuations in instances where an investment is considered illiquid or for which pricing is not available from third-party sources.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valuation methodologies are utilized by the company in estimating fair value and are summarized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4"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ind w:right="40" w:firstLine="881"/>
        <w:spacing w:after="0" w:line="270"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78"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ind w:right="20" w:firstLine="881"/>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ind w:right="80" w:firstLine="881"/>
        <w:spacing w:after="0" w:line="312" w:lineRule="auto"/>
        <w:rPr>
          <w:sz w:val="20"/>
          <w:szCs w:val="20"/>
          <w:color w:val="auto"/>
        </w:rPr>
      </w:pPr>
      <w:r>
        <w:rPr>
          <w:rFonts w:ascii="Arial" w:cs="Arial" w:eastAsia="Arial" w:hAnsi="Arial"/>
          <w:sz w:val="16"/>
          <w:szCs w:val="16"/>
          <w:color w:val="auto"/>
        </w:rPr>
        <w:t>The asset approach values an investment based on the greater of the enterprise value or the underlying collateral securing the investment. See discussion of determining enterprise value above. This approach is used when the debt is not performing in accordance with its contractual terms or when the Company has reason to believe that it will not collect all principal and interest in accordance with the contractual terms of the debt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ind w:right="80" w:firstLine="881"/>
        <w:spacing w:after="0" w:line="302" w:lineRule="auto"/>
        <w:rPr>
          <w:sz w:val="20"/>
          <w:szCs w:val="20"/>
          <w:color w:val="auto"/>
        </w:rPr>
      </w:pPr>
      <w:r>
        <w:rPr>
          <w:rFonts w:ascii="Arial" w:cs="Arial" w:eastAsia="Arial" w:hAnsi="Arial"/>
          <w:sz w:val="16"/>
          <w:szCs w:val="16"/>
          <w:i w:val="1"/>
          <w:iCs w:val="1"/>
          <w:color w:val="auto"/>
        </w:rPr>
        <w:t xml:space="preserve">Interest income and paid-in-kind interest income: </w:t>
      </w:r>
      <w:r>
        <w:rPr>
          <w:rFonts w:ascii="Arial" w:cs="Arial" w:eastAsia="Arial" w:hAnsi="Arial"/>
          <w:sz w:val="16"/>
          <w:szCs w:val="16"/>
          <w:color w:val="auto"/>
        </w:rPr>
        <w:t>Interest income is recorded on the accrual basis to the extent that such amounts are expected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collected. The Company has loans in the portfolio that contain a payment-in-kind (“PIK”)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54" w:lineRule="exact"/>
        <w:rPr>
          <w:sz w:val="20"/>
          <w:szCs w:val="20"/>
          <w:color w:val="auto"/>
        </w:rPr>
      </w:pPr>
    </w:p>
    <w:p>
      <w:pPr>
        <w:ind w:right="140" w:firstLine="881"/>
        <w:spacing w:after="0" w:line="271" w:lineRule="auto"/>
        <w:rPr>
          <w:sz w:val="20"/>
          <w:szCs w:val="20"/>
          <w:color w:val="auto"/>
        </w:rPr>
      </w:pPr>
      <w:r>
        <w:rPr>
          <w:rFonts w:ascii="Arial" w:cs="Arial" w:eastAsia="Arial" w:hAnsi="Arial"/>
          <w:sz w:val="17"/>
          <w:szCs w:val="17"/>
          <w:i w:val="1"/>
          <w:iCs w:val="1"/>
          <w:color w:val="auto"/>
        </w:rPr>
        <w:t xml:space="preserve">Non-accrual income: </w:t>
      </w:r>
      <w:r>
        <w:rPr>
          <w:rFonts w:ascii="Arial" w:cs="Arial" w:eastAsia="Arial" w:hAnsi="Arial"/>
          <w:sz w:val="17"/>
          <w:szCs w:val="17"/>
          <w:color w:val="auto"/>
        </w:rPr>
        <w:t>Generally, when interest and/or principal payments on a loan become 90 days or more past due, or if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24" w:name="page25"/>
    <w:bookmarkEnd w:id="24"/>
    <w:p>
      <w:pPr>
        <w:ind w:left="88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Dividend income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reversed in the event that a previously declared dividend is no longer expected to be paid by the portfolio company. The Company holds preferred 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collection of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ind w:right="40" w:firstLine="881"/>
        <w:spacing w:after="0" w:line="308" w:lineRule="auto"/>
        <w:rPr>
          <w:sz w:val="20"/>
          <w:szCs w:val="20"/>
          <w:color w:val="auto"/>
        </w:rPr>
      </w:pPr>
      <w:r>
        <w:rPr>
          <w:rFonts w:ascii="Arial" w:cs="Arial" w:eastAsia="Arial" w:hAnsi="Arial"/>
          <w:sz w:val="17"/>
          <w:szCs w:val="17"/>
          <w:i w:val="1"/>
          <w:iCs w:val="1"/>
          <w:color w:val="auto"/>
        </w:rPr>
        <w:t xml:space="preserve">Original issue discount/premiums: </w:t>
      </w:r>
      <w:r>
        <w:rPr>
          <w:rFonts w:ascii="Arial" w:cs="Arial" w:eastAsia="Arial" w:hAnsi="Arial"/>
          <w:sz w:val="17"/>
          <w:szCs w:val="17"/>
          <w:color w:val="auto"/>
        </w:rPr>
        <w:t>Discounts/premiums received to par on loans purchased are capitalized and accreted or amortized into income</w:t>
      </w:r>
      <w:r>
        <w:rPr>
          <w:rFonts w:ascii="Arial" w:cs="Arial" w:eastAsia="Arial" w:hAnsi="Arial"/>
          <w:sz w:val="17"/>
          <w:szCs w:val="17"/>
          <w:i w:val="1"/>
          <w:iCs w:val="1"/>
          <w:color w:val="auto"/>
        </w:rPr>
        <w:t xml:space="preserve"> </w:t>
      </w:r>
      <w:r>
        <w:rPr>
          <w:rFonts w:ascii="Arial" w:cs="Arial" w:eastAsia="Arial" w:hAnsi="Arial"/>
          <w:sz w:val="17"/>
          <w:szCs w:val="17"/>
          <w:color w:val="auto"/>
        </w:rPr>
        <w:t>over the life of the loan. Any remaining discount/premium is accreted or amortized into income upon prepayment of the loan.</w:t>
      </w:r>
    </w:p>
    <w:p>
      <w:pPr>
        <w:spacing w:after="0" w:line="147" w:lineRule="exact"/>
        <w:rPr>
          <w:sz w:val="20"/>
          <w:szCs w:val="20"/>
          <w:color w:val="auto"/>
        </w:rPr>
      </w:pPr>
    </w:p>
    <w:p>
      <w:pPr>
        <w:ind w:right="240" w:firstLine="881"/>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amendment, consent, closing and/or commitment fees associated with investments in portfolio companies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as income when the investment transaction closes. Prepayment penalties received by the Company for debt instruments repaid prior to maturity date are recorded as income upon receipt.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General and administrative expenses are accrued as incurred. The Company’s administrative expenses include personnel and overheard expenses allocable to the Company under the Administration Agreement and are disclosed in the statement of operations under the header “administrative expenses.” Other operating expenses such as legal and audit fees, director fees, director and officer insurance, and other expenses are disclosed in the statement of operations under the header “other operating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Fees</w:t>
      </w:r>
    </w:p>
    <w:p>
      <w:pPr>
        <w:spacing w:after="0" w:line="229"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Costs incurred to issue the Company’s debt obligations are capitalized and are amortized over the term of the debt agreements under the effective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380" w:firstLine="881"/>
        <w:spacing w:after="0" w:line="286" w:lineRule="auto"/>
        <w:rPr>
          <w:sz w:val="20"/>
          <w:szCs w:val="20"/>
          <w:color w:val="auto"/>
        </w:rPr>
      </w:pPr>
      <w:r>
        <w:rPr>
          <w:rFonts w:ascii="Arial" w:cs="Arial" w:eastAsia="Arial" w:hAnsi="Arial"/>
          <w:sz w:val="17"/>
          <w:szCs w:val="17"/>
          <w:color w:val="auto"/>
        </w:rPr>
        <w:t>As of March 31, 2015 and December 31, 2014, the Company had outstanding unfunded commitments related to debt investments in existing portfolio companies of $6.5 million and $10.6 million, respectively. As of March 31, 2015 and December 31, 2014, the Company also had unfunded commitments related to its equity investment in Capitala Senior Liquid Loan Fund I, LLC of $10.0 million and $0.0 million, respectively.</w:t>
      </w:r>
    </w:p>
    <w:p>
      <w:pPr>
        <w:spacing w:after="0" w:line="166" w:lineRule="exact"/>
        <w:rPr>
          <w:sz w:val="20"/>
          <w:szCs w:val="20"/>
          <w:color w:val="auto"/>
        </w:rPr>
      </w:pPr>
    </w:p>
    <w:p>
      <w:pPr>
        <w:ind w:right="280" w:firstLine="881"/>
        <w:spacing w:after="0" w:line="264" w:lineRule="auto"/>
        <w:rPr>
          <w:sz w:val="20"/>
          <w:szCs w:val="20"/>
          <w:color w:val="auto"/>
        </w:rPr>
      </w:pPr>
      <w:r>
        <w:rPr>
          <w:rFonts w:ascii="Arial" w:cs="Arial" w:eastAsia="Arial" w:hAnsi="Arial"/>
          <w:sz w:val="18"/>
          <w:szCs w:val="18"/>
          <w:color w:val="auto"/>
        </w:rPr>
        <w:t>In the ordinary course of its business, the Company may enter into contracts or agreements that contain indemnifications or warranties. Future events could occur that lead to the execution of these provisions against the Company. Based on its history and experience, management feels that the likelihood of such an event is remote.</w:t>
      </w:r>
    </w:p>
    <w:p>
      <w:pPr>
        <w:spacing w:after="0" w:line="181"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As of March 31, 2015, resolution of any outstanding claims is not expected to materially affect the Company’s business, financial position, results of operation, or liquidity.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firstLine="881"/>
        <w:spacing w:after="0" w:line="286" w:lineRule="auto"/>
        <w:rPr>
          <w:sz w:val="20"/>
          <w:szCs w:val="20"/>
          <w:color w:val="auto"/>
        </w:rPr>
      </w:pPr>
      <w:r>
        <w:rPr>
          <w:rFonts w:ascii="Arial" w:cs="Arial" w:eastAsia="Arial" w:hAnsi="Arial"/>
          <w:sz w:val="17"/>
          <w:szCs w:val="17"/>
          <w:color w:val="auto"/>
        </w:rPr>
        <w:t>The Company has elected to be treated for U.S. federal income tax purposes, and intends to comply with the requirement to qualify annually thereafter, as a RIC under Subchapter M of the Code and, among other things, intends to make the requisite distributions to its stockholders which will relieve the Company from U.S. federal income taxes. Therefore, no provision has been recorded for U.S. federal income taxes.</w:t>
      </w:r>
    </w:p>
    <w:p>
      <w:pPr>
        <w:spacing w:after="0" w:line="166"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120" w:firstLine="881"/>
        <w:spacing w:after="0" w:line="279" w:lineRule="auto"/>
        <w:rPr>
          <w:sz w:val="20"/>
          <w:szCs w:val="20"/>
          <w:color w:val="auto"/>
        </w:rPr>
      </w:pPr>
      <w:r>
        <w:rPr>
          <w:rFonts w:ascii="Arial" w:cs="Arial" w:eastAsia="Arial" w:hAnsi="Arial"/>
          <w:sz w:val="17"/>
          <w:szCs w:val="17"/>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71"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right="80" w:firstLine="881"/>
        <w:spacing w:after="0" w:line="255" w:lineRule="auto"/>
        <w:rPr>
          <w:sz w:val="20"/>
          <w:szCs w:val="20"/>
          <w:color w:val="auto"/>
        </w:rPr>
      </w:pPr>
      <w:r>
        <w:rPr>
          <w:rFonts w:ascii="Arial" w:cs="Arial" w:eastAsia="Arial" w:hAnsi="Arial"/>
          <w:sz w:val="18"/>
          <w:szCs w:val="18"/>
          <w:color w:val="auto"/>
        </w:rPr>
        <w:t xml:space="preserve">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March 31, 2015 and December 31, 2014, there were no uncertain tax positions.</w:t>
      </w:r>
    </w:p>
    <w:p>
      <w:pPr>
        <w:spacing w:after="0" w:line="193" w:lineRule="exact"/>
        <w:rPr>
          <w:sz w:val="20"/>
          <w:szCs w:val="20"/>
          <w:color w:val="auto"/>
        </w:rPr>
      </w:pPr>
    </w:p>
    <w:p>
      <w:pPr>
        <w:ind w:right="80" w:firstLine="923"/>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have a negative impact on the Company’s net assets.</w:t>
      </w:r>
    </w:p>
    <w:p>
      <w:pPr>
        <w:spacing w:after="0" w:line="154"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ind w:right="60" w:firstLine="881"/>
        <w:spacing w:after="0" w:line="312" w:lineRule="auto"/>
        <w:rPr>
          <w:sz w:val="20"/>
          <w:szCs w:val="20"/>
          <w:color w:val="auto"/>
        </w:rPr>
      </w:pPr>
      <w:r>
        <w:rPr>
          <w:rFonts w:ascii="Arial" w:cs="Arial" w:eastAsia="Arial" w:hAnsi="Arial"/>
          <w:sz w:val="16"/>
          <w:szCs w:val="16"/>
          <w:color w:val="auto"/>
        </w:rPr>
        <w:t>The Company’s activities since commencement of operations remain subject to examination by U.S. federal, state, and local tax authorities. No interest expense or penalties have been assessed for the three months ended March 31, 2015 and March 31, 2014. If the Company were required to recognize interest and penalties, if any, related to unrecognized tax benefits this would be recognized as income tax expense in the consolidated statement of operations.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80" w:firstLine="881"/>
        <w:spacing w:after="0" w:line="342" w:lineRule="auto"/>
        <w:rPr>
          <w:sz w:val="20"/>
          <w:szCs w:val="20"/>
          <w:color w:val="auto"/>
        </w:rPr>
      </w:pPr>
      <w:r>
        <w:rPr>
          <w:rFonts w:ascii="Arial" w:cs="Arial" w:eastAsia="Arial" w:hAnsi="Arial"/>
          <w:sz w:val="16"/>
          <w:szCs w:val="16"/>
          <w:color w:val="auto"/>
        </w:rPr>
        <w:t>Dividends to common stockholders are recorded as payable on the declaration date. The amount to be paid out as a dividend is approved by the Board. Net capital gains, if any, are generally distributed at least annually, although we may decide to retain such capital gains for reinvestment.</w:t>
      </w:r>
    </w:p>
    <w:p>
      <w:pPr>
        <w:spacing w:after="0" w:line="124"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We have adopted an “opt out” dividend reinvestment plan for our common stockholders. As a result, if we declare a cash dividend or other distribution, each stockholder that has not “opted out” of our dividend reinvestment plan will have its dividends automatically reinvested in additional shares of our common stock rather than receiving cash dividends. Stockholders who receive distributions in the form of shares of common stock will be subject to the same federal, state and local tax consequences as if they received cash distributions.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Investment Risk, Concentration of Credit Risk, and Liquidity Risk</w:t>
      </w:r>
    </w:p>
    <w:p>
      <w:pPr>
        <w:spacing w:after="0" w:line="229" w:lineRule="exact"/>
        <w:rPr>
          <w:sz w:val="20"/>
          <w:szCs w:val="20"/>
          <w:color w:val="auto"/>
        </w:rPr>
      </w:pPr>
    </w:p>
    <w:p>
      <w:pPr>
        <w:ind w:right="220" w:firstLine="881"/>
        <w:spacing w:after="0" w:line="302" w:lineRule="auto"/>
        <w:rPr>
          <w:sz w:val="20"/>
          <w:szCs w:val="20"/>
          <w:color w:val="auto"/>
        </w:rPr>
      </w:pPr>
      <w:r>
        <w:rPr>
          <w:rFonts w:ascii="Arial" w:cs="Arial" w:eastAsia="Arial" w:hAnsi="Arial"/>
          <w:sz w:val="16"/>
          <w:szCs w:val="16"/>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54" w:lineRule="exact"/>
        <w:rPr>
          <w:sz w:val="20"/>
          <w:szCs w:val="20"/>
          <w:color w:val="auto"/>
        </w:rPr>
      </w:pPr>
    </w:p>
    <w:p>
      <w:pPr>
        <w:jc w:val="both"/>
        <w:ind w:right="100" w:firstLine="881"/>
        <w:spacing w:after="0" w:line="279" w:lineRule="auto"/>
        <w:rPr>
          <w:sz w:val="20"/>
          <w:szCs w:val="20"/>
          <w:color w:val="auto"/>
        </w:rPr>
      </w:pPr>
      <w:r>
        <w:rPr>
          <w:rFonts w:ascii="Arial" w:cs="Arial" w:eastAsia="Arial" w:hAnsi="Arial"/>
          <w:sz w:val="17"/>
          <w:szCs w:val="17"/>
          <w:color w:val="auto"/>
        </w:rPr>
        <w:t>The value of the Company’s investments in loans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spacing w:after="0" w:line="171" w:lineRule="exact"/>
        <w:rPr>
          <w:sz w:val="20"/>
          <w:szCs w:val="20"/>
          <w:color w:val="auto"/>
        </w:rPr>
      </w:pPr>
    </w:p>
    <w:p>
      <w:pPr>
        <w:ind w:right="560" w:firstLine="881"/>
        <w:spacing w:after="0" w:line="277" w:lineRule="auto"/>
        <w:rPr>
          <w:sz w:val="20"/>
          <w:szCs w:val="20"/>
          <w:color w:val="auto"/>
        </w:rPr>
      </w:pPr>
      <w:r>
        <w:rPr>
          <w:rFonts w:ascii="Arial" w:cs="Arial" w:eastAsia="Arial" w:hAnsi="Arial"/>
          <w:sz w:val="18"/>
          <w:szCs w:val="18"/>
          <w:color w:val="auto"/>
        </w:rPr>
        <w:t>The Investment Advisor may attempt to minimize this risk by maintaining low loan-to-liquidation values with each loan and the collateral underlying the loan.</w:t>
      </w:r>
    </w:p>
    <w:p>
      <w:pPr>
        <w:spacing w:after="0" w:line="170" w:lineRule="exact"/>
        <w:rPr>
          <w:sz w:val="20"/>
          <w:szCs w:val="20"/>
          <w:color w:val="auto"/>
        </w:rPr>
      </w:pPr>
    </w:p>
    <w:p>
      <w:pPr>
        <w:jc w:val="both"/>
        <w:ind w:right="80" w:firstLine="881"/>
        <w:spacing w:after="0" w:line="286" w:lineRule="auto"/>
        <w:rPr>
          <w:sz w:val="20"/>
          <w:szCs w:val="20"/>
          <w:color w:val="auto"/>
        </w:rPr>
      </w:pPr>
      <w:r>
        <w:rPr>
          <w:rFonts w:ascii="Arial" w:cs="Arial" w:eastAsia="Arial" w:hAnsi="Arial"/>
          <w:sz w:val="17"/>
          <w:szCs w:val="17"/>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 xml:space="preserve">In June 2013, the FASB issued ASU No. 2013-08, </w:t>
      </w:r>
      <w:r>
        <w:rPr>
          <w:rFonts w:ascii="Arial" w:cs="Arial" w:eastAsia="Arial" w:hAnsi="Arial"/>
          <w:sz w:val="18"/>
          <w:szCs w:val="18"/>
          <w:i w:val="1"/>
          <w:iCs w:val="1"/>
          <w:color w:val="auto"/>
        </w:rPr>
        <w:t>“Financial Services – Investment Companies (Topic 946), Amendments to the Scope,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and Disclosure Requirements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amendments in this accounting standards update affect the scope, measurement, and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investment companies under U.S. GAAP, and clarify the characteristics of an investment company, provide comprehensive guidance for assessing whether an entity is an investment company, require that an investment company measure non-controlling ownership interests in other investment companies at fair value rather than using the equity method of accounting, and require additional disclosures. This standard is effective for interim and annual reporting periods in fiscal years that begin after December 15, 2013. The Company has adopted this standard and the required disclosures are presented in the consolidated financial statements.</w:t>
      </w:r>
    </w:p>
    <w:p>
      <w:pPr>
        <w:spacing w:after="0" w:line="189"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In April 2015, the FASB has issued Accounting Standards Update “ASU” No. 2015-03, </w:t>
      </w:r>
      <w:r>
        <w:rPr>
          <w:rFonts w:ascii="Arial" w:cs="Arial" w:eastAsia="Arial" w:hAnsi="Arial"/>
          <w:sz w:val="18"/>
          <w:szCs w:val="18"/>
          <w:i w:val="1"/>
          <w:iCs w:val="1"/>
          <w:color w:val="auto"/>
        </w:rPr>
        <w:t>Interest - Imputation of Interest (Subtopic 835-30):</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Presentation of Debt Issuance Costs (“ASU 2015-03”)</w:t>
      </w:r>
      <w:r>
        <w:rPr>
          <w:rFonts w:ascii="Arial" w:cs="Arial" w:eastAsia="Arial" w:hAnsi="Arial"/>
          <w:sz w:val="18"/>
          <w:szCs w:val="18"/>
          <w:color w:val="auto"/>
        </w:rPr>
        <w:t>. ASU 2015-03 requires that debt issuance costs related to a recognized debt liability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in the balance sheet as a direct deduction from the carrying amount of that debt liability, consistent with debt discounts. The recognition and measurement guidance for debt issuance costs are not affected by the amendments in this ASU. ASU 2015-03 is effective for fiscal years that begin after December 15, 2015 and early adoption is permitted. Management is currently evaluating the impact these changes will have on the Company’s consolidated financial statements and disclosures.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4"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4. Investments</w:t>
      </w:r>
    </w:p>
    <w:p>
      <w:pPr>
        <w:spacing w:after="0" w:line="229"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The Company’s investment objective is to generate both current income and capital appreciation through debt and equity investments. Both directly and through our subsidiaries that are licensed by the SBA under the SBIC Act, we offer customized financing to business owners, management teams and financial sponsors for change of ownership transactions, recapitalizations, strategic acquisitions, business expansion and other growth initiatives. We invest primarily in traditional mezzanine, senior subordinated and unitranche debt, as well as senior and second-lien loans and, to a lesser extent, equity securities issued by smaller and lower middle-market companies. As of March 31, 2015, our portfolio consisted of investments in 54 portfolio companies with a fair value of approximately $518.9 million.</w:t>
      </w:r>
    </w:p>
    <w:p>
      <w:pPr>
        <w:spacing w:after="0" w:line="193" w:lineRule="exact"/>
        <w:rPr>
          <w:sz w:val="20"/>
          <w:szCs w:val="20"/>
          <w:color w:val="auto"/>
        </w:rPr>
      </w:pPr>
    </w:p>
    <w:p>
      <w:pPr>
        <w:ind w:right="240" w:firstLine="881"/>
        <w:spacing w:after="0" w:line="279" w:lineRule="auto"/>
        <w:rPr>
          <w:sz w:val="20"/>
          <w:szCs w:val="20"/>
          <w:color w:val="auto"/>
        </w:rPr>
      </w:pPr>
      <w:r>
        <w:rPr>
          <w:rFonts w:ascii="Arial" w:cs="Arial" w:eastAsia="Arial" w:hAnsi="Arial"/>
          <w:sz w:val="17"/>
          <w:szCs w:val="17"/>
          <w:color w:val="auto"/>
        </w:rPr>
        <w:t>During the three months ended March 31, 2015, the Company made approximately $67.2 million of investments in new or existing portfolio companies and had approximately $34.6 million in exits and repayments resulting in net investments of approximately $32.6 million for the period. During the three months ended March 31, 2014, the Company made approximately $41.1 million of investments in new or existing portfolio companies and had approximately $10.7 million in exits and repayments resulting in net investments of approximately $30.4 million for the period.</w:t>
      </w:r>
    </w:p>
    <w:p>
      <w:pPr>
        <w:spacing w:after="0" w:line="171" w:lineRule="exact"/>
        <w:rPr>
          <w:sz w:val="20"/>
          <w:szCs w:val="20"/>
          <w:color w:val="auto"/>
        </w:rPr>
      </w:pPr>
    </w:p>
    <w:p>
      <w:pPr>
        <w:ind w:right="80" w:firstLine="881"/>
        <w:spacing w:after="0" w:line="255" w:lineRule="auto"/>
        <w:rPr>
          <w:sz w:val="20"/>
          <w:szCs w:val="20"/>
          <w:color w:val="auto"/>
        </w:rPr>
      </w:pPr>
      <w:r>
        <w:rPr>
          <w:rFonts w:ascii="Arial" w:cs="Arial" w:eastAsia="Arial" w:hAnsi="Arial"/>
          <w:sz w:val="18"/>
          <w:szCs w:val="18"/>
          <w:color w:val="auto"/>
        </w:rPr>
        <w:t>During the three months ended March 31, 2015 and 2014, all new investments were made to portfolio companies in which the Company was not previously contractually obligated to provide financial support other than fundings for revolving facilities. In addition to investing directly in portfolio companies, the Company may assist portfolio companies in securing financing from other sources by introducing portfolio companies to sponsors or by leading a syndicate of investors to provide the portfolio companies with financing. During the three month period ended March 31, 2015 and 2014, the Company did not lead any syndicates. During the three month period ended March 31, 2015 the Company did not assist any portfolio companies in obtaining indirect financing. During the three months ended March 31, 2014, the Company helped Print Direction, Inc. obtain a $3.5 million senior revolving credit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Capitala Senior Liquid Loan Fund I, LLC</w:t>
      </w:r>
    </w:p>
    <w:p>
      <w:pPr>
        <w:spacing w:after="0" w:line="225"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On March 25, 2015, the Company announced a joint venture with Trinity Universal Insurance Company (“Trinity”), a subsidiary of Kemper Corporation, to create Capitala Senior Liquid Loan Fund I, LLC (CSLLF”). The joint venture is expected to invest primarily in senior secured loans to middle market companies.</w:t>
      </w:r>
    </w:p>
    <w:p>
      <w:pPr>
        <w:spacing w:after="0" w:line="181" w:lineRule="exact"/>
        <w:rPr>
          <w:sz w:val="20"/>
          <w:szCs w:val="20"/>
          <w:color w:val="auto"/>
        </w:rPr>
      </w:pPr>
    </w:p>
    <w:p>
      <w:pPr>
        <w:jc w:val="both"/>
        <w:ind w:right="20" w:firstLine="881"/>
        <w:spacing w:after="0" w:line="264" w:lineRule="auto"/>
        <w:rPr>
          <w:sz w:val="20"/>
          <w:szCs w:val="20"/>
          <w:color w:val="auto"/>
        </w:rPr>
      </w:pPr>
      <w:r>
        <w:rPr>
          <w:rFonts w:ascii="Arial" w:cs="Arial" w:eastAsia="Arial" w:hAnsi="Arial"/>
          <w:sz w:val="18"/>
          <w:szCs w:val="18"/>
          <w:color w:val="auto"/>
        </w:rPr>
        <w:t>The Company and Trinity have committed to provide an aggregate of $25 million of equity to the joint venture, with the Company providing $20 million and Trinity providing $5 million. In addition, CSLLF has obtained third party asset-level financing. The Company and Trinity expect to begin funding the portfolio with new investments during the second quarter of 2015.</w:t>
      </w:r>
    </w:p>
    <w:p>
      <w:pPr>
        <w:spacing w:after="0" w:line="181" w:lineRule="exact"/>
        <w:rPr>
          <w:sz w:val="20"/>
          <w:szCs w:val="20"/>
          <w:color w:val="auto"/>
        </w:rPr>
      </w:pPr>
    </w:p>
    <w:p>
      <w:pPr>
        <w:ind w:right="160" w:firstLine="881"/>
        <w:spacing w:after="0" w:line="264" w:lineRule="auto"/>
        <w:rPr>
          <w:sz w:val="20"/>
          <w:szCs w:val="20"/>
          <w:color w:val="auto"/>
        </w:rPr>
      </w:pPr>
      <w:r>
        <w:rPr>
          <w:rFonts w:ascii="Arial" w:cs="Arial" w:eastAsia="Arial" w:hAnsi="Arial"/>
          <w:sz w:val="18"/>
          <w:szCs w:val="18"/>
          <w:color w:val="auto"/>
        </w:rPr>
        <w:t>On March 31, 2015, the Company funded $10 million of its $20 million capital commitment to CSLLF. The Company retains a $10 million unfunded commitment to CSLLF, expected to be invested in the second quarter of 2015. As of March 31, 2015, the only asset held by CSLLF was cash. For the three months ended March 31, 2015, CSLLF generated no net income.</w:t>
      </w:r>
    </w:p>
    <w:p>
      <w:pPr>
        <w:spacing w:after="0" w:line="181"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As a practical expedient, the Company uses the NAV to value CSLLF. Because our investment in CSLLF is not redeemable without restricition, the fair value of CSLLF is classified as level 3.</w:t>
      </w:r>
    </w:p>
    <w:p>
      <w:pPr>
        <w:spacing w:after="0" w:line="17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composition of our investments as of March 31, 2015, at amortized cost and fair value were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1"/>
              </w:rPr>
              <w:t>Amortized Cost</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Investments at</w:t>
            </w:r>
          </w:p>
        </w:tc>
        <w:tc>
          <w:tcPr>
            <w:tcW w:w="14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7"/>
              </w:rPr>
              <w:t>Percentage of</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Investments at</w:t>
            </w:r>
          </w:p>
        </w:tc>
        <w:tc>
          <w:tcPr>
            <w:tcW w:w="13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4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0"/>
              </w:rPr>
              <w:t>Total Portfolio</w:t>
            </w: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3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1"/>
              </w:rPr>
              <w:t>Total Portfolio</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181,167</w:t>
            </w:r>
          </w:p>
        </w:tc>
        <w:tc>
          <w:tcPr>
            <w:tcW w:w="180" w:type="dxa"/>
            <w:vAlign w:val="bottom"/>
            <w:vMerge w:val="continue"/>
            <w:shd w:val="clear" w:color="auto" w:fill="CCEEFF"/>
          </w:tcPr>
          <w:p>
            <w:pPr>
              <w:spacing w:after="0"/>
              <w:rPr>
                <w:sz w:val="18"/>
                <w:szCs w:val="18"/>
                <w:color w:val="auto"/>
              </w:rPr>
            </w:pPr>
          </w:p>
        </w:tc>
        <w:tc>
          <w:tcPr>
            <w:tcW w:w="1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181,867</w:t>
            </w:r>
          </w:p>
        </w:tc>
        <w:tc>
          <w:tcPr>
            <w:tcW w:w="18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Subordinated Debt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239,109</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49.4</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233,534</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45.0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53,759</w:t>
            </w:r>
          </w:p>
        </w:tc>
        <w:tc>
          <w:tcPr>
            <w:tcW w:w="1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93,526</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Capitala Senior Liquid Loan Fund I, LLC</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484,035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518,927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21</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The composition of our investments as of December 31, 2014, at amortized cost and fair value were as follows (dollars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1"/>
              </w:rPr>
              <w:t>Amortized Cost</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Investments at</w:t>
            </w:r>
          </w:p>
        </w:tc>
        <w:tc>
          <w:tcPr>
            <w:tcW w:w="14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7"/>
              </w:rPr>
              <w:t>Percentage of</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Investments at</w:t>
            </w: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4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0"/>
              </w:rPr>
              <w:t>Total Portfolio</w:t>
            </w: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Total Portfolio</w:t>
            </w:r>
          </w:p>
        </w:tc>
        <w:tc>
          <w:tcPr>
            <w:tcW w:w="0" w:type="dxa"/>
            <w:vAlign w:val="bottom"/>
          </w:tcPr>
          <w:p>
            <w:pPr>
              <w:spacing w:after="0"/>
              <w:rPr>
                <w:sz w:val="1"/>
                <w:szCs w:val="1"/>
                <w:color w:val="auto"/>
              </w:rPr>
            </w:pPr>
          </w:p>
        </w:tc>
      </w:tr>
      <w:tr>
        <w:trPr>
          <w:trHeight w:val="20"/>
        </w:trPr>
        <w:tc>
          <w:tcPr>
            <w:tcW w:w="5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146,399</w:t>
            </w:r>
          </w:p>
        </w:tc>
        <w:tc>
          <w:tcPr>
            <w:tcW w:w="180" w:type="dxa"/>
            <w:vAlign w:val="bottom"/>
            <w:vMerge w:val="continue"/>
            <w:shd w:val="clear" w:color="auto" w:fill="CCEEFF"/>
          </w:tcPr>
          <w:p>
            <w:pPr>
              <w:spacing w:after="0"/>
              <w:rPr>
                <w:sz w:val="18"/>
                <w:szCs w:val="18"/>
                <w:color w:val="auto"/>
              </w:rPr>
            </w:pPr>
          </w:p>
        </w:tc>
        <w:tc>
          <w:tcPr>
            <w:tcW w:w="1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146,314</w:t>
            </w:r>
          </w:p>
        </w:tc>
        <w:tc>
          <w:tcPr>
            <w:tcW w:w="180" w:type="dxa"/>
            <w:vAlign w:val="bottom"/>
            <w:vMerge w:val="continue"/>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Subordinated Debt</w:t>
            </w:r>
          </w:p>
        </w:tc>
        <w:tc>
          <w:tcPr>
            <w:tcW w:w="3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231,901</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52.6</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222,300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62,855</w:t>
            </w:r>
          </w:p>
        </w:tc>
        <w:tc>
          <w:tcPr>
            <w:tcW w:w="1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111,723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441,155</w:t>
            </w:r>
          </w:p>
        </w:tc>
        <w:tc>
          <w:tcPr>
            <w:tcW w:w="18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480,337</w:t>
            </w:r>
          </w:p>
        </w:tc>
        <w:tc>
          <w:tcPr>
            <w:tcW w:w="1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ind w:right="320" w:firstLine="881"/>
        <w:spacing w:after="0" w:line="302" w:lineRule="auto"/>
        <w:rPr>
          <w:sz w:val="20"/>
          <w:szCs w:val="20"/>
          <w:color w:val="auto"/>
        </w:rPr>
      </w:pPr>
      <w:r>
        <w:rPr>
          <w:rFonts w:ascii="Arial" w:cs="Arial" w:eastAsia="Arial" w:hAnsi="Arial"/>
          <w:sz w:val="16"/>
          <w:szCs w:val="16"/>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54" w:lineRule="exact"/>
        <w:rPr>
          <w:sz w:val="20"/>
          <w:szCs w:val="20"/>
          <w:color w:val="auto"/>
        </w:rPr>
      </w:pPr>
    </w:p>
    <w:p>
      <w:pPr>
        <w:ind w:right="200" w:firstLine="881"/>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1" w:lineRule="exact"/>
        <w:rPr>
          <w:sz w:val="20"/>
          <w:szCs w:val="20"/>
          <w:color w:val="auto"/>
        </w:rPr>
      </w:pPr>
    </w:p>
    <w:p>
      <w:pPr>
        <w:ind w:left="1720" w:right="380" w:hanging="564"/>
        <w:spacing w:after="0" w:line="277" w:lineRule="auto"/>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has the ability to access.</w:t>
      </w:r>
    </w:p>
    <w:p>
      <w:pPr>
        <w:spacing w:after="0" w:line="170" w:lineRule="exact"/>
        <w:rPr>
          <w:rFonts w:ascii="Arial" w:cs="Arial" w:eastAsia="Arial" w:hAnsi="Arial"/>
          <w:sz w:val="18"/>
          <w:szCs w:val="18"/>
          <w:color w:val="auto"/>
        </w:rPr>
      </w:pPr>
    </w:p>
    <w:p>
      <w:pPr>
        <w:ind w:left="1720" w:hanging="564"/>
        <w:spacing w:after="0"/>
        <w:tabs>
          <w:tab w:leader="none" w:pos="1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2—Valuations based on inputs other than quoted prices in active markets, which are either directly or indirectly observable.</w:t>
      </w:r>
    </w:p>
    <w:p>
      <w:pPr>
        <w:spacing w:after="0" w:line="236" w:lineRule="exact"/>
        <w:rPr>
          <w:rFonts w:ascii="Arial" w:cs="Arial" w:eastAsia="Arial" w:hAnsi="Arial"/>
          <w:sz w:val="17"/>
          <w:szCs w:val="17"/>
          <w:color w:val="auto"/>
        </w:rPr>
      </w:pPr>
    </w:p>
    <w:p>
      <w:pPr>
        <w:ind w:left="1720" w:hanging="564"/>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jc w:val="both"/>
        <w:ind w:right="40" w:firstLine="881"/>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that is consistent with ASC 820 (See Note 2). Consistent with the Company’s valuation policy, the Company evaluates the source of inputs, including any markets in which our investments are trading, in determining fair value.</w:t>
      </w:r>
    </w:p>
    <w:p>
      <w:pPr>
        <w:spacing w:after="0" w:line="181" w:lineRule="exact"/>
        <w:rPr>
          <w:sz w:val="20"/>
          <w:szCs w:val="20"/>
          <w:color w:val="auto"/>
        </w:rPr>
      </w:pPr>
    </w:p>
    <w:p>
      <w:pPr>
        <w:ind w:right="280" w:firstLine="881"/>
        <w:spacing w:after="0" w:line="312" w:lineRule="auto"/>
        <w:rPr>
          <w:sz w:val="20"/>
          <w:szCs w:val="20"/>
          <w:color w:val="auto"/>
        </w:rPr>
      </w:pPr>
      <w:r>
        <w:rPr>
          <w:rFonts w:ascii="Arial" w:cs="Arial" w:eastAsia="Arial" w:hAnsi="Arial"/>
          <w:sz w:val="16"/>
          <w:szCs w:val="16"/>
          <w:color w:val="auto"/>
        </w:rPr>
        <w:t>In estimating fair value of portfolio investments, the Company starts with the cost basis of the investment, which includes amortized original issue discount and payment-in-kind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47"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March 31, 2015 (dollars in thousands), according to the fair value hierarchy: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8"/>
                <w:szCs w:val="18"/>
                <w:b w:val="1"/>
                <w:bCs w:val="1"/>
                <w:color w:val="auto"/>
                <w:w w:val="94"/>
              </w:rPr>
              <w:t>Fair Value Measurements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6"/>
              </w:rPr>
              <w:t>181,867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181,867</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Subordinated Debt</w:t>
            </w: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Arial" w:cs="Arial" w:eastAsia="Arial" w:hAnsi="Arial"/>
                <w:sz w:val="18"/>
                <w:szCs w:val="18"/>
                <w:color w:val="auto"/>
              </w:rPr>
              <w:t>233,534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233,534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70"/>
        </w:trPr>
        <w:tc>
          <w:tcPr>
            <w:tcW w:w="340" w:type="dxa"/>
            <w:vAlign w:val="bottom"/>
          </w:tcPr>
          <w:p>
            <w:pPr>
              <w:spacing w:after="0"/>
              <w:rPr>
                <w:sz w:val="23"/>
                <w:szCs w:val="23"/>
                <w:color w:val="auto"/>
              </w:rPr>
            </w:pPr>
          </w:p>
        </w:tc>
        <w:tc>
          <w:tcPr>
            <w:tcW w:w="520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Equity and Warrants </w:t>
            </w:r>
            <w:r>
              <w:rPr>
                <w:rFonts w:ascii="Arial" w:cs="Arial" w:eastAsia="Arial" w:hAnsi="Arial"/>
                <w:sz w:val="30"/>
                <w:szCs w:val="30"/>
                <w:color w:val="auto"/>
                <w:vertAlign w:val="superscript"/>
              </w:rPr>
              <w:t>(1)</w:t>
            </w:r>
          </w:p>
        </w:tc>
        <w:tc>
          <w:tcPr>
            <w:tcW w:w="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10,052</w:t>
            </w: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93,474</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103,526</w:t>
            </w:r>
          </w:p>
        </w:tc>
        <w:tc>
          <w:tcPr>
            <w:tcW w:w="100" w:type="dxa"/>
            <w:vAlign w:val="bottom"/>
            <w:shd w:val="clear" w:color="auto" w:fill="CCEEFF"/>
          </w:tcPr>
          <w:p>
            <w:pPr>
              <w:spacing w:after="0"/>
              <w:rPr>
                <w:sz w:val="23"/>
                <w:szCs w:val="23"/>
                <w:color w:val="auto"/>
              </w:rPr>
            </w:pPr>
          </w:p>
        </w:tc>
        <w:tc>
          <w:tcPr>
            <w:tcW w:w="480" w:type="dxa"/>
            <w:vAlign w:val="bottom"/>
          </w:tcPr>
          <w:p>
            <w:pPr>
              <w:spacing w:after="0"/>
              <w:rPr>
                <w:sz w:val="23"/>
                <w:szCs w:val="23"/>
                <w:color w:val="auto"/>
              </w:rPr>
            </w:pPr>
          </w:p>
        </w:tc>
      </w:tr>
      <w:tr>
        <w:trPr>
          <w:trHeight w:val="223"/>
        </w:trPr>
        <w:tc>
          <w:tcPr>
            <w:tcW w:w="3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6"/>
              </w:rPr>
              <w:t>508,875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518,927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629"/>
        </w:trPr>
        <w:tc>
          <w:tcPr>
            <w:tcW w:w="3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22</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6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(1)  Includes $10 million fair value associated with our initial equity capital commitment to CSLLF, measured using the net asset value.</w:t>
      </w:r>
    </w:p>
    <w:p>
      <w:pPr>
        <w:spacing w:after="0" w:line="225"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2014 (dollars in thousands), according to the fair value hierarchy:</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Fair Value Measurements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6"/>
              </w:rPr>
              <w:t>146,314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Subordinated Debt</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Arial" w:cs="Arial" w:eastAsia="Arial" w:hAnsi="Arial"/>
                <w:sz w:val="18"/>
                <w:szCs w:val="18"/>
                <w:color w:val="auto"/>
              </w:rPr>
              <w:t>222,300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222,300</w:t>
            </w:r>
          </w:p>
        </w:tc>
        <w:tc>
          <w:tcPr>
            <w:tcW w:w="100" w:type="dxa"/>
            <w:vAlign w:val="bottom"/>
          </w:tcPr>
          <w:p>
            <w:pPr>
              <w:spacing w:after="0"/>
              <w:rPr>
                <w:sz w:val="18"/>
                <w:szCs w:val="18"/>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10,920</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100,803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111,723</w:t>
            </w: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6"/>
              </w:rPr>
              <w:t>469,417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480,337</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three months ended March 31, 2015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Senior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Secured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Subordinated</w:t>
            </w: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and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0"/>
        </w:trPr>
        <w:tc>
          <w:tcPr>
            <w:tcW w:w="5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Debt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Debt</w:t>
            </w:r>
          </w:p>
        </w:tc>
        <w:tc>
          <w:tcPr>
            <w:tcW w:w="100" w:type="dxa"/>
            <w:vAlign w:val="bottom"/>
          </w:tcPr>
          <w:p>
            <w:pPr>
              <w:spacing w:after="0"/>
              <w:rPr>
                <w:sz w:val="23"/>
                <w:szCs w:val="23"/>
                <w:color w:val="auto"/>
              </w:rPr>
            </w:pPr>
          </w:p>
        </w:tc>
        <w:tc>
          <w:tcPr>
            <w:tcW w:w="1340" w:type="dxa"/>
            <w:vAlign w:val="bottom"/>
            <w:gridSpan w:val="2"/>
          </w:tcPr>
          <w:p>
            <w:pPr>
              <w:jc w:val="center"/>
              <w:ind w:right="300"/>
              <w:spacing w:after="0" w:line="269" w:lineRule="exact"/>
              <w:rPr>
                <w:sz w:val="20"/>
                <w:szCs w:val="20"/>
                <w:color w:val="auto"/>
              </w:rPr>
            </w:pPr>
            <w:r>
              <w:rPr>
                <w:rFonts w:ascii="Arial" w:cs="Arial" w:eastAsia="Arial" w:hAnsi="Arial"/>
                <w:sz w:val="18"/>
                <w:szCs w:val="18"/>
                <w:b w:val="1"/>
                <w:bCs w:val="1"/>
                <w:color w:val="auto"/>
                <w:w w:val="89"/>
              </w:rPr>
              <w:t xml:space="preserve">Warrants </w:t>
            </w:r>
            <w:r>
              <w:rPr>
                <w:rFonts w:ascii="Arial" w:cs="Arial" w:eastAsia="Arial" w:hAnsi="Arial"/>
                <w:sz w:val="30"/>
                <w:szCs w:val="30"/>
                <w:b w:val="1"/>
                <w:bCs w:val="1"/>
                <w:color w:val="auto"/>
                <w:w w:val="89"/>
                <w:vertAlign w:val="superscript"/>
              </w:rPr>
              <w:t>(1)</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2015</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146,314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100,803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Repayments</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(17,966)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(30,545)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22,297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10,020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67,233</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Payment in-kind interest and dividends</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Realized gain/(loss) from investments</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9,396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6,046</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net unrealized appreciation</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4,027</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(8,952)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(4,139)</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Balance as of March 31, 2015</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181,867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233,534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93,474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508,875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$10 million fair value associated with our initial equity capital commitment to CSLLF, measured using the net asset value.</w:t>
      </w:r>
    </w:p>
    <w:p>
      <w:pPr>
        <w:spacing w:after="0" w:line="225"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three months ended March 31, 2014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Senior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Equity</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Secured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Subordinated</w:t>
            </w: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and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Debt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Debt</w:t>
            </w:r>
          </w:p>
        </w:tc>
        <w:tc>
          <w:tcPr>
            <w:tcW w:w="16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Warrants</w:t>
            </w: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2014</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102,071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133,710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128,938</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Change in classification due to restructure</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5,125</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(9,045)</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(10,728)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Purchases</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38,482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2,618</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41,100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Payment in-kind interest and dividends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Realized gain from investments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Increase/(decrease) in net unrealized appreciation</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(5,085)</w:t>
            </w: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(5,723)</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2014</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126,492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391,181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881"/>
        <w:spacing w:after="0" w:line="259" w:lineRule="auto"/>
        <w:rPr>
          <w:sz w:val="20"/>
          <w:szCs w:val="20"/>
          <w:color w:val="auto"/>
        </w:rPr>
      </w:pPr>
      <w:r>
        <w:rPr>
          <w:rFonts w:ascii="Arial" w:cs="Arial" w:eastAsia="Arial" w:hAnsi="Arial"/>
          <w:sz w:val="18"/>
          <w:szCs w:val="18"/>
          <w:color w:val="auto"/>
        </w:rPr>
        <w:t>The net change in unrealized depreciation on investments held as of March 31, 2015 was $(7.6) million and is included in net unrealized depreciation on investments in the consolidated statements of operations for the three months ended March 31, 2015. The net change in unrealized depreciation on investments held as of March 31, 2014 was $(5.7) million and is included in net unrealized depreciation on investments in the consolidated statements of operations for the three months ended March 31, 2014.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30" w:name="page31"/>
    <w:bookmarkEnd w:id="30"/>
    <w:p>
      <w:pPr>
        <w:ind w:right="20" w:firstLine="690"/>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March 31, 2015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Fair Value</w:t>
            </w:r>
          </w:p>
        </w:tc>
        <w:tc>
          <w:tcPr>
            <w:tcW w:w="1700" w:type="dxa"/>
            <w:vAlign w:val="bottom"/>
          </w:tcPr>
          <w:p>
            <w:pPr>
              <w:ind w:left="80"/>
              <w:spacing w:after="0"/>
              <w:rPr>
                <w:sz w:val="20"/>
                <w:szCs w:val="20"/>
                <w:color w:val="auto"/>
              </w:rPr>
            </w:pPr>
            <w:r>
              <w:rPr>
                <w:rFonts w:ascii="Arial" w:cs="Arial" w:eastAsia="Arial" w:hAnsi="Arial"/>
                <w:sz w:val="18"/>
                <w:szCs w:val="18"/>
                <w:b w:val="1"/>
                <w:bCs w:val="1"/>
                <w:color w:val="auto"/>
                <w:w w:val="94"/>
              </w:rPr>
              <w:t>Valuation Approach</w:t>
            </w:r>
          </w:p>
        </w:tc>
        <w:tc>
          <w:tcPr>
            <w:tcW w:w="100" w:type="dxa"/>
            <w:vAlign w:val="bottom"/>
          </w:tcPr>
          <w:p>
            <w:pPr>
              <w:spacing w:after="0"/>
              <w:rPr>
                <w:sz w:val="20"/>
                <w:szCs w:val="20"/>
                <w:color w:val="auto"/>
              </w:rPr>
            </w:pPr>
          </w:p>
        </w:tc>
        <w:tc>
          <w:tcPr>
            <w:tcW w:w="2020" w:type="dxa"/>
            <w:vAlign w:val="bottom"/>
            <w:gridSpan w:val="2"/>
          </w:tcPr>
          <w:p>
            <w:pPr>
              <w:ind w:left="440"/>
              <w:spacing w:after="0"/>
              <w:rPr>
                <w:sz w:val="20"/>
                <w:szCs w:val="20"/>
                <w:color w:val="auto"/>
              </w:rPr>
            </w:pPr>
            <w:r>
              <w:rPr>
                <w:rFonts w:ascii="Arial" w:cs="Arial" w:eastAsia="Arial" w:hAnsi="Arial"/>
                <w:sz w:val="18"/>
                <w:szCs w:val="18"/>
                <w:b w:val="1"/>
                <w:bCs w:val="1"/>
                <w:color w:val="auto"/>
              </w:rPr>
              <w:t>Level 3 Input</w:t>
            </w:r>
          </w:p>
        </w:tc>
        <w:tc>
          <w:tcPr>
            <w:tcW w:w="2060" w:type="dxa"/>
            <w:vAlign w:val="bottom"/>
          </w:tcPr>
          <w:p>
            <w:pPr>
              <w:ind w:left="400"/>
              <w:spacing w:after="0"/>
              <w:rPr>
                <w:sz w:val="20"/>
                <w:szCs w:val="20"/>
                <w:color w:val="auto"/>
              </w:rPr>
            </w:pPr>
            <w:r>
              <w:rPr>
                <w:rFonts w:ascii="Arial" w:cs="Arial" w:eastAsia="Arial" w:hAnsi="Arial"/>
                <w:sz w:val="18"/>
                <w:szCs w:val="18"/>
                <w:b w:val="1"/>
                <w:bCs w:val="1"/>
                <w:color w:val="auto"/>
              </w:rPr>
              <w:t>Range of Inputs</w:t>
            </w:r>
          </w:p>
        </w:tc>
        <w:tc>
          <w:tcPr>
            <w:tcW w:w="2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Subordinated debt and</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12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Required Rate of Return</w:t>
            </w: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8.0% - 20.0%</w:t>
            </w:r>
          </w:p>
        </w:tc>
        <w:tc>
          <w:tcPr>
            <w:tcW w:w="16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second lien notes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Leverage Ratio</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1.7x – 9.0x</w:t>
            </w:r>
          </w:p>
        </w:tc>
        <w:tc>
          <w:tcPr>
            <w:tcW w:w="1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3.7x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 million</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Income</w:t>
            </w: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8"/>
              </w:rPr>
              <w:t>$1.9 million-$217.0 million</w:t>
            </w:r>
          </w:p>
        </w:tc>
        <w:tc>
          <w:tcPr>
            <w:tcW w:w="1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$45.5 million</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Subordinated debt and</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12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Adjusted EBITDA</w:t>
            </w: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3.3x – 5.5x</w:t>
            </w:r>
          </w:p>
        </w:tc>
        <w:tc>
          <w:tcPr>
            <w:tcW w:w="176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4.3x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second lien notes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Multiple</w:t>
            </w:r>
          </w:p>
        </w:tc>
        <w:tc>
          <w:tcPr>
            <w:tcW w:w="20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$1.8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$1.6 million - $2.0 million</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0.4x- 2.5x</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Waterfall and</w:t>
            </w: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Revenue Multiple</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$18.9 million - $38.6</w:t>
            </w:r>
          </w:p>
        </w:tc>
        <w:tc>
          <w:tcPr>
            <w:tcW w:w="1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1.6x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 million</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Asset (1)</w:t>
            </w: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Revenue</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1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$27.1 million</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debt and first</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12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Required Rate of Return</w:t>
            </w: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8.6% - 33.3%</w:t>
            </w:r>
          </w:p>
        </w:tc>
        <w:tc>
          <w:tcPr>
            <w:tcW w:w="16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lien notes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Leverage Ratio</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0.8x – 5.2x</w:t>
            </w:r>
          </w:p>
        </w:tc>
        <w:tc>
          <w:tcPr>
            <w:tcW w:w="1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3.4x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161.6 million</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Income</w:t>
            </w: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$1.0 million- $99.3 million</w:t>
            </w:r>
          </w:p>
        </w:tc>
        <w:tc>
          <w:tcPr>
            <w:tcW w:w="1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$29.0 million</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debt and first</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0.4x – 2.5x</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 notes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Revenue Multiple</w:t>
            </w:r>
          </w:p>
        </w:tc>
        <w:tc>
          <w:tcPr>
            <w:tcW w:w="2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$18.9 million- $38.6</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0.5x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 million</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w w:val="91"/>
              </w:rPr>
              <w:t>Waterfall and Asset (1)</w:t>
            </w:r>
          </w:p>
        </w:tc>
        <w:tc>
          <w:tcPr>
            <w:tcW w:w="10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Revenue</w:t>
            </w:r>
          </w:p>
        </w:tc>
        <w:tc>
          <w:tcPr>
            <w:tcW w:w="2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million</w:t>
            </w:r>
          </w:p>
        </w:tc>
        <w:tc>
          <w:tcPr>
            <w:tcW w:w="2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$37.1 million</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shares and</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12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Adjusted EBITDA</w:t>
            </w: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line="217" w:lineRule="exact"/>
              <w:rPr>
                <w:sz w:val="20"/>
                <w:szCs w:val="20"/>
                <w:color w:val="auto"/>
              </w:rPr>
            </w:pPr>
            <w:r>
              <w:rPr>
                <w:rFonts w:ascii="Arial" w:cs="Arial" w:eastAsia="Arial" w:hAnsi="Arial"/>
                <w:sz w:val="16"/>
                <w:szCs w:val="16"/>
                <w:color w:val="auto"/>
              </w:rPr>
              <w:t xml:space="preserve">warrants </w:t>
            </w:r>
            <w:r>
              <w:rPr>
                <w:rFonts w:ascii="Arial" w:cs="Arial" w:eastAsia="Arial" w:hAnsi="Arial"/>
                <w:sz w:val="25"/>
                <w:szCs w:val="25"/>
                <w:color w:val="auto"/>
                <w:vertAlign w:val="superscript"/>
              </w:rPr>
              <w:t>(2)</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Multiple</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4.0x – 10.5x</w:t>
            </w:r>
          </w:p>
        </w:tc>
        <w:tc>
          <w:tcPr>
            <w:tcW w:w="1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7.2x</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vMerge w:val="continue"/>
            <w:shd w:val="clear" w:color="auto" w:fill="CCEEFF"/>
          </w:tcPr>
          <w:p>
            <w:pPr>
              <w:spacing w:after="0"/>
              <w:rPr>
                <w:sz w:val="17"/>
                <w:szCs w:val="17"/>
                <w:color w:val="auto"/>
              </w:rPr>
            </w:pPr>
          </w:p>
        </w:tc>
        <w:tc>
          <w:tcPr>
            <w:tcW w:w="212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Adjusted EBITDA</w:t>
            </w: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$1.6 million -$219.0 million</w:t>
            </w:r>
          </w:p>
        </w:tc>
        <w:tc>
          <w:tcPr>
            <w:tcW w:w="176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$28.7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 million</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Waterfall</w:t>
            </w: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$19.6 million in subordinated notes and $14.8 million senior notes were valued using the asset approach.</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our $10.0 million investment in CSLLF, measured at NAV.</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31" w:name="page32"/>
    <w:bookmarkEnd w:id="31"/>
    <w:p>
      <w:pPr>
        <w:ind w:right="360" w:firstLine="881"/>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December 31, 2014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Fair Value</w:t>
            </w:r>
          </w:p>
        </w:tc>
        <w:tc>
          <w:tcPr>
            <w:tcW w:w="1700" w:type="dxa"/>
            <w:vAlign w:val="bottom"/>
          </w:tcPr>
          <w:p>
            <w:pPr>
              <w:ind w:left="80"/>
              <w:spacing w:after="0"/>
              <w:rPr>
                <w:sz w:val="20"/>
                <w:szCs w:val="20"/>
                <w:color w:val="auto"/>
              </w:rPr>
            </w:pPr>
            <w:r>
              <w:rPr>
                <w:rFonts w:ascii="Arial" w:cs="Arial" w:eastAsia="Arial" w:hAnsi="Arial"/>
                <w:sz w:val="18"/>
                <w:szCs w:val="18"/>
                <w:b w:val="1"/>
                <w:bCs w:val="1"/>
                <w:color w:val="auto"/>
                <w:w w:val="94"/>
              </w:rPr>
              <w:t>Valuation Approach</w:t>
            </w:r>
          </w:p>
        </w:tc>
        <w:tc>
          <w:tcPr>
            <w:tcW w:w="100" w:type="dxa"/>
            <w:vAlign w:val="bottom"/>
          </w:tcPr>
          <w:p>
            <w:pPr>
              <w:spacing w:after="0"/>
              <w:rPr>
                <w:sz w:val="20"/>
                <w:szCs w:val="20"/>
                <w:color w:val="auto"/>
              </w:rPr>
            </w:pPr>
          </w:p>
        </w:tc>
        <w:tc>
          <w:tcPr>
            <w:tcW w:w="2020" w:type="dxa"/>
            <w:vAlign w:val="bottom"/>
            <w:gridSpan w:val="2"/>
          </w:tcPr>
          <w:p>
            <w:pPr>
              <w:ind w:left="440"/>
              <w:spacing w:after="0"/>
              <w:rPr>
                <w:sz w:val="20"/>
                <w:szCs w:val="20"/>
                <w:color w:val="auto"/>
              </w:rPr>
            </w:pPr>
            <w:r>
              <w:rPr>
                <w:rFonts w:ascii="Arial" w:cs="Arial" w:eastAsia="Arial" w:hAnsi="Arial"/>
                <w:sz w:val="18"/>
                <w:szCs w:val="18"/>
                <w:b w:val="1"/>
                <w:bCs w:val="1"/>
                <w:color w:val="auto"/>
              </w:rPr>
              <w:t>Level 3 Input</w:t>
            </w:r>
          </w:p>
        </w:tc>
        <w:tc>
          <w:tcPr>
            <w:tcW w:w="2060" w:type="dxa"/>
            <w:vAlign w:val="bottom"/>
          </w:tcPr>
          <w:p>
            <w:pPr>
              <w:ind w:left="400"/>
              <w:spacing w:after="0"/>
              <w:rPr>
                <w:sz w:val="20"/>
                <w:szCs w:val="20"/>
                <w:color w:val="auto"/>
              </w:rPr>
            </w:pPr>
            <w:r>
              <w:rPr>
                <w:rFonts w:ascii="Arial" w:cs="Arial" w:eastAsia="Arial" w:hAnsi="Arial"/>
                <w:sz w:val="18"/>
                <w:szCs w:val="18"/>
                <w:b w:val="1"/>
                <w:bCs w:val="1"/>
                <w:color w:val="auto"/>
              </w:rPr>
              <w:t>Range of Inputs</w:t>
            </w:r>
          </w:p>
        </w:tc>
        <w:tc>
          <w:tcPr>
            <w:tcW w:w="2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Subordinated debt and</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12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Required Rate of Return</w:t>
            </w: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10.0% - 20.0%</w:t>
            </w:r>
          </w:p>
        </w:tc>
        <w:tc>
          <w:tcPr>
            <w:tcW w:w="16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second lien notes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Leverage Ratio</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0.8x – 8.0x</w:t>
            </w:r>
          </w:p>
        </w:tc>
        <w:tc>
          <w:tcPr>
            <w:tcW w:w="1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3.8x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195.0 million</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Income</w:t>
            </w: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8"/>
              </w:rPr>
              <w:t>$2.1 million-$204.1 million</w:t>
            </w:r>
          </w:p>
        </w:tc>
        <w:tc>
          <w:tcPr>
            <w:tcW w:w="1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$44.6 million</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Subordinated debt and</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12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Adjusted EBITDA</w:t>
            </w: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3.3x – 5.5x</w:t>
            </w:r>
          </w:p>
        </w:tc>
        <w:tc>
          <w:tcPr>
            <w:tcW w:w="176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4.3x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second lien notes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Multiple</w:t>
            </w:r>
          </w:p>
        </w:tc>
        <w:tc>
          <w:tcPr>
            <w:tcW w:w="20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$1.8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$1.6 million - $2.0 million</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0.4x- 2.5x</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Waterfall and</w:t>
            </w: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Revenue Multiple</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$17.2 million - $39.7</w:t>
            </w:r>
          </w:p>
        </w:tc>
        <w:tc>
          <w:tcPr>
            <w:tcW w:w="1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1.5x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 million</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Asset (1)</w:t>
            </w: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Revenue</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million</w:t>
            </w:r>
          </w:p>
        </w:tc>
        <w:tc>
          <w:tcPr>
            <w:tcW w:w="1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$27.6 million</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debt and first</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12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Required Rate of Return</w:t>
            </w: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6.8% - 33.3%</w:t>
            </w:r>
          </w:p>
        </w:tc>
        <w:tc>
          <w:tcPr>
            <w:tcW w:w="16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lien notes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Leverage Ratio</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1.1x – 6.2x</w:t>
            </w:r>
          </w:p>
        </w:tc>
        <w:tc>
          <w:tcPr>
            <w:tcW w:w="1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3.7x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127.8 million</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Income</w:t>
            </w: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$1.0 million- $95.4 million</w:t>
            </w:r>
          </w:p>
        </w:tc>
        <w:tc>
          <w:tcPr>
            <w:tcW w:w="1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$22.0 million</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debt and first</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0.4x – 2.5x</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 notes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Revenue Multiple</w:t>
            </w:r>
          </w:p>
        </w:tc>
        <w:tc>
          <w:tcPr>
            <w:tcW w:w="2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$17.2 million- $39.7</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0.5x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 million</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w w:val="91"/>
              </w:rPr>
              <w:t>Waterfall and Asset (1)</w:t>
            </w:r>
          </w:p>
        </w:tc>
        <w:tc>
          <w:tcPr>
            <w:tcW w:w="10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Revenue</w:t>
            </w:r>
          </w:p>
        </w:tc>
        <w:tc>
          <w:tcPr>
            <w:tcW w:w="2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million</w:t>
            </w:r>
          </w:p>
        </w:tc>
        <w:tc>
          <w:tcPr>
            <w:tcW w:w="2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$37.7 million</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shares and</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12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Adjusted EBITDA</w:t>
            </w: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Multiple</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5.0x – 10.5x</w:t>
            </w:r>
          </w:p>
        </w:tc>
        <w:tc>
          <w:tcPr>
            <w:tcW w:w="1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7.0x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5"/>
              </w:rPr>
              <w:t>$1.6 million -$215.3 million</w:t>
            </w:r>
          </w:p>
        </w:tc>
        <w:tc>
          <w:tcPr>
            <w:tcW w:w="1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$26.3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100.8 million</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Waterfall</w:t>
            </w:r>
          </w:p>
        </w:tc>
        <w:tc>
          <w:tcPr>
            <w:tcW w:w="2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Transaction Price</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1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$12.2 million in subordinated notes and $14.1 million in senior notes were valued using the asset approach.</w:t>
      </w:r>
    </w:p>
    <w:p>
      <w:pPr>
        <w:spacing w:after="0" w:line="225" w:lineRule="exact"/>
        <w:rPr>
          <w:sz w:val="20"/>
          <w:szCs w:val="20"/>
          <w:color w:val="auto"/>
        </w:rPr>
      </w:pPr>
    </w:p>
    <w:p>
      <w:pPr>
        <w:ind w:right="140" w:firstLine="881"/>
        <w:spacing w:after="0" w:line="257" w:lineRule="auto"/>
        <w:rPr>
          <w:sz w:val="20"/>
          <w:szCs w:val="20"/>
          <w:color w:val="auto"/>
        </w:rPr>
      </w:pPr>
      <w:r>
        <w:rPr>
          <w:rFonts w:ascii="Arial" w:cs="Arial" w:eastAsia="Arial" w:hAnsi="Arial"/>
          <w:sz w:val="18"/>
          <w:szCs w:val="18"/>
          <w:color w:val="auto"/>
        </w:rPr>
        <w:t>The significant unobservable inputs used in the valuation of the Company’s debt and equity investments are required rate of return, adjusted EBITDA, EBITDA multiples, revenue, revenue multiples, leverage and transaction prices. Changes in any of these unobservable inputs could have a significant impact on the Company’s estimate of fair value. An increase (decrease) in required rate of return or leverage will result in a lower (higher) estimate of fair value while an increase (decrease) in adjusted EBITDA, EBITDA multiples, revenue, revenue multiples, or transaction prices will result in a higher (lower) estimate of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presents the carrying value and fair value of the Company’s financial liabilities disclosed, but not carried, at fair value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2015, and the level of each financial liability within the fair value hierarchy: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194,614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194,614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Notes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113,438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117,476</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117,476</w:t>
            </w:r>
          </w:p>
        </w:tc>
        <w:tc>
          <w:tcPr>
            <w:tcW w:w="20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14,919</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14,919</w:t>
            </w:r>
          </w:p>
        </w:tc>
        <w:tc>
          <w:tcPr>
            <w:tcW w:w="26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320,638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327,009</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117,476</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629"/>
        </w:trPr>
        <w:tc>
          <w:tcPr>
            <w:tcW w:w="3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25</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68" w:right="239" w:bottom="1440" w:gutter="0" w:footer="0" w:header="0"/>
        </w:sectPr>
      </w:pPr>
    </w:p>
    <w:bookmarkStart w:id="32" w:name="page33"/>
    <w:bookmarkEnd w:id="32"/>
    <w:p>
      <w:pPr>
        <w:ind w:left="880"/>
        <w:spacing w:after="0"/>
        <w:rPr>
          <w:sz w:val="20"/>
          <w:szCs w:val="20"/>
          <w:color w:val="auto"/>
        </w:rPr>
      </w:pPr>
      <w:r>
        <w:rPr>
          <w:rFonts w:ascii="Arial" w:cs="Arial" w:eastAsia="Arial" w:hAnsi="Arial"/>
          <w:sz w:val="16"/>
          <w:szCs w:val="16"/>
          <w:color w:val="auto"/>
        </w:rPr>
        <w:t>The following table presents the carrying value and fair value of the Company’s financial liabilities disclosed, but not carried, at fair value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and the level of each financial liability within the fair value hierarchy:</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191,947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Notes</w:t>
            </w: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113,438</w:t>
            </w: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115,479</w:t>
            </w: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115,479</w:t>
            </w:r>
          </w:p>
        </w:tc>
        <w:tc>
          <w:tcPr>
            <w:tcW w:w="200" w:type="dxa"/>
            <w:vAlign w:val="bottom"/>
          </w:tcPr>
          <w:p>
            <w:pPr>
              <w:spacing w:after="0"/>
              <w:rPr>
                <w:sz w:val="19"/>
                <w:szCs w:val="19"/>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The estimated fair value of the Company’s SBA debentures was based on future contractual cash payments discounted at market interest rates to borrow from the SBA as of the measurement date.</w:t>
      </w:r>
    </w:p>
    <w:p>
      <w:pPr>
        <w:spacing w:after="0" w:line="170" w:lineRule="exact"/>
        <w:rPr>
          <w:sz w:val="20"/>
          <w:szCs w:val="20"/>
          <w:color w:val="auto"/>
        </w:rPr>
      </w:pPr>
    </w:p>
    <w:p>
      <w:pPr>
        <w:ind w:right="180" w:firstLine="881"/>
        <w:spacing w:after="0" w:line="277" w:lineRule="auto"/>
        <w:rPr>
          <w:sz w:val="20"/>
          <w:szCs w:val="20"/>
          <w:color w:val="auto"/>
        </w:rPr>
      </w:pPr>
      <w:r>
        <w:rPr>
          <w:rFonts w:ascii="Arial" w:cs="Arial" w:eastAsia="Arial" w:hAnsi="Arial"/>
          <w:sz w:val="18"/>
          <w:szCs w:val="18"/>
          <w:color w:val="auto"/>
        </w:rPr>
        <w:t>The estimated fair value of the Notes was based on the March 31, 2015 closing price as the Notes are traded on the New York Stock Exchange under the ticker “CLA.”</w:t>
      </w:r>
    </w:p>
    <w:p>
      <w:pPr>
        <w:spacing w:after="0" w:line="170" w:lineRule="exact"/>
        <w:rPr>
          <w:sz w:val="20"/>
          <w:szCs w:val="20"/>
          <w:color w:val="auto"/>
        </w:rPr>
      </w:pPr>
    </w:p>
    <w:p>
      <w:pPr>
        <w:ind w:right="340" w:firstLine="881"/>
        <w:spacing w:after="0" w:line="277" w:lineRule="auto"/>
        <w:rPr>
          <w:sz w:val="20"/>
          <w:szCs w:val="20"/>
          <w:color w:val="auto"/>
        </w:rPr>
      </w:pPr>
      <w:r>
        <w:rPr>
          <w:rFonts w:ascii="Arial" w:cs="Arial" w:eastAsia="Arial" w:hAnsi="Arial"/>
          <w:sz w:val="18"/>
          <w:szCs w:val="18"/>
          <w:color w:val="auto"/>
        </w:rPr>
        <w:t>The estimated fair value of the Company’s Revolving Credit Facility was based on future contractual cash payments discounted at estimated market interest rates for similar debt.</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5. Agreements</w:t>
      </w:r>
    </w:p>
    <w:p>
      <w:pPr>
        <w:spacing w:after="0" w:line="229"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On September 24, 2013, the Company entered into an investment advisory agreement (the “Investment Advisory Agreement”) with our Investment Advisor, which was approved by the Board of Directors of the Company on June 10, 2013. The initial term of the Investment Advisory Agreement is two years, with automatic, one-year renewals at the end of each year subject to certain approvals by our Board and/or our stockholders. Subject to the overall supervision of our Board, our Investment Advisor manages our day-to-day operations, and provides investment advisory and management services to us. Under the terms of our Investment Advisory Agreement, the Investment Advisor:</w:t>
      </w:r>
    </w:p>
    <w:p>
      <w:pPr>
        <w:spacing w:after="0" w:line="188" w:lineRule="exact"/>
        <w:rPr>
          <w:sz w:val="20"/>
          <w:szCs w:val="20"/>
          <w:color w:val="auto"/>
        </w:rPr>
      </w:pPr>
    </w:p>
    <w:p>
      <w:pPr>
        <w:ind w:left="1720" w:right="220" w:hanging="564"/>
        <w:spacing w:after="0" w:line="277" w:lineRule="auto"/>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170" w:lineRule="exact"/>
        <w:rPr>
          <w:rFonts w:ascii="Arial" w:cs="Arial" w:eastAsia="Arial" w:hAnsi="Arial"/>
          <w:sz w:val="18"/>
          <w:szCs w:val="18"/>
          <w:color w:val="auto"/>
        </w:rPr>
      </w:pPr>
    </w:p>
    <w:p>
      <w:pPr>
        <w:ind w:left="1720" w:right="80" w:hanging="564"/>
        <w:spacing w:after="0" w:line="277" w:lineRule="auto"/>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170" w:lineRule="exact"/>
        <w:rPr>
          <w:rFonts w:ascii="Arial" w:cs="Arial" w:eastAsia="Arial" w:hAnsi="Arial"/>
          <w:sz w:val="18"/>
          <w:szCs w:val="18"/>
          <w:color w:val="auto"/>
        </w:rPr>
      </w:pPr>
    </w:p>
    <w:p>
      <w:pPr>
        <w:ind w:left="1720" w:hanging="564"/>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225"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70" w:lineRule="exact"/>
        <w:rPr>
          <w:sz w:val="20"/>
          <w:szCs w:val="20"/>
          <w:color w:val="auto"/>
        </w:rPr>
      </w:pPr>
    </w:p>
    <w:p>
      <w:pPr>
        <w:ind w:right="140" w:firstLine="881"/>
        <w:spacing w:after="0" w:line="276" w:lineRule="auto"/>
        <w:rPr>
          <w:sz w:val="20"/>
          <w:szCs w:val="20"/>
          <w:color w:val="auto"/>
        </w:rPr>
      </w:pPr>
      <w:r>
        <w:rPr>
          <w:rFonts w:ascii="Arial" w:cs="Arial" w:eastAsia="Arial" w:hAnsi="Arial"/>
          <w:sz w:val="17"/>
          <w:szCs w:val="17"/>
          <w:color w:val="auto"/>
        </w:rPr>
        <w:t>The Investment Advisory Agreement provides that, absent willful misfeasance, bad faith or gross negligence in the performance of its duties or by reason of the reckless disregard of its duties and obligations, our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73"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Pursuant to the Investment Advisory Agreement, we have agreed to pay the Investment Advisor a fee for investment advisory and management services consisting of two components — a base management fee and an incentive fee.</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084" w:right="319" w:bottom="1440" w:gutter="0" w:footer="0" w:header="0"/>
        </w:sectPr>
      </w:pPr>
    </w:p>
    <w:bookmarkStart w:id="33" w:name="page34"/>
    <w:bookmarkEnd w:id="33"/>
    <w:p>
      <w:pPr>
        <w:ind w:right="120" w:firstLine="881"/>
        <w:spacing w:after="0" w:line="270" w:lineRule="auto"/>
        <w:rPr>
          <w:sz w:val="20"/>
          <w:szCs w:val="20"/>
          <w:color w:val="auto"/>
        </w:rPr>
      </w:pPr>
      <w:r>
        <w:rPr>
          <w:rFonts w:ascii="Arial" w:cs="Arial" w:eastAsia="Arial" w:hAnsi="Arial"/>
          <w:sz w:val="17"/>
          <w:szCs w:val="17"/>
          <w:color w:val="auto"/>
        </w:rPr>
        <w:t>The base management fee is calculated at an annual rate of 1.75% of our gross assets, which is our total assets as reflected on our Consolidated Statements of Assets and Liabilities and includes any borrowings for investment purposes. Although we do not anticipate making significant investments in derivative financial instruments, the fair value of any such investments, which will not necessarily equal their notional value, will be included in our calculation of gross assets. For services rendered under the Investment Advisory Agreement, the base management fee is payable quarterly in arrears. The base management fee was initially calculated based on the value of our gross assets at the end of the first calendar quarter subsequent to our IPO, and thereafter based on the average value of our gross assets at the end of the two most recently completed calendar quarters, and appropriately adjusted for any share issuances or repurchases during the current calendar quarter. For the first twelve months following our IPO, the Investment Advisor waived the portion of the base management fee payable on cash and cash equivalents held at the Company level, excluding cash and cash equivalents held by the Legacy Funds that were acquired by the Company in connection with the Formation Transactions.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ind w:right="20" w:firstLine="881"/>
        <w:spacing w:after="0" w:line="287" w:lineRule="auto"/>
        <w:rPr>
          <w:sz w:val="20"/>
          <w:szCs w:val="20"/>
          <w:color w:val="auto"/>
        </w:rPr>
      </w:pPr>
      <w:r>
        <w:rPr>
          <w:rFonts w:ascii="Arial" w:cs="Arial" w:eastAsia="Arial" w:hAnsi="Arial"/>
          <w:sz w:val="16"/>
          <w:szCs w:val="16"/>
          <w:color w:val="auto"/>
        </w:rPr>
        <w:t>The first part of the incentive fee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Our net investment income used to calculate this part of the incentive fee is also included in the amount of our gross assets used to calculate the 1.75% base management fee. We pay the Investment Advisor an incentive fee with respect to our pre-incentive fee net investment income in each calendar quarter as follows:</w:t>
      </w:r>
    </w:p>
    <w:p>
      <w:pPr>
        <w:spacing w:after="0" w:line="169" w:lineRule="exact"/>
        <w:rPr>
          <w:sz w:val="20"/>
          <w:szCs w:val="20"/>
          <w:color w:val="auto"/>
        </w:rPr>
      </w:pPr>
    </w:p>
    <w:p>
      <w:pPr>
        <w:ind w:left="1720" w:right="380" w:hanging="564"/>
        <w:spacing w:after="0" w:line="277" w:lineRule="auto"/>
        <w:tabs>
          <w:tab w:leader="none" w:pos="1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our pre-incentive fee net investment income does not exceed the hurdle of 2.0% (8.0% annualized);</w:t>
      </w:r>
    </w:p>
    <w:p>
      <w:pPr>
        <w:spacing w:after="0" w:line="170" w:lineRule="exact"/>
        <w:rPr>
          <w:rFonts w:ascii="Arial" w:cs="Arial" w:eastAsia="Arial" w:hAnsi="Arial"/>
          <w:sz w:val="18"/>
          <w:szCs w:val="18"/>
          <w:color w:val="auto"/>
        </w:rPr>
      </w:pPr>
    </w:p>
    <w:p>
      <w:pPr>
        <w:ind w:left="1720" w:right="180" w:hanging="564"/>
        <w:spacing w:after="0" w:line="257" w:lineRule="auto"/>
        <w:tabs>
          <w:tab w:leader="none" w:pos="1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our pre-incentive fee net investment income with respect to that portion of such pre-incentive fee net investment income, if any, that exceeds the hurdle but is less than 2.5% in any calendar quarter (10.0% annualized). We refer to this portion of our pre-incentive fee net investment income (which exceeds the hurdle but is less than 2.5%) as the “catch-up.” The “catch-up” is meant to provide our Investment Advisor with 20% of our pre-incentive fee net investment income as if a hurdle did not apply if this net investment income exceeds 2.5% in any calendar quarter; and</w:t>
      </w:r>
    </w:p>
    <w:p>
      <w:pPr>
        <w:spacing w:after="0" w:line="188" w:lineRule="exact"/>
        <w:rPr>
          <w:rFonts w:ascii="Arial" w:cs="Arial" w:eastAsia="Arial" w:hAnsi="Arial"/>
          <w:sz w:val="18"/>
          <w:szCs w:val="18"/>
          <w:color w:val="auto"/>
        </w:rPr>
      </w:pPr>
    </w:p>
    <w:p>
      <w:pPr>
        <w:ind w:left="1720" w:hanging="564"/>
        <w:spacing w:after="0" w:line="264" w:lineRule="auto"/>
        <w:tabs>
          <w:tab w:leader="none" w:pos="1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181" w:lineRule="exact"/>
        <w:rPr>
          <w:sz w:val="20"/>
          <w:szCs w:val="20"/>
          <w:color w:val="auto"/>
        </w:rPr>
      </w:pPr>
    </w:p>
    <w:p>
      <w:pPr>
        <w:ind w:firstLine="881"/>
        <w:spacing w:after="0" w:line="302"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Agreement, as of the termination date), commencing with the 2013 calendar year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54" w:lineRule="exact"/>
        <w:rPr>
          <w:sz w:val="20"/>
          <w:szCs w:val="20"/>
          <w:color w:val="auto"/>
        </w:rPr>
      </w:pPr>
    </w:p>
    <w:p>
      <w:pPr>
        <w:ind w:right="60" w:firstLine="881"/>
        <w:spacing w:after="0" w:line="293" w:lineRule="auto"/>
        <w:rPr>
          <w:sz w:val="20"/>
          <w:szCs w:val="20"/>
          <w:color w:val="auto"/>
        </w:rPr>
      </w:pPr>
      <w:r>
        <w:rPr>
          <w:rFonts w:ascii="Arial" w:cs="Arial" w:eastAsia="Arial" w:hAnsi="Arial"/>
          <w:sz w:val="16"/>
          <w:szCs w:val="16"/>
          <w:color w:val="auto"/>
        </w:rPr>
        <w:t>We will defer cash payment of the portion of any incentive fee otherwise earned by our Investment Advisor that would, when taken together with all other incentive fees paid to our Investment Advisor during the most recent 12 full calendar month period ending on or prior to the date such payment is to be made, exceed 20% of the sum of (a) our pre-incentive fee net investment income during such period, (b) our net unrealized appreciation or depreciation during such period and (c) our net realized capital gains or losses during such period. Any deferred incentive fees will be carried over for payment in subsequent calculation periods to the extent such payment is payable under the Investment Advisory Agreement. Such deferred amounts will be calculated using a period of shorter than 12 full calendar months until 12 full calendar months have passed since completion of our IPO.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34" w:name="page35"/>
    <w:bookmarkEnd w:id="34"/>
    <w:p>
      <w:pPr>
        <w:jc w:val="both"/>
        <w:ind w:right="120" w:firstLine="881"/>
        <w:spacing w:after="0" w:line="312" w:lineRule="auto"/>
        <w:rPr>
          <w:sz w:val="20"/>
          <w:szCs w:val="20"/>
          <w:color w:val="auto"/>
        </w:rPr>
      </w:pPr>
      <w:r>
        <w:rPr>
          <w:rFonts w:ascii="Arial" w:cs="Arial" w:eastAsia="Arial" w:hAnsi="Arial"/>
          <w:sz w:val="16"/>
          <w:szCs w:val="16"/>
          <w:color w:val="auto"/>
        </w:rPr>
        <w:t>For the three months ended March 31, 2015 and 2014, we incurred $2.4 million and $2.0 million in base management fees, respectively. For the three months ended March 31, 2015 and 2014, our Investment Advisor waived fees of $0 and $0.1 million, respectively. For the three months ended March 31, 2015 and 2014, we incurred $1.2 million and $1.4 million, respectively, in incentive fees related to pre-incentive fee net investment income.</w:t>
      </w:r>
    </w:p>
    <w:p>
      <w:pPr>
        <w:spacing w:after="0" w:line="147"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On September 24, 2013, the Company entered into an administration agreement (the “Administration Agreement”) with Capitala Advisors Corp., our Administrator, pursuant to which our Administrator has agreed to furnish us with office facilities, equipment and clerical, bookkeeping and record keeping services at such facilities. Our Administrator also performs, or oversees the performance of, our required administrative services, which include, among other things, being responsible for the financial records that we are required to maintain and preparing reports to our stockholders.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w:t>
      </w:r>
    </w:p>
    <w:p>
      <w:pPr>
        <w:spacing w:after="0" w:line="189"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Payments under the Administration Agreement are equal to an amount based upon our allocable portion of our Administrator’s overhead in performing its obligations under the Administration Agreement, including rent, the fees and expenses associated with performing compliance functions and our allocable portion of the compensation of our chief financial officer, chief compliance officer and our allocable portion of the compensation of any administrative support staff. Under the Administration Agreement, our Administrator will also provide on our behalf managerial assistance to those portfolio companies that request such assistance. The Administration Agreement has an initial term of two years and may be renewed annually with the approval of our Board. The Administration Agreement may be terminated by either party without penalty upon 60 days’ written notice to the other party. To the extent that our Administrator outsources any of its functions, we will pay the fees associated with such functions on a direct basis without any incremental profit to our Administrator. Stockholder approval is not required to amend the Administration Agreement.</w:t>
      </w:r>
    </w:p>
    <w:p>
      <w:pPr>
        <w:spacing w:after="0" w:line="179" w:lineRule="exact"/>
        <w:rPr>
          <w:sz w:val="20"/>
          <w:szCs w:val="20"/>
          <w:color w:val="auto"/>
        </w:rPr>
      </w:pPr>
    </w:p>
    <w:p>
      <w:pPr>
        <w:ind w:right="260" w:firstLine="881"/>
        <w:spacing w:after="0" w:line="277" w:lineRule="auto"/>
        <w:rPr>
          <w:sz w:val="20"/>
          <w:szCs w:val="20"/>
          <w:color w:val="auto"/>
        </w:rPr>
      </w:pPr>
      <w:r>
        <w:rPr>
          <w:rFonts w:ascii="Arial" w:cs="Arial" w:eastAsia="Arial" w:hAnsi="Arial"/>
          <w:sz w:val="18"/>
          <w:szCs w:val="18"/>
          <w:color w:val="auto"/>
        </w:rPr>
        <w:t>For the three months ended March 31, 2015 and 2014, we paid our administrator $0.3 million and $0.2 million for our allocable portion of the Administrator’s overhead.</w:t>
      </w:r>
    </w:p>
    <w:p>
      <w:pPr>
        <w:spacing w:after="0" w:line="170" w:lineRule="exact"/>
        <w:rPr>
          <w:sz w:val="20"/>
          <w:szCs w:val="20"/>
          <w:color w:val="auto"/>
        </w:rPr>
      </w:pPr>
    </w:p>
    <w:p>
      <w:pPr>
        <w:ind w:right="200" w:firstLine="881"/>
        <w:spacing w:after="0" w:line="257" w:lineRule="auto"/>
        <w:rPr>
          <w:sz w:val="20"/>
          <w:szCs w:val="20"/>
          <w:color w:val="auto"/>
        </w:rPr>
      </w:pPr>
      <w:r>
        <w:rPr>
          <w:rFonts w:ascii="Arial" w:cs="Arial" w:eastAsia="Arial" w:hAnsi="Arial"/>
          <w:sz w:val="18"/>
          <w:szCs w:val="18"/>
          <w:color w:val="auto"/>
        </w:rPr>
        <w:t>The Administration Agreement provides that, absent willful misfeasance, bad faith or gross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229" w:lineRule="exact"/>
        <w:rPr>
          <w:sz w:val="20"/>
          <w:szCs w:val="20"/>
          <w:color w:val="auto"/>
        </w:rPr>
      </w:pPr>
    </w:p>
    <w:p>
      <w:pPr>
        <w:ind w:right="920" w:firstLine="881"/>
        <w:spacing w:after="0" w:line="277" w:lineRule="auto"/>
        <w:rPr>
          <w:sz w:val="20"/>
          <w:szCs w:val="20"/>
          <w:color w:val="auto"/>
        </w:rPr>
      </w:pPr>
      <w:r>
        <w:rPr>
          <w:rFonts w:ascii="Arial" w:cs="Arial" w:eastAsia="Arial" w:hAnsi="Arial"/>
          <w:sz w:val="18"/>
          <w:szCs w:val="18"/>
          <w:color w:val="auto"/>
        </w:rPr>
        <w:t>At March 31, 2015 and December 31, 2014, the Company had the following receivables from (payables to) related parties relating to management fees, incentive fees, and reimbursable expenses (dollars in thousands):</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March 31, 2015</w:t>
            </w:r>
          </w:p>
        </w:tc>
        <w:tc>
          <w:tcPr>
            <w:tcW w:w="20" w:type="dxa"/>
            <w:vAlign w:val="bottom"/>
          </w:tcPr>
          <w:p>
            <w:pPr>
              <w:spacing w:after="0"/>
              <w:rPr>
                <w:sz w:val="20"/>
                <w:szCs w:val="20"/>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 2014</w:t>
            </w: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CapitalSouth Corporation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Shareholders/Limited Partners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Capitala Investment Advisors, LLC</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(1,211)</w:t>
            </w: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These amounts are reflected in the accompanying statements of financial position under the captions, “Due from related parties”, “Management and incentive fee payable” and “Due to related parties.”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At times, the Company maintains deposit accounts and certificates of deposit with financial institutions that are shareholders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Total deposits with these financial institutions were approximately $31 thousand and $31 thousand at March 31, 2015 and December 31, 2014, respectively.</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68"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7.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225" w:lineRule="exact"/>
        <w:rPr>
          <w:sz w:val="20"/>
          <w:szCs w:val="20"/>
          <w:color w:val="auto"/>
        </w:rPr>
      </w:pPr>
    </w:p>
    <w:p>
      <w:pPr>
        <w:ind w:right="100" w:firstLine="881"/>
        <w:spacing w:after="0" w:line="285" w:lineRule="auto"/>
        <w:rPr>
          <w:sz w:val="20"/>
          <w:szCs w:val="20"/>
          <w:color w:val="auto"/>
        </w:rPr>
      </w:pPr>
      <w:r>
        <w:rPr>
          <w:rFonts w:ascii="Arial" w:cs="Arial" w:eastAsia="Arial" w:hAnsi="Arial"/>
          <w:sz w:val="16"/>
          <w:szCs w:val="16"/>
          <w:color w:val="auto"/>
        </w:rPr>
        <w:t>The Company, through its two wholly-owned subsidiaries, uses debenture leverage provided through the SBA to fund a portion of its investment portfolio. As of March 31, 2015, the Company has issued $192.2 million of SBA-guaranteed debentures. The Company has issued all SBA-guaranteed debentures that were permitted under each of the Legacy Funds’ respective SBIC licenses (as applicable), and there are no unused SBA debenture commitments remaining. SBA-guaranteed debentures are secured by a lien on all assets of Fund II and Fund III. As of March 31, 2015, Fund II and Fund III had total assets of approximately $365.9 million. On June 10, 2014, the Company received an exemptive order from the SEC exempting the Company, Fund</w:t>
      </w:r>
    </w:p>
    <w:p>
      <w:pPr>
        <w:spacing w:after="0" w:line="2" w:lineRule="exact"/>
        <w:rPr>
          <w:sz w:val="20"/>
          <w:szCs w:val="20"/>
          <w:color w:val="auto"/>
        </w:rPr>
      </w:pPr>
    </w:p>
    <w:p>
      <w:pPr>
        <w:jc w:val="both"/>
        <w:ind w:right="640" w:firstLine="8"/>
        <w:spacing w:after="0" w:line="277" w:lineRule="auto"/>
        <w:tabs>
          <w:tab w:leader="none" w:pos="165" w:val="left"/>
        </w:tabs>
        <w:numPr>
          <w:ilvl w:val="0"/>
          <w:numId w:val="9"/>
        </w:numPr>
        <w:rPr>
          <w:rFonts w:ascii="Arial" w:cs="Arial" w:eastAsia="Arial" w:hAnsi="Arial"/>
          <w:sz w:val="17"/>
          <w:szCs w:val="17"/>
          <w:color w:val="auto"/>
        </w:rPr>
      </w:pPr>
      <w:r>
        <w:rPr>
          <w:rFonts w:ascii="Arial" w:cs="Arial" w:eastAsia="Arial" w:hAnsi="Arial"/>
          <w:sz w:val="17"/>
          <w:szCs w:val="17"/>
          <w:color w:val="auto"/>
        </w:rPr>
        <w:t>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The Company intends to comply with the conditions of the order.</w:t>
      </w:r>
    </w:p>
    <w:p>
      <w:pPr>
        <w:spacing w:after="0" w:line="173" w:lineRule="exact"/>
        <w:rPr>
          <w:sz w:val="20"/>
          <w:szCs w:val="20"/>
          <w:color w:val="auto"/>
        </w:rPr>
      </w:pPr>
    </w:p>
    <w:p>
      <w:pPr>
        <w:ind w:right="120" w:firstLine="881"/>
        <w:spacing w:after="0" w:line="255" w:lineRule="auto"/>
        <w:rPr>
          <w:sz w:val="20"/>
          <w:szCs w:val="20"/>
          <w:color w:val="auto"/>
        </w:rPr>
      </w:pPr>
      <w:r>
        <w:rPr>
          <w:rFonts w:ascii="Arial" w:cs="Arial" w:eastAsia="Arial" w:hAnsi="Arial"/>
          <w:sz w:val="18"/>
          <w:szCs w:val="18"/>
          <w:color w:val="auto"/>
        </w:rPr>
        <w:t>For the three months ended March 31, 2015 and March 31, 2014, the Company recorded $2.1 million and $2.2 million, respectively, of interest, annual charges, and financing expenses related to the SBA guaranteed debentures, of which $1.9 million and $2.0 million, respectively, was attributable to interest expense and annual charges, and $0.2 million and $0.2 million, respectively, was attributable to amortization of commitment and upfront fees. The weighted average interest rate for all SBA-guaranteed debentures as of March 31, 2015 and December 31, 2014 was 3.51% and 3.51%, respectively. In addition to the stated interest rate, the SBA also charges an annual fee on all SBA-guaranteed debentures issued, which is included in the Company’s interest expense. The weighted average annual fee for all SBA-guaranteed debentures as of March 31, 2015 and December 31, 2014 was 0.48% and 0.48%, respectively.</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of March 31, 2015 and December 31, 2014, the Company’s issued and outstanding SBA-guaranteed debentures mature as follows (dollars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Arial" w:cs="Arial" w:eastAsia="Arial" w:hAnsi="Arial"/>
                <w:sz w:val="18"/>
                <w:szCs w:val="18"/>
                <w:b w:val="1"/>
                <w:bCs w:val="1"/>
                <w:color w:val="auto"/>
              </w:rPr>
              <w:t>Fixed Maturity Date</w:t>
            </w:r>
          </w:p>
        </w:tc>
        <w:tc>
          <w:tcPr>
            <w:tcW w:w="120" w:type="dxa"/>
            <w:vAlign w:val="bottom"/>
          </w:tcPr>
          <w:p>
            <w:pPr>
              <w:spacing w:after="0"/>
              <w:rPr>
                <w:sz w:val="20"/>
                <w:szCs w:val="20"/>
                <w:color w:val="auto"/>
              </w:rPr>
            </w:pPr>
          </w:p>
        </w:tc>
        <w:tc>
          <w:tcPr>
            <w:tcW w:w="1460" w:type="dxa"/>
            <w:vAlign w:val="bottom"/>
          </w:tcPr>
          <w:p>
            <w:pPr>
              <w:ind w:left="220"/>
              <w:spacing w:after="0"/>
              <w:rPr>
                <w:sz w:val="20"/>
                <w:szCs w:val="20"/>
                <w:color w:val="auto"/>
              </w:rPr>
            </w:pPr>
            <w:r>
              <w:rPr>
                <w:rFonts w:ascii="Arial" w:cs="Arial" w:eastAsia="Arial" w:hAnsi="Arial"/>
                <w:sz w:val="18"/>
                <w:szCs w:val="18"/>
                <w:b w:val="1"/>
                <w:bCs w:val="1"/>
                <w:color w:val="auto"/>
              </w:rPr>
              <w:t>Interest Rate</w:t>
            </w:r>
          </w:p>
        </w:tc>
        <w:tc>
          <w:tcPr>
            <w:tcW w:w="26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SBA Annual Charge</w:t>
            </w:r>
          </w:p>
        </w:tc>
        <w:tc>
          <w:tcPr>
            <w:tcW w:w="100" w:type="dxa"/>
            <w:vAlign w:val="bottom"/>
          </w:tcPr>
          <w:p>
            <w:pPr>
              <w:spacing w:after="0"/>
              <w:rPr>
                <w:sz w:val="20"/>
                <w:szCs w:val="20"/>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March 31, 2015</w:t>
            </w: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2014</w:t>
            </w:r>
          </w:p>
        </w:tc>
        <w:tc>
          <w:tcPr>
            <w:tcW w:w="0" w:type="dxa"/>
            <w:vAlign w:val="bottom"/>
          </w:tcPr>
          <w:p>
            <w:pPr>
              <w:spacing w:after="0"/>
              <w:rPr>
                <w:sz w:val="1"/>
                <w:szCs w:val="1"/>
                <w:color w:val="auto"/>
              </w:rPr>
            </w:pPr>
          </w:p>
        </w:tc>
      </w:tr>
      <w:tr>
        <w:trPr>
          <w:trHeight w:val="20"/>
        </w:trPr>
        <w:tc>
          <w:tcPr>
            <w:tcW w:w="44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September 1, 2015</w:t>
            </w:r>
          </w:p>
        </w:tc>
        <w:tc>
          <w:tcPr>
            <w:tcW w:w="120" w:type="dxa"/>
            <w:vAlign w:val="bottom"/>
            <w:vMerge w:val="continue"/>
            <w:shd w:val="clear" w:color="auto" w:fill="CCEEFF"/>
          </w:tcPr>
          <w:p>
            <w:pPr>
              <w:spacing w:after="0"/>
              <w:rPr>
                <w:sz w:val="18"/>
                <w:szCs w:val="18"/>
                <w:color w:val="auto"/>
              </w:rPr>
            </w:pPr>
          </w:p>
        </w:tc>
        <w:tc>
          <w:tcPr>
            <w:tcW w:w="1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4.941%</w:t>
            </w:r>
          </w:p>
        </w:tc>
        <w:tc>
          <w:tcPr>
            <w:tcW w:w="1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2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March 1, 2016</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5.524%</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0.871%</w:t>
            </w: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2016</w:t>
            </w:r>
          </w:p>
        </w:tc>
        <w:tc>
          <w:tcPr>
            <w:tcW w:w="1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5.535%</w:t>
            </w:r>
          </w:p>
        </w:tc>
        <w:tc>
          <w:tcPr>
            <w:tcW w:w="1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0.941%</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March 1, 2019</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4.620%</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0.941%</w:t>
            </w: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2020</w:t>
            </w:r>
          </w:p>
        </w:tc>
        <w:tc>
          <w:tcPr>
            <w:tcW w:w="1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3.215%</w:t>
            </w:r>
          </w:p>
        </w:tc>
        <w:tc>
          <w:tcPr>
            <w:tcW w:w="1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0.285%</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19,000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March 1, 2021</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4.084%</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0.515%</w:t>
            </w: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15,700</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2021</w:t>
            </w:r>
          </w:p>
        </w:tc>
        <w:tc>
          <w:tcPr>
            <w:tcW w:w="1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4.084%</w:t>
            </w:r>
          </w:p>
        </w:tc>
        <w:tc>
          <w:tcPr>
            <w:tcW w:w="1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0.285%</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46,000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2.766%</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0.285%</w:t>
            </w: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2022</w:t>
            </w:r>
          </w:p>
        </w:tc>
        <w:tc>
          <w:tcPr>
            <w:tcW w:w="1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2.766%</w:t>
            </w:r>
          </w:p>
        </w:tc>
        <w:tc>
          <w:tcPr>
            <w:tcW w:w="1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0.515%</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March 1, 2023</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2.351%</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0.515%</w:t>
            </w:r>
          </w:p>
        </w:tc>
        <w:tc>
          <w:tcPr>
            <w:tcW w:w="1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225"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In June 2014, the Company issued $113.4 million in aggregate principal amount of 7.125% fixed-rate notes due 2021 (the “Notes”). The Notes will mature on June 16, 2021, and may be redeemed in whole or in part at any time or from time to time at the Company’s option on or after June 16, 2017 at a redemption price equal to 100% of the outstanding principal, plus accrued and unpaid interest. Interest will be payable quarterly beginning September 16, 2014.</w:t>
      </w:r>
    </w:p>
    <w:p>
      <w:pPr>
        <w:spacing w:after="0" w:line="187" w:lineRule="exact"/>
        <w:rPr>
          <w:sz w:val="20"/>
          <w:szCs w:val="20"/>
          <w:color w:val="auto"/>
        </w:rPr>
      </w:pPr>
    </w:p>
    <w:p>
      <w:pPr>
        <w:ind w:right="460" w:firstLine="881"/>
        <w:spacing w:after="0" w:line="277" w:lineRule="auto"/>
        <w:rPr>
          <w:sz w:val="20"/>
          <w:szCs w:val="20"/>
          <w:color w:val="auto"/>
        </w:rPr>
      </w:pPr>
      <w:r>
        <w:rPr>
          <w:rFonts w:ascii="Arial" w:cs="Arial" w:eastAsia="Arial" w:hAnsi="Arial"/>
          <w:sz w:val="18"/>
          <w:szCs w:val="18"/>
          <w:color w:val="auto"/>
        </w:rPr>
        <w:t>For the three months ended March 31, 2015, the Company has recorded $2.0 million of interest expense and $0.1 million of amortization of deferred financing costs related to the Notes.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40" w:firstLine="881"/>
        <w:spacing w:after="0" w:line="272" w:lineRule="auto"/>
        <w:rPr>
          <w:sz w:val="20"/>
          <w:szCs w:val="20"/>
          <w:color w:val="auto"/>
        </w:rPr>
      </w:pPr>
      <w:r>
        <w:rPr>
          <w:rFonts w:ascii="Arial" w:cs="Arial" w:eastAsia="Arial" w:hAnsi="Arial"/>
          <w:sz w:val="17"/>
          <w:szCs w:val="17"/>
          <w:color w:val="auto"/>
        </w:rPr>
        <w:t>On October 17, 2014, the Company entered into a senior secured revolving credit agreement (the “Credit Facility”) with ING Capital, LLC, as administrative agent, arranger, and bookrunner, and the lenders party thereto. The Credit Facility initially provides for borrowing up to $50,000,000 and may be increased up to $150,000,000 pursuant to its “accordion” feature. The Credit Facility matures on October 17, 2018. On January 6, 2015, the Company entered into an Incremental Assumption Agreement, (the “Incremental Assumption Agreement”), relating to the Credit Facility. The Incremental Assumption Agreement increased the amount of borrowings available under the Credit Facility from $50,000,000 to $80,000,000. The $30,0000,000 increase in total commitments under the Credit Facility was executed under the “accordion” feature of the Credit Facility, which allows for an increase in total commitments under the Credit Facility up to $150,000,000.</w:t>
      </w:r>
    </w:p>
    <w:p>
      <w:pPr>
        <w:spacing w:after="0" w:line="178"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Borrowings under the Credit Facility bear interest, at the Company’s election, at a rate per annum equal to (i) the one, two, three or six month LIBOR as applicable, plus 3.00%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are based provides the company with increased flexibility to manage interest rate risks as compared to a borrowing arrangement that does not provide for such optionality. Once a particular LIBOR rate has been selected, the interest rate on the applicable amount borrowed will reset after the applicable tenor period and be based on the then applicable selected LIBOR rate (e.g., borrowings for which the Company has elected the one month LIBOR rate will reset on the one month anniversary of the period based on the then selected LIBOR rate). For any given borrowing under the Credit Facility, the Company intends to elect what it believes to be an appropriate LIBOR rate taking into account the Company’s needs at the time as well as the Company’s view of future interest rate movements. The Company will also pay an unused commitment fee at a rate of 2.50% per annum on the amount (if positive) by which 40% of the aggregate commitments under the Credit Facility exceeds the outstanding amount of loans under the Credit Facility and 0.50% per annum on any remaining unused portion of the Credit Facility.</w:t>
      </w:r>
    </w:p>
    <w:p>
      <w:pPr>
        <w:spacing w:after="0" w:line="183" w:lineRule="exact"/>
        <w:rPr>
          <w:sz w:val="20"/>
          <w:szCs w:val="20"/>
          <w:color w:val="auto"/>
        </w:rPr>
      </w:pPr>
    </w:p>
    <w:p>
      <w:pPr>
        <w:ind w:right="140" w:firstLine="881"/>
        <w:spacing w:after="0" w:line="264" w:lineRule="auto"/>
        <w:rPr>
          <w:sz w:val="20"/>
          <w:szCs w:val="20"/>
          <w:color w:val="auto"/>
        </w:rPr>
      </w:pPr>
      <w:r>
        <w:rPr>
          <w:rFonts w:ascii="Arial" w:cs="Arial" w:eastAsia="Arial" w:hAnsi="Arial"/>
          <w:sz w:val="18"/>
          <w:szCs w:val="18"/>
          <w:color w:val="auto"/>
        </w:rPr>
        <w:t>For the three months ended March 31, 2015, the Company had $15.0 million outstanding on the Credit Facility. For the three months ended March 31, 2015, the Company recorded $8 thousand of interest expense, $0.2 million of amortization of deferred financing costs and $0.2 million of unused commitment fees related to the Credit Facility.</w:t>
      </w:r>
    </w:p>
    <w:p>
      <w:pPr>
        <w:spacing w:after="0" w:line="181" w:lineRule="exact"/>
        <w:rPr>
          <w:sz w:val="20"/>
          <w:szCs w:val="20"/>
          <w:color w:val="auto"/>
        </w:rPr>
      </w:pPr>
    </w:p>
    <w:p>
      <w:pPr>
        <w:ind w:right="40" w:firstLine="881"/>
        <w:spacing w:after="0" w:line="257" w:lineRule="auto"/>
        <w:rPr>
          <w:sz w:val="20"/>
          <w:szCs w:val="20"/>
          <w:color w:val="auto"/>
        </w:rPr>
      </w:pPr>
      <w:r>
        <w:rPr>
          <w:rFonts w:ascii="Arial" w:cs="Arial" w:eastAsia="Arial" w:hAnsi="Arial"/>
          <w:sz w:val="18"/>
          <w:szCs w:val="18"/>
          <w:color w:val="auto"/>
        </w:rPr>
        <w:t>The Credit Facility is secured by investments and cash held by Capitala Finance Corp., exclusive of assets held at our two SBIC subsidiaries. Assets pledged to secure the Credit Facility were $192.7 million at March 31, 2015. As part of the terms of the Credit Facility, the Company may not make cash distributions with respect to any taxable year that exceed 110% (125% if the Company is not in default and our covered debt does not exceed 85% of the borrowing base) of the amounts required to be distributed to maintain eligibility as a RIC and to reduce our tax liability to zero for taxes imposed on our investment company taxable income and net capital gains.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Directors Fees</w:t>
      </w:r>
    </w:p>
    <w:p>
      <w:pPr>
        <w:spacing w:after="0" w:line="229" w:lineRule="exact"/>
        <w:rPr>
          <w:sz w:val="20"/>
          <w:szCs w:val="20"/>
          <w:color w:val="auto"/>
        </w:rPr>
      </w:pPr>
    </w:p>
    <w:p>
      <w:pPr>
        <w:ind w:right="80" w:firstLine="881"/>
        <w:spacing w:after="0" w:line="293" w:lineRule="auto"/>
        <w:rPr>
          <w:sz w:val="20"/>
          <w:szCs w:val="20"/>
          <w:color w:val="auto"/>
        </w:rPr>
      </w:pPr>
      <w:r>
        <w:rPr>
          <w:rFonts w:ascii="Arial" w:cs="Arial" w:eastAsia="Arial" w:hAnsi="Arial"/>
          <w:sz w:val="16"/>
          <w:szCs w:val="16"/>
          <w:color w:val="auto"/>
        </w:rPr>
        <w:t>Our independent directors receive an annual fee of $50,000. They also receive $5,000 plus reimbursement of reasonable out-of-pocket expenses incurred in connection with attending each board meeting, and also receive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months ended March 31, 2015 and March 31, 2014, the Company recognized director fee expense of $0.1 million and $0.1 million, respectively. No compensation is expected to be paid to directors who are “interested persons” of the Company, as such term is defined in Section 2(a)(19) of the 1940 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Summarized Financial Information of Our Unconsolidated Subsidiaries</w:t>
      </w:r>
    </w:p>
    <w:p>
      <w:pPr>
        <w:spacing w:after="0" w:line="229" w:lineRule="exact"/>
        <w:rPr>
          <w:sz w:val="20"/>
          <w:szCs w:val="20"/>
          <w:color w:val="auto"/>
        </w:rPr>
      </w:pPr>
    </w:p>
    <w:p>
      <w:pPr>
        <w:ind w:right="260" w:firstLine="881"/>
        <w:spacing w:after="0" w:line="286" w:lineRule="auto"/>
        <w:rPr>
          <w:sz w:val="20"/>
          <w:szCs w:val="20"/>
          <w:color w:val="auto"/>
        </w:rPr>
      </w:pPr>
      <w:r>
        <w:rPr>
          <w:rFonts w:ascii="Arial" w:cs="Arial" w:eastAsia="Arial" w:hAnsi="Arial"/>
          <w:sz w:val="17"/>
          <w:szCs w:val="17"/>
          <w:color w:val="auto"/>
        </w:rPr>
        <w:t>The Company holds a control interest, as defined by the 1940 Act, in four majority owned portfolio companies that are not consolidated in the Company’s consolidated financial statements. Below is a brief description of each portfolio company, along with summarized financial information as of March 31, 2015 and December 31, 2014, and for the three month period ended March 31, 2015 and March 31, 2014.</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Print Direction, Inc.</w:t>
      </w:r>
    </w:p>
    <w:p>
      <w:pPr>
        <w:spacing w:after="0" w:line="225" w:lineRule="exact"/>
        <w:rPr>
          <w:sz w:val="20"/>
          <w:szCs w:val="20"/>
          <w:color w:val="auto"/>
        </w:rPr>
      </w:pPr>
    </w:p>
    <w:p>
      <w:pPr>
        <w:ind w:right="200" w:firstLine="881"/>
        <w:spacing w:after="0" w:line="297" w:lineRule="auto"/>
        <w:rPr>
          <w:sz w:val="20"/>
          <w:szCs w:val="20"/>
          <w:color w:val="auto"/>
        </w:rPr>
      </w:pPr>
      <w:r>
        <w:rPr>
          <w:rFonts w:ascii="Arial" w:cs="Arial" w:eastAsia="Arial" w:hAnsi="Arial"/>
          <w:sz w:val="16"/>
          <w:szCs w:val="16"/>
          <w:color w:val="auto"/>
        </w:rPr>
        <w:t>Print Direction, Inc., incorporated in Georgia on May 11, 2006, is a professional printing services firm serving customers, particular fast food, retail, and other similar chains, throughout the United States. Print Direction, Inc. also provides warehousing and distribution services for these customers. The loss the Company generated from Print Direction, Inc., which includes all interest, dividends, PIK interest and dividends, fees, and unrealized depreciation, was $(0.7) million for the three months ended March 31, 2015. The income the Company generated from Print Direction, Inc., which includes all interest, dividends, PIK interest and dividends, fees, and unrealized appreciation, was $1.1 million for the three months ended March 31, 2014.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Navis Holdings, Inc.</w:t>
      </w:r>
    </w:p>
    <w:p>
      <w:pPr>
        <w:spacing w:after="0" w:line="225" w:lineRule="exact"/>
        <w:rPr>
          <w:sz w:val="20"/>
          <w:szCs w:val="20"/>
          <w:color w:val="auto"/>
        </w:rPr>
      </w:pPr>
    </w:p>
    <w:p>
      <w:pPr>
        <w:ind w:right="80" w:firstLine="881"/>
        <w:spacing w:after="0" w:line="312" w:lineRule="auto"/>
        <w:rPr>
          <w:sz w:val="20"/>
          <w:szCs w:val="20"/>
          <w:color w:val="auto"/>
        </w:rPr>
      </w:pPr>
      <w:r>
        <w:rPr>
          <w:rFonts w:ascii="Arial" w:cs="Arial" w:eastAsia="Arial" w:hAnsi="Arial"/>
          <w:sz w:val="16"/>
          <w:szCs w:val="16"/>
          <w:color w:val="auto"/>
        </w:rPr>
        <w:t>Navis Holdings, Inc., incorporated in Delaware on December 21, 2010, designs and manufactures leading machinery for the global knit and woven finishing textile industries. The income the Company generated from Navis Holdings, Inc., which includes all interest, dividends, PIK interest and dividends, fees, and unrealized appreciation, was $1.0 million and $0.9 million for the three months ended March 31, 2015 and March 31, 2014,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On-Site Fuel Service, Inc.</w:t>
      </w:r>
    </w:p>
    <w:p>
      <w:pPr>
        <w:spacing w:after="0" w:line="225" w:lineRule="exact"/>
        <w:rPr>
          <w:sz w:val="20"/>
          <w:szCs w:val="20"/>
          <w:color w:val="auto"/>
        </w:rPr>
      </w:pPr>
    </w:p>
    <w:p>
      <w:pPr>
        <w:ind w:right="120" w:firstLine="881"/>
        <w:spacing w:after="0" w:line="297" w:lineRule="auto"/>
        <w:rPr>
          <w:sz w:val="20"/>
          <w:szCs w:val="20"/>
          <w:color w:val="auto"/>
        </w:rPr>
      </w:pPr>
      <w:r>
        <w:rPr>
          <w:rFonts w:ascii="Arial" w:cs="Arial" w:eastAsia="Arial" w:hAnsi="Arial"/>
          <w:sz w:val="16"/>
          <w:szCs w:val="16"/>
          <w:color w:val="auto"/>
        </w:rPr>
        <w:t>On-Site Fuel Service, Inc. is a 100% owned subsidiary of On-Site Fuel Holdings, Inc., which was incorporated in Delaware on December 19, 2011. On-Site Fuel Service, Inc. provides fueling services for commercial and government vehicle fleets throughout the southeast United States. The income the Company generated from On-Site Fuel Service, Inc., which includes all interest, dividends, PIK interest and dividends, fees, and unrealized appreciation, was $0.1 million for the three months ended March 31, 2015. The loss the Company generated from On-Site Fuel Service, Inc. which includes all interest, dividends, PIK interest and dividends, fees, and unrealized depreciation was ($0.4) million for the three months ended March 31, 2014.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 Precision, LLC</w:t>
      </w:r>
    </w:p>
    <w:p>
      <w:pPr>
        <w:spacing w:after="0" w:line="225" w:lineRule="exact"/>
        <w:rPr>
          <w:sz w:val="20"/>
          <w:szCs w:val="20"/>
          <w:color w:val="auto"/>
        </w:rPr>
      </w:pPr>
    </w:p>
    <w:p>
      <w:pPr>
        <w:ind w:right="80" w:firstLine="881"/>
        <w:spacing w:after="0" w:line="276" w:lineRule="auto"/>
        <w:rPr>
          <w:sz w:val="20"/>
          <w:szCs w:val="20"/>
          <w:color w:val="auto"/>
        </w:rPr>
      </w:pPr>
      <w:r>
        <w:rPr>
          <w:rFonts w:ascii="Arial" w:cs="Arial" w:eastAsia="Arial" w:hAnsi="Arial"/>
          <w:sz w:val="17"/>
          <w:szCs w:val="17"/>
          <w:color w:val="auto"/>
        </w:rPr>
        <w:t>Micro Precision, LLC, formed on August 5, 2011 as a Delaware LLC, is a prime contractor supplying critical parts and mechanical assemblies to the United States Department of Defense as well as designer and manufacturer of locomotive air horns. The income the Company generated from Micro Precision, LLC, which includes all interest, dividends, PIK interest and dividends, fees, and unrealized appreciation, was $0.2 million for the three months ended March 31, 2015. The loss the Company generated from Micro Precision, LLC, which includes all interest, dividends, PIK interest and dividends, fees, and unrealized depreciation, was ($0.4) million for the three months ended March 31, 2014.</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summarized financial information of our unconsolidated subsidiaries is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Balance Sheet - Print Direction, Inc.</w:t>
            </w:r>
          </w:p>
        </w:tc>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March 31, 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Noncurrent assets</w:t>
            </w:r>
          </w:p>
        </w:tc>
        <w:tc>
          <w:tcPr>
            <w:tcW w:w="4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5,512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4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82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4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14,510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14,510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482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(7,560)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bottom w:val="single" w:sz="8" w:color="CCEEFF"/>
            </w:tcBorders>
            <w:vMerge w:val="restart"/>
          </w:tcPr>
          <w:p>
            <w:pPr>
              <w:jc w:val="right"/>
              <w:ind w:right="2570"/>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8" w:name="page39"/>
    <w:bookmarkEnd w:id="38"/>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Operations - Print Direction,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income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 Navis Holdings, Inc.</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4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93"/>
              </w:rPr>
              <w:t>March 31, 2015</w:t>
            </w:r>
          </w:p>
        </w:tc>
        <w:tc>
          <w:tcPr>
            <w:tcW w:w="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March 31, 2014</w:t>
            </w: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60" w:type="dxa"/>
            <w:vAlign w:val="bottom"/>
            <w:tcBorders>
              <w:top w:val="single" w:sz="8" w:color="auto"/>
            </w:tcBorders>
          </w:tcPr>
          <w:p>
            <w:pPr>
              <w:jc w:val="right"/>
              <w:ind w:right="299"/>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6,434</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1,693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2,581</w:t>
            </w:r>
          </w:p>
        </w:tc>
      </w:tr>
      <w:tr>
        <w:trPr>
          <w:trHeight w:val="223"/>
        </w:trPr>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3,853</w:t>
            </w: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480" w:type="dxa"/>
            <w:vAlign w:val="bottom"/>
            <w:gridSpan w:val="2"/>
          </w:tcPr>
          <w:p>
            <w:pPr>
              <w:jc w:val="right"/>
              <w:ind w:right="299"/>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2,806</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3,833</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44"/>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23"/>
        </w:trPr>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top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w w:val="84"/>
              </w:rPr>
              <w:t>As of</w:t>
            </w: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6"/>
                <w:szCs w:val="16"/>
                <w:color w:val="auto"/>
              </w:rPr>
            </w:pPr>
          </w:p>
        </w:tc>
      </w:tr>
      <w:tr>
        <w:trPr>
          <w:trHeight w:val="232"/>
        </w:trPr>
        <w:tc>
          <w:tcPr>
            <w:tcW w:w="20" w:type="dxa"/>
            <w:vAlign w:val="bottom"/>
          </w:tcPr>
          <w:p>
            <w:pPr>
              <w:spacing w:after="0"/>
              <w:rPr>
                <w:sz w:val="20"/>
                <w:szCs w:val="20"/>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March 31, 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7860" w:space="720"/>
            <w:col w:w="2840"/>
          </w:cols>
          <w:pgMar w:left="240" w:top="891" w:right="239" w:bottom="1440" w:gutter="0" w:footer="0" w:header="0"/>
        </w:sect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4,662</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2,404</w:t>
            </w:r>
          </w:p>
        </w:tc>
        <w:tc>
          <w:tcPr>
            <w:tcW w:w="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6,916</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6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91" w:right="239"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Operations - Navis Holdings,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income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 On-Site Fuel Service, Inc.</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4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March 31, 2015</w:t>
            </w:r>
          </w:p>
        </w:tc>
        <w:tc>
          <w:tcPr>
            <w:tcW w:w="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March 31, 2014</w:t>
            </w: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60" w:type="dxa"/>
            <w:vAlign w:val="bottom"/>
            <w:tcBorders>
              <w:top w:val="single" w:sz="8" w:color="auto"/>
            </w:tcBorders>
          </w:tcPr>
          <w:p>
            <w:pPr>
              <w:jc w:val="right"/>
              <w:ind w:right="299"/>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4,078</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2,577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2,407</w:t>
            </w:r>
          </w:p>
        </w:tc>
      </w:tr>
      <w:tr>
        <w:trPr>
          <w:trHeight w:val="223"/>
        </w:trPr>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1,671</w:t>
            </w: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480" w:type="dxa"/>
            <w:vAlign w:val="bottom"/>
            <w:gridSpan w:val="2"/>
          </w:tcPr>
          <w:p>
            <w:pPr>
              <w:jc w:val="right"/>
              <w:ind w:right="299"/>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1,324</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1,236</w:t>
            </w:r>
          </w:p>
        </w:tc>
      </w:tr>
      <w:tr>
        <w:trPr>
          <w:trHeight w:val="230"/>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435</w:t>
            </w: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r>
      <w:tr>
        <w:trPr>
          <w:trHeight w:val="223"/>
        </w:trPr>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0" w:type="dxa"/>
            <w:vAlign w:val="bottom"/>
            <w:tcBorders>
              <w:top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w w:val="84"/>
              </w:rPr>
              <w:t>As of</w:t>
            </w: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6"/>
                <w:szCs w:val="16"/>
                <w:color w:val="auto"/>
              </w:rPr>
            </w:pPr>
          </w:p>
        </w:tc>
      </w:tr>
      <w:tr>
        <w:trPr>
          <w:trHeight w:val="232"/>
        </w:trPr>
        <w:tc>
          <w:tcPr>
            <w:tcW w:w="2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7860" w:space="720"/>
            <w:col w:w="2840"/>
          </w:cols>
          <w:pgMar w:left="240" w:top="891" w:right="2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Noncurrent assets</w:t>
            </w:r>
          </w:p>
        </w:tc>
        <w:tc>
          <w:tcPr>
            <w:tcW w:w="4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18,629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18,464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48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44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10,381</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4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12,948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12,174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8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544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5,311</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jc w:val="right"/>
              <w:ind w:right="2570"/>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type w:val="continuous"/>
        </w:sectPr>
      </w:pPr>
    </w:p>
    <w:bookmarkStart w:id="39" w:name="page40"/>
    <w:bookmarkEnd w:id="39"/>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Operations - On-Site Fuel Service,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income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 Micro Precision, LLC</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4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93"/>
              </w:rPr>
              <w:t>March 31, 2015</w:t>
            </w:r>
          </w:p>
        </w:tc>
        <w:tc>
          <w:tcPr>
            <w:tcW w:w="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March 31, 2014</w:t>
            </w:r>
          </w:p>
        </w:tc>
        <w:tc>
          <w:tcPr>
            <w:tcW w:w="60" w:type="dxa"/>
            <w:vAlign w:val="bottom"/>
            <w:gridSpan w:val="2"/>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auto"/>
            </w:tcBorders>
          </w:tcPr>
          <w:p>
            <w:pPr>
              <w:jc w:val="right"/>
              <w:ind w:right="25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57,530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24,501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55,151</w:t>
            </w: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2,379</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440" w:type="dxa"/>
            <w:vAlign w:val="bottom"/>
            <w:gridSpan w:val="2"/>
          </w:tcPr>
          <w:p>
            <w:pPr>
              <w:jc w:val="right"/>
              <w:ind w:right="259"/>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4,632</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3,124</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(745)</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20" w:type="dxa"/>
            <w:vAlign w:val="bottom"/>
            <w:tcBorders>
              <w:top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w w:val="84"/>
              </w:rPr>
              <w:t>As of</w:t>
            </w: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60" w:type="dxa"/>
            <w:vAlign w:val="bottom"/>
            <w:gridSpan w:val="2"/>
          </w:tcPr>
          <w:p>
            <w:pPr>
              <w:spacing w:after="0"/>
              <w:rPr>
                <w:sz w:val="16"/>
                <w:szCs w:val="16"/>
                <w:color w:val="auto"/>
              </w:rPr>
            </w:pPr>
          </w:p>
        </w:tc>
      </w:tr>
      <w:tr>
        <w:trPr>
          <w:trHeight w:val="232"/>
        </w:trPr>
        <w:tc>
          <w:tcPr>
            <w:tcW w:w="20" w:type="dxa"/>
            <w:vAlign w:val="bottom"/>
          </w:tcPr>
          <w:p>
            <w:pPr>
              <w:spacing w:after="0"/>
              <w:rPr>
                <w:sz w:val="20"/>
                <w:szCs w:val="20"/>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March 31, 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p>
    <w:p>
      <w:pPr>
        <w:sectPr>
          <w:pgSz w:w="11900" w:h="16838" w:orient="portrait"/>
          <w:cols w:equalWidth="0" w:num="2">
            <w:col w:w="7860" w:space="720"/>
            <w:col w:w="2840"/>
          </w:cols>
          <w:pgMar w:left="240" w:top="891" w:right="239" w:bottom="1440" w:gutter="0" w:footer="0" w:header="0"/>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8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44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0"/>
              <w:spacing w:after="0" w:line="19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8,459</w:t>
            </w:r>
          </w:p>
        </w:tc>
        <w:tc>
          <w:tcPr>
            <w:tcW w:w="22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8,021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15,593</w:t>
            </w:r>
          </w:p>
        </w:tc>
        <w:tc>
          <w:tcPr>
            <w:tcW w:w="7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15,538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24,052</w:t>
            </w:r>
          </w:p>
        </w:tc>
        <w:tc>
          <w:tcPr>
            <w:tcW w:w="2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23,559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3,339</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14,468</w:t>
            </w:r>
          </w:p>
        </w:tc>
        <w:tc>
          <w:tcPr>
            <w:tcW w:w="7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13,554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17,807</w:t>
            </w:r>
          </w:p>
        </w:tc>
        <w:tc>
          <w:tcPr>
            <w:tcW w:w="2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17,734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w:t>
            </w:r>
          </w:p>
        </w:tc>
        <w:tc>
          <w:tcPr>
            <w:tcW w:w="22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w w:val="93"/>
              </w:rPr>
              <w:t>Three Months Ended</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Statements of Operations - Micro Precision, LLC</w:t>
            </w:r>
          </w:p>
        </w:tc>
        <w:tc>
          <w:tcPr>
            <w:tcW w:w="120" w:type="dxa"/>
            <w:vAlign w:val="bottom"/>
          </w:tcPr>
          <w:p>
            <w:pPr>
              <w:spacing w:after="0"/>
              <w:rPr>
                <w:sz w:val="19"/>
                <w:szCs w:val="19"/>
                <w:color w:val="auto"/>
              </w:rPr>
            </w:pPr>
          </w:p>
        </w:tc>
        <w:tc>
          <w:tcPr>
            <w:tcW w:w="150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2015</w:t>
            </w: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w w:val="95"/>
              </w:rPr>
              <w:t>March 31, 2014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2,467</w:t>
            </w:r>
          </w:p>
        </w:tc>
        <w:tc>
          <w:tcPr>
            <w:tcW w:w="7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1,487</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229" w:lineRule="exact"/>
        <w:rPr>
          <w:sz w:val="20"/>
          <w:szCs w:val="20"/>
          <w:color w:val="auto"/>
        </w:rPr>
      </w:pPr>
    </w:p>
    <w:p>
      <w:pPr>
        <w:ind w:right="340" w:firstLine="881"/>
        <w:spacing w:after="0" w:line="312" w:lineRule="auto"/>
        <w:rPr>
          <w:sz w:val="20"/>
          <w:szCs w:val="20"/>
          <w:color w:val="auto"/>
        </w:rPr>
      </w:pPr>
      <w:r>
        <w:rPr>
          <w:rFonts w:ascii="Arial" w:cs="Arial" w:eastAsia="Arial" w:hAnsi="Arial"/>
          <w:sz w:val="16"/>
          <w:szCs w:val="16"/>
          <w:color w:val="auto"/>
        </w:rPr>
        <w:t xml:space="preserve">In accordance with the provisions of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 As of March 31, 2015, there were no dilutive shares.</w:t>
      </w:r>
    </w:p>
    <w:p>
      <w:pPr>
        <w:spacing w:after="0" w:line="147" w:lineRule="exact"/>
        <w:rPr>
          <w:sz w:val="20"/>
          <w:szCs w:val="20"/>
          <w:color w:val="auto"/>
        </w:rPr>
      </w:pPr>
    </w:p>
    <w:p>
      <w:pPr>
        <w:ind w:right="740" w:firstLine="881"/>
        <w:spacing w:after="0" w:line="342" w:lineRule="auto"/>
        <w:rPr>
          <w:sz w:val="20"/>
          <w:szCs w:val="20"/>
          <w:color w:val="auto"/>
        </w:rPr>
      </w:pPr>
      <w:r>
        <w:rPr>
          <w:rFonts w:ascii="Arial" w:cs="Arial" w:eastAsia="Arial" w:hAnsi="Arial"/>
          <w:sz w:val="16"/>
          <w:szCs w:val="16"/>
          <w:color w:val="auto"/>
        </w:rPr>
        <w:t>The following information sets forth the computation of the weighted average basic and diluted net increase in net assets per share from operations for the three months ended March 31, 2015 and March 31, 2014 (dollars in thousands except share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the three months ended</w:t>
            </w:r>
          </w:p>
        </w:tc>
      </w:tr>
      <w:tr>
        <w:trPr>
          <w:trHeight w:val="223"/>
        </w:trPr>
        <w:tc>
          <w:tcPr>
            <w:tcW w:w="5300" w:type="dxa"/>
            <w:vAlign w:val="bottom"/>
          </w:tcPr>
          <w:p>
            <w:pPr>
              <w:spacing w:after="0"/>
              <w:rPr>
                <w:sz w:val="20"/>
                <w:szCs w:val="20"/>
                <w:color w:val="auto"/>
              </w:rPr>
            </w:pPr>
            <w:r>
              <w:rPr>
                <w:rFonts w:ascii="Arial" w:cs="Arial" w:eastAsia="Arial" w:hAnsi="Arial"/>
                <w:sz w:val="18"/>
                <w:szCs w:val="18"/>
                <w:b w:val="1"/>
                <w:bCs w:val="1"/>
                <w:color w:val="auto"/>
              </w:rPr>
              <w:t>Basic and diluted</w:t>
            </w:r>
          </w:p>
        </w:tc>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March 31, 2015</w:t>
            </w: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March 31, 2014</w:t>
            </w:r>
          </w:p>
        </w:tc>
        <w:tc>
          <w:tcPr>
            <w:tcW w:w="100" w:type="dxa"/>
            <w:vAlign w:val="bottom"/>
          </w:tcPr>
          <w:p>
            <w:pPr>
              <w:spacing w:after="0"/>
              <w:rPr>
                <w:sz w:val="19"/>
                <w:szCs w:val="19"/>
                <w:color w:val="auto"/>
              </w:rPr>
            </w:pPr>
          </w:p>
        </w:tc>
      </w:tr>
      <w:tr>
        <w:trPr>
          <w:trHeight w:val="210"/>
        </w:trPr>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3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12,974,483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12,974,420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4"/>
              </w:rPr>
              <w:t>Net increase in net assets per share from operations-basic and diluted</w:t>
            </w:r>
          </w:p>
        </w:tc>
        <w:tc>
          <w:tcPr>
            <w:tcW w:w="34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r>
      <w:tr>
        <w:trPr>
          <w:trHeight w:val="648"/>
        </w:trPr>
        <w:tc>
          <w:tcPr>
            <w:tcW w:w="53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right"/>
              <w:ind w:right="257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Note 11. Distributions</w:t>
      </w:r>
    </w:p>
    <w:p>
      <w:pPr>
        <w:spacing w:after="0" w:line="216"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The Company’s distributions are recorded on the record date. Shareholders have the option to receive payment of the distribution in cash, shares of common stock, or a combination of cash and common stock.</w:t>
      </w:r>
    </w:p>
    <w:p>
      <w:pPr>
        <w:spacing w:after="0" w:line="170"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three months ended March 31, 2015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DRIP</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rPr>
              <w:t>DRIP</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Cash</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rPr>
              <w:t>Share</w:t>
            </w:r>
          </w:p>
        </w:tc>
      </w:tr>
      <w:tr>
        <w:trPr>
          <w:trHeight w:val="234"/>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Record Date</w:t>
            </w:r>
          </w:p>
        </w:tc>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Payment Date</w:t>
            </w:r>
          </w:p>
        </w:tc>
        <w:tc>
          <w:tcPr>
            <w:tcW w:w="1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Per Share</w:t>
            </w: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Distribution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Issued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rPr>
              <w:t>Value</w:t>
            </w: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2015</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22, 2015</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29, 2015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January 2, 2015</w:t>
            </w:r>
          </w:p>
        </w:tc>
        <w:tc>
          <w:tcPr>
            <w:tcW w:w="2420" w:type="dxa"/>
            <w:vAlign w:val="bottom"/>
            <w:gridSpan w:val="2"/>
          </w:tcPr>
          <w:p>
            <w:pPr>
              <w:spacing w:after="0"/>
              <w:rPr>
                <w:sz w:val="20"/>
                <w:szCs w:val="20"/>
                <w:color w:val="auto"/>
              </w:rPr>
            </w:pPr>
            <w:r>
              <w:rPr>
                <w:rFonts w:ascii="Arial" w:cs="Arial" w:eastAsia="Arial" w:hAnsi="Arial"/>
                <w:sz w:val="18"/>
                <w:szCs w:val="18"/>
                <w:color w:val="auto"/>
              </w:rPr>
              <w:t>February 20, 2015</w:t>
            </w:r>
          </w:p>
        </w:tc>
        <w:tc>
          <w:tcPr>
            <w:tcW w:w="242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0.1567</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2,033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2015</w:t>
            </w: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23, 2015</w:t>
            </w: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30, 2015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0.1567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89"/>
              </w:rPr>
              <w:t>38</w:t>
            </w:r>
          </w:p>
        </w:tc>
        <w:tc>
          <w:tcPr>
            <w:tcW w:w="80" w:type="dxa"/>
            <w:vAlign w:val="bottom"/>
            <w:shd w:val="clear" w:color="auto" w:fill="CCEEFF"/>
          </w:tcPr>
          <w:p>
            <w:pPr>
              <w:spacing w:after="0"/>
              <w:rPr>
                <w:sz w:val="18"/>
                <w:szCs w:val="18"/>
                <w:color w:val="auto"/>
              </w:rPr>
            </w:pPr>
          </w:p>
        </w:tc>
      </w:tr>
      <w:tr>
        <w:trPr>
          <w:trHeight w:val="257"/>
        </w:trPr>
        <w:tc>
          <w:tcPr>
            <w:tcW w:w="17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4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March 23, 2015 </w:t>
            </w:r>
            <w:r>
              <w:rPr>
                <w:rFonts w:ascii="Arial" w:cs="Arial" w:eastAsia="Arial" w:hAnsi="Arial"/>
                <w:sz w:val="29"/>
                <w:szCs w:val="29"/>
                <w:color w:val="auto"/>
                <w:vertAlign w:val="superscript"/>
              </w:rPr>
              <w:t>(1)</w:t>
            </w:r>
          </w:p>
        </w:tc>
        <w:tc>
          <w:tcPr>
            <w:tcW w:w="2420" w:type="dxa"/>
            <w:vAlign w:val="bottom"/>
            <w:gridSpan w:val="2"/>
          </w:tcPr>
          <w:p>
            <w:pPr>
              <w:spacing w:after="0"/>
              <w:rPr>
                <w:sz w:val="20"/>
                <w:szCs w:val="20"/>
                <w:color w:val="auto"/>
              </w:rPr>
            </w:pPr>
            <w:r>
              <w:rPr>
                <w:rFonts w:ascii="Arial" w:cs="Arial" w:eastAsia="Arial" w:hAnsi="Arial"/>
                <w:sz w:val="18"/>
                <w:szCs w:val="18"/>
                <w:color w:val="auto"/>
              </w:rPr>
              <w:t>March 30, 2015</w:t>
            </w:r>
          </w:p>
        </w:tc>
        <w:tc>
          <w:tcPr>
            <w:tcW w:w="1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635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ind w:left="660"/>
              <w:spacing w:after="0"/>
              <w:rPr>
                <w:sz w:val="20"/>
                <w:szCs w:val="20"/>
                <w:color w:val="auto"/>
              </w:rPr>
            </w:pPr>
            <w:r>
              <w:rPr>
                <w:rFonts w:ascii="Arial" w:cs="Arial" w:eastAsia="Arial" w:hAnsi="Arial"/>
                <w:sz w:val="18"/>
                <w:szCs w:val="18"/>
                <w:color w:val="auto"/>
                <w:w w:val="89"/>
              </w:rPr>
              <w:t>12</w:t>
            </w:r>
          </w:p>
        </w:tc>
        <w:tc>
          <w:tcPr>
            <w:tcW w:w="80" w:type="dxa"/>
            <w:vAlign w:val="bottom"/>
          </w:tcPr>
          <w:p>
            <w:pPr>
              <w:spacing w:after="0"/>
              <w:rPr>
                <w:sz w:val="22"/>
                <w:szCs w:val="22"/>
                <w:color w:val="auto"/>
              </w:rPr>
            </w:pPr>
          </w:p>
        </w:tc>
      </w:tr>
      <w:tr>
        <w:trPr>
          <w:trHeight w:val="257"/>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April 23, 2015 </w:t>
            </w:r>
            <w:r>
              <w:rPr>
                <w:rFonts w:ascii="Arial" w:cs="Arial" w:eastAsia="Arial" w:hAnsi="Arial"/>
                <w:sz w:val="29"/>
                <w:szCs w:val="29"/>
                <w:color w:val="auto"/>
                <w:vertAlign w:val="superscript"/>
              </w:rPr>
              <w:t>(1)</w:t>
            </w: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29, 2015</w:t>
            </w: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57"/>
        </w:trPr>
        <w:tc>
          <w:tcPr>
            <w:tcW w:w="17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4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May 21, 2015 </w:t>
            </w:r>
            <w:r>
              <w:rPr>
                <w:rFonts w:ascii="Arial" w:cs="Arial" w:eastAsia="Arial" w:hAnsi="Arial"/>
                <w:sz w:val="29"/>
                <w:szCs w:val="29"/>
                <w:color w:val="auto"/>
                <w:vertAlign w:val="superscript"/>
              </w:rPr>
              <w:t>(1)</w:t>
            </w:r>
          </w:p>
        </w:tc>
        <w:tc>
          <w:tcPr>
            <w:tcW w:w="2420" w:type="dxa"/>
            <w:vAlign w:val="bottom"/>
            <w:gridSpan w:val="2"/>
          </w:tcPr>
          <w:p>
            <w:pPr>
              <w:spacing w:after="0"/>
              <w:rPr>
                <w:sz w:val="20"/>
                <w:szCs w:val="20"/>
                <w:color w:val="auto"/>
              </w:rPr>
            </w:pPr>
            <w:r>
              <w:rPr>
                <w:rFonts w:ascii="Arial" w:cs="Arial" w:eastAsia="Arial" w:hAnsi="Arial"/>
                <w:sz w:val="18"/>
                <w:szCs w:val="18"/>
                <w:color w:val="auto"/>
              </w:rPr>
              <w:t>May 28, 2015</w:t>
            </w:r>
          </w:p>
        </w:tc>
        <w:tc>
          <w:tcPr>
            <w:tcW w:w="1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57"/>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June 22, 2015 </w:t>
            </w:r>
            <w:r>
              <w:rPr>
                <w:rFonts w:ascii="Arial" w:cs="Arial" w:eastAsia="Arial" w:hAnsi="Arial"/>
                <w:sz w:val="29"/>
                <w:szCs w:val="29"/>
                <w:color w:val="auto"/>
                <w:vertAlign w:val="superscript"/>
              </w:rPr>
              <w:t>(1)</w:t>
            </w: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29, 2015</w:t>
            </w: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57"/>
        </w:trPr>
        <w:tc>
          <w:tcPr>
            <w:tcW w:w="17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4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July 23, 2015 </w:t>
            </w:r>
            <w:r>
              <w:rPr>
                <w:rFonts w:ascii="Arial" w:cs="Arial" w:eastAsia="Arial" w:hAnsi="Arial"/>
                <w:sz w:val="29"/>
                <w:szCs w:val="29"/>
                <w:color w:val="auto"/>
                <w:vertAlign w:val="superscript"/>
              </w:rPr>
              <w:t>(1)</w:t>
            </w:r>
          </w:p>
        </w:tc>
        <w:tc>
          <w:tcPr>
            <w:tcW w:w="2420" w:type="dxa"/>
            <w:vAlign w:val="bottom"/>
            <w:gridSpan w:val="2"/>
          </w:tcPr>
          <w:p>
            <w:pPr>
              <w:spacing w:after="0"/>
              <w:rPr>
                <w:sz w:val="20"/>
                <w:szCs w:val="20"/>
                <w:color w:val="auto"/>
              </w:rPr>
            </w:pPr>
            <w:r>
              <w:rPr>
                <w:rFonts w:ascii="Arial" w:cs="Arial" w:eastAsia="Arial" w:hAnsi="Arial"/>
                <w:sz w:val="18"/>
                <w:szCs w:val="18"/>
                <w:color w:val="auto"/>
              </w:rPr>
              <w:t>July 30, 2015</w:t>
            </w:r>
          </w:p>
        </w:tc>
        <w:tc>
          <w:tcPr>
            <w:tcW w:w="1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57"/>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August 21, 2015 </w:t>
            </w:r>
            <w:r>
              <w:rPr>
                <w:rFonts w:ascii="Arial" w:cs="Arial" w:eastAsia="Arial" w:hAnsi="Arial"/>
                <w:sz w:val="29"/>
                <w:szCs w:val="29"/>
                <w:color w:val="auto"/>
                <w:vertAlign w:val="superscript"/>
              </w:rPr>
              <w:t>(1)</w:t>
            </w: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28, 2015</w:t>
            </w: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57"/>
        </w:trPr>
        <w:tc>
          <w:tcPr>
            <w:tcW w:w="17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4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September 23, 2015 </w:t>
            </w:r>
            <w:r>
              <w:rPr>
                <w:rFonts w:ascii="Arial" w:cs="Arial" w:eastAsia="Arial" w:hAnsi="Arial"/>
                <w:sz w:val="29"/>
                <w:szCs w:val="29"/>
                <w:color w:val="auto"/>
                <w:vertAlign w:val="superscript"/>
              </w:rPr>
              <w:t>(1)</w:t>
            </w:r>
          </w:p>
        </w:tc>
        <w:tc>
          <w:tcPr>
            <w:tcW w:w="2420" w:type="dxa"/>
            <w:vAlign w:val="bottom"/>
            <w:gridSpan w:val="2"/>
          </w:tcPr>
          <w:p>
            <w:pPr>
              <w:spacing w:after="0"/>
              <w:rPr>
                <w:sz w:val="20"/>
                <w:szCs w:val="20"/>
                <w:color w:val="auto"/>
              </w:rPr>
            </w:pPr>
            <w:r>
              <w:rPr>
                <w:rFonts w:ascii="Arial" w:cs="Arial" w:eastAsia="Arial" w:hAnsi="Arial"/>
                <w:sz w:val="18"/>
                <w:szCs w:val="18"/>
                <w:color w:val="auto"/>
              </w:rPr>
              <w:t>September 29, 2015</w:t>
            </w:r>
          </w:p>
        </w:tc>
        <w:tc>
          <w:tcPr>
            <w:tcW w:w="1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57"/>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October 23, 2015 </w:t>
            </w:r>
            <w:r>
              <w:rPr>
                <w:rFonts w:ascii="Arial" w:cs="Arial" w:eastAsia="Arial" w:hAnsi="Arial"/>
                <w:sz w:val="29"/>
                <w:szCs w:val="29"/>
                <w:color w:val="auto"/>
                <w:vertAlign w:val="superscript"/>
              </w:rPr>
              <w:t>(1)</w:t>
            </w: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29, 2015</w:t>
            </w: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57"/>
        </w:trPr>
        <w:tc>
          <w:tcPr>
            <w:tcW w:w="17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4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November 20, 2015 </w:t>
            </w:r>
            <w:r>
              <w:rPr>
                <w:rFonts w:ascii="Arial" w:cs="Arial" w:eastAsia="Arial" w:hAnsi="Arial"/>
                <w:sz w:val="29"/>
                <w:szCs w:val="29"/>
                <w:color w:val="auto"/>
                <w:vertAlign w:val="superscript"/>
              </w:rPr>
              <w:t>(1)</w:t>
            </w:r>
          </w:p>
        </w:tc>
        <w:tc>
          <w:tcPr>
            <w:tcW w:w="2420" w:type="dxa"/>
            <w:vAlign w:val="bottom"/>
            <w:gridSpan w:val="2"/>
          </w:tcPr>
          <w:p>
            <w:pPr>
              <w:spacing w:after="0"/>
              <w:rPr>
                <w:sz w:val="20"/>
                <w:szCs w:val="20"/>
                <w:color w:val="auto"/>
              </w:rPr>
            </w:pPr>
            <w:r>
              <w:rPr>
                <w:rFonts w:ascii="Arial" w:cs="Arial" w:eastAsia="Arial" w:hAnsi="Arial"/>
                <w:sz w:val="18"/>
                <w:szCs w:val="18"/>
                <w:color w:val="auto"/>
              </w:rPr>
              <w:t>November 27, 2015</w:t>
            </w:r>
          </w:p>
        </w:tc>
        <w:tc>
          <w:tcPr>
            <w:tcW w:w="1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70"/>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4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December 22, 2015 </w:t>
            </w:r>
            <w:r>
              <w:rPr>
                <w:rFonts w:ascii="Arial" w:cs="Arial" w:eastAsia="Arial" w:hAnsi="Arial"/>
                <w:sz w:val="30"/>
                <w:szCs w:val="30"/>
                <w:color w:val="auto"/>
                <w:vertAlign w:val="superscript"/>
              </w:rPr>
              <w:t>(1)</w:t>
            </w: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30, 2015</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2"/>
          </w:tcPr>
          <w:p>
            <w:pPr>
              <w:ind w:left="320"/>
              <w:spacing w:after="0"/>
              <w:rPr>
                <w:sz w:val="20"/>
                <w:szCs w:val="20"/>
                <w:color w:val="auto"/>
              </w:rPr>
            </w:pPr>
            <w:r>
              <w:rPr>
                <w:rFonts w:ascii="Arial" w:cs="Arial" w:eastAsia="Arial" w:hAnsi="Arial"/>
                <w:sz w:val="18"/>
                <w:szCs w:val="18"/>
                <w:color w:val="auto"/>
                <w:w w:val="96"/>
              </w:rPr>
              <w:t>Total distributions declared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6,692</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79"/>
              </w:rPr>
              <w:t>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0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February 26, 2015, the Company’s Board of Directors declared a special distribution in the amount of approximately $6.5 million, or $0.50 per share of the Company’s common stock, to be paid monthly over the remainder of 2015.</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the Company’s distribution declarations for the three months ended March 31, 2014:</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34"/>
        </w:trPr>
        <w:tc>
          <w:tcPr>
            <w:tcW w:w="3360" w:type="dxa"/>
            <w:vAlign w:val="bottom"/>
            <w:gridSpan w:val="3"/>
          </w:tcPr>
          <w:p>
            <w:pPr>
              <w:ind w:left="120"/>
              <w:spacing w:after="0"/>
              <w:rPr>
                <w:sz w:val="20"/>
                <w:szCs w:val="20"/>
                <w:color w:val="auto"/>
              </w:rPr>
            </w:pPr>
            <w:r>
              <w:rPr>
                <w:rFonts w:ascii="Arial" w:cs="Arial" w:eastAsia="Arial" w:hAnsi="Arial"/>
                <w:sz w:val="18"/>
                <w:szCs w:val="18"/>
                <w:b w:val="1"/>
                <w:bCs w:val="1"/>
                <w:color w:val="auto"/>
              </w:rPr>
              <w:t>Date Declared</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3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Payment Date</w:t>
            </w: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27, 2014</w:t>
            </w:r>
          </w:p>
        </w:tc>
        <w:tc>
          <w:tcPr>
            <w:tcW w:w="14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14, 2014</w:t>
            </w:r>
          </w:p>
        </w:tc>
        <w:tc>
          <w:tcPr>
            <w:tcW w:w="100" w:type="dxa"/>
            <w:vAlign w:val="bottom"/>
            <w:tcBorders>
              <w:top w:val="single" w:sz="8" w:color="CCEEFF"/>
            </w:tcBorders>
            <w:shd w:val="clear" w:color="auto" w:fill="CCEEFF"/>
          </w:tcPr>
          <w:p>
            <w:pPr>
              <w:spacing w:after="0"/>
              <w:rPr>
                <w:sz w:val="19"/>
                <w:szCs w:val="19"/>
                <w:color w:val="auto"/>
              </w:rPr>
            </w:pPr>
          </w:p>
        </w:tc>
        <w:tc>
          <w:tcPr>
            <w:tcW w:w="3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26, 2014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80" w:type="dxa"/>
            <w:vAlign w:val="bottom"/>
            <w:gridSpan w:val="2"/>
          </w:tcPr>
          <w:p>
            <w:pPr>
              <w:ind w:left="1820"/>
              <w:spacing w:after="0"/>
              <w:rPr>
                <w:sz w:val="20"/>
                <w:szCs w:val="20"/>
                <w:color w:val="auto"/>
              </w:rPr>
            </w:pPr>
            <w:r>
              <w:rPr>
                <w:rFonts w:ascii="Arial" w:cs="Arial" w:eastAsia="Arial" w:hAnsi="Arial"/>
                <w:sz w:val="18"/>
                <w:szCs w:val="18"/>
                <w:color w:val="auto"/>
                <w:w w:val="96"/>
              </w:rPr>
              <w:t>Total Distributions Declared</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12. Share Repurchase Program</w:t>
            </w: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60" w:type="dxa"/>
            <w:vAlign w:val="bottom"/>
            <w:gridSpan w:val="3"/>
            <w:vMerge w:val="continue"/>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881"/>
        <w:spacing w:after="0" w:line="255" w:lineRule="auto"/>
        <w:rPr>
          <w:sz w:val="20"/>
          <w:szCs w:val="20"/>
          <w:color w:val="auto"/>
        </w:rPr>
      </w:pPr>
      <w:r>
        <w:rPr>
          <w:rFonts w:ascii="Arial" w:cs="Arial" w:eastAsia="Arial" w:hAnsi="Arial"/>
          <w:sz w:val="18"/>
          <w:szCs w:val="18"/>
          <w:color w:val="auto"/>
        </w:rPr>
        <w:t>On February 26, 2015, the Company’s board of directors authorized a program for the purpose of repurchasing up to $12.0 million worth of its common stock. Under the repurchase program, the Company may, but is not obligated to, repurchase its outstanding common stock in the open market from time to time provided that the Company complies with the prohibitions under its Insider Trading Policies and Procedures and the guidelines specified in Rule 10b-18 of the Securities Exchange Act of 1934, as amended, including certain price, market volume and timing constraints. Unless extended by the Company’s board of directors, the Company expects the repurchase program to be in place until the earlier of March 31, 2016 or until $12.0 million of the Company’s outstanding shares of common stock have been repurchased. As of March 31, 2015, the Company had not made any repurchases of its common stock under this program.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Note 13. Financial Highlights</w:t>
      </w:r>
    </w:p>
    <w:p>
      <w:pPr>
        <w:spacing w:after="0" w:line="229"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The following is a schedule of financial highlights for the three months ended March 31, 2015 and 2014 (dollars in thousands, except share and per share data):</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March 31, 2015</w:t>
            </w:r>
          </w:p>
        </w:tc>
        <w:tc>
          <w:tcPr>
            <w:tcW w:w="1460" w:type="dxa"/>
            <w:vAlign w:val="bottom"/>
            <w:gridSpan w:val="4"/>
          </w:tcPr>
          <w:p>
            <w:pPr>
              <w:ind w:left="40"/>
              <w:spacing w:after="0"/>
              <w:rPr>
                <w:sz w:val="20"/>
                <w:szCs w:val="20"/>
                <w:color w:val="auto"/>
              </w:rPr>
            </w:pPr>
            <w:r>
              <w:rPr>
                <w:rFonts w:ascii="Arial" w:cs="Arial" w:eastAsia="Arial" w:hAnsi="Arial"/>
                <w:sz w:val="18"/>
                <w:szCs w:val="18"/>
                <w:b w:val="1"/>
                <w:bCs w:val="1"/>
                <w:color w:val="auto"/>
              </w:rPr>
              <w:t>March 31, 2014</w:t>
            </w:r>
          </w:p>
        </w:tc>
        <w:tc>
          <w:tcPr>
            <w:tcW w:w="0" w:type="dxa"/>
            <w:vAlign w:val="bottom"/>
          </w:tcPr>
          <w:p>
            <w:pPr>
              <w:spacing w:after="0"/>
              <w:rPr>
                <w:sz w:val="1"/>
                <w:szCs w:val="1"/>
                <w:color w:val="auto"/>
              </w:rPr>
            </w:pPr>
          </w:p>
        </w:tc>
      </w:tr>
      <w:tr>
        <w:trPr>
          <w:trHeight w:val="210"/>
        </w:trPr>
        <w:tc>
          <w:tcPr>
            <w:tcW w:w="7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18.56</w:t>
            </w:r>
          </w:p>
        </w:tc>
        <w:tc>
          <w:tcPr>
            <w:tcW w:w="200" w:type="dxa"/>
            <w:vAlign w:val="bottom"/>
          </w:tcPr>
          <w:p>
            <w:pPr>
              <w:spacing w:after="0"/>
              <w:rPr>
                <w:sz w:val="18"/>
                <w:szCs w:val="18"/>
                <w:color w:val="auto"/>
              </w:rPr>
            </w:pP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Net investment income(1)</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0.37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investments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Net decrease in unrealized appreciation on investments</w:t>
            </w:r>
          </w:p>
        </w:tc>
        <w:tc>
          <w:tcPr>
            <w:tcW w:w="2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(0.33)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0"/>
        </w:trPr>
        <w:tc>
          <w:tcPr>
            <w:tcW w:w="7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Net increase in stockholders’ equity</w:t>
            </w:r>
          </w:p>
        </w:tc>
        <w:tc>
          <w:tcPr>
            <w:tcW w:w="2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0.76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0"/>
        </w:trPr>
        <w:tc>
          <w:tcPr>
            <w:tcW w:w="7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(0.47)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realized gains</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40"/>
              <w:spacing w:after="0"/>
              <w:rPr>
                <w:sz w:val="20"/>
                <w:szCs w:val="20"/>
                <w:color w:val="auto"/>
              </w:rPr>
            </w:pPr>
            <w:r>
              <w:rPr>
                <w:rFonts w:ascii="Arial" w:cs="Arial" w:eastAsia="Arial" w:hAnsi="Arial"/>
                <w:sz w:val="18"/>
                <w:szCs w:val="18"/>
                <w:color w:val="auto"/>
              </w:rPr>
              <w:t>Total dividends declared</w:t>
            </w: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(0.97)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(0.47)</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Net asset value at end of period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18.35</w:t>
            </w:r>
          </w:p>
        </w:tc>
        <w:tc>
          <w:tcPr>
            <w:tcW w:w="200" w:type="dxa"/>
            <w:vAlign w:val="bottom"/>
          </w:tcPr>
          <w:p>
            <w:pPr>
              <w:spacing w:after="0"/>
              <w:rPr>
                <w:sz w:val="19"/>
                <w:szCs w:val="19"/>
                <w:color w:val="auto"/>
              </w:rPr>
            </w:pP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10"/>
        </w:trPr>
        <w:tc>
          <w:tcPr>
            <w:tcW w:w="7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238,172</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263,790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12,977,242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12,974,420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end of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Total return based on market value(2)</w:t>
            </w:r>
          </w:p>
        </w:tc>
        <w:tc>
          <w:tcPr>
            <w:tcW w:w="2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7.99%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Ratio of net investment income to average net assets(4)</w:t>
            </w:r>
          </w:p>
        </w:tc>
        <w:tc>
          <w:tcPr>
            <w:tcW w:w="2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8.16%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Ratio of incentive fee to average net assets(4)</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Ratio of debt related expenses to average net assets(4)</w:t>
            </w:r>
          </w:p>
        </w:tc>
        <w:tc>
          <w:tcPr>
            <w:tcW w:w="2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7.85%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Ratio of other operating expenses, net of management fee waiver to average net assets(4)(7)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Ratio of total expenses to average net assets(4)</w:t>
            </w:r>
          </w:p>
        </w:tc>
        <w:tc>
          <w:tcPr>
            <w:tcW w:w="2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15.62%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rate(3)</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Average debt outstanding(5)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306,638</w:t>
            </w:r>
          </w:p>
        </w:tc>
        <w:tc>
          <w:tcPr>
            <w:tcW w:w="200" w:type="dxa"/>
            <w:vAlign w:val="bottom"/>
          </w:tcPr>
          <w:p>
            <w:pPr>
              <w:spacing w:after="0"/>
              <w:rPr>
                <w:sz w:val="18"/>
                <w:szCs w:val="18"/>
                <w:color w:val="auto"/>
              </w:rPr>
            </w:pP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198,644</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per common share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Asset coverage ratio per unit(6)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2,855</w:t>
            </w:r>
          </w:p>
        </w:tc>
        <w:tc>
          <w:tcPr>
            <w:tcW w:w="200" w:type="dxa"/>
            <w:vAlign w:val="bottom"/>
          </w:tcPr>
          <w:p>
            <w:pPr>
              <w:spacing w:after="0"/>
              <w:rPr>
                <w:sz w:val="20"/>
                <w:szCs w:val="20"/>
                <w:color w:val="auto"/>
              </w:rPr>
            </w:pP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investment income per share is calculated using the weighted average shares outstanding during the period.</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1"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 Portfolio turnover rates that cover less than a full period are not annualized.</w:t>
      </w: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daily weighted average balance of debt outstanding during the period.</w:t>
      </w:r>
    </w:p>
    <w:p>
      <w:pPr>
        <w:spacing w:after="0" w:line="9" w:lineRule="exact"/>
        <w:rPr>
          <w:rFonts w:ascii="Arial" w:cs="Arial" w:eastAsia="Arial" w:hAnsi="Arial"/>
          <w:sz w:val="18"/>
          <w:szCs w:val="18"/>
          <w:color w:val="auto"/>
        </w:rPr>
      </w:pPr>
    </w:p>
    <w:p>
      <w:pPr>
        <w:ind w:left="340" w:hanging="332"/>
        <w:spacing w:after="0" w:line="252"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consolidated assets, less all liabilities and indebtness not represented by senior securities, to the aggregate amount of senior securities representing indebtness. We have excluded our SBA-guaranteed debentures from the asset coverage calculation as of March 31, 2015 pursuant to the exemptive relief granted by the SEC in June 2014 that permits us to exclude such debentures from the definition of senior securities in the 200% asset coverage ratio we are required to maintain under the 1940 Act. Asset coverage per unit is expressed in terms of dollar amounts per $1,000 of indebtness. Including our unfunded commitments of $16.5 million as of March 31, 2015, our asset coverage ratio would be $2,531.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864" w:right="41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(7)  The ratio of waived management fees to average net assets was 0.05% for the three months ended March 31,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Offering</w:t>
      </w:r>
    </w:p>
    <w:p>
      <w:pPr>
        <w:spacing w:after="0" w:line="225"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On April 13, 2015, the Company completed an underwritten offering of 3,500,000 shares of its common stock at a public offering price of $18.32 per share for total gross proceeds of approximately $64.1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April 1, 2015, the Company’s Board of Directors declared normal monthly distributions for April, May, and June of 2015 as set forth below:</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Distributions per</w:t>
            </w:r>
          </w:p>
        </w:tc>
      </w:tr>
      <w:tr>
        <w:trPr>
          <w:trHeight w:val="230"/>
        </w:trPr>
        <w:tc>
          <w:tcPr>
            <w:tcW w:w="45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Date Declared</w:t>
            </w:r>
          </w:p>
        </w:tc>
        <w:tc>
          <w:tcPr>
            <w:tcW w:w="1740" w:type="dxa"/>
            <w:vAlign w:val="bottom"/>
            <w:gridSpan w:val="2"/>
          </w:tcPr>
          <w:p>
            <w:pPr>
              <w:ind w:left="360"/>
              <w:spacing w:after="0"/>
              <w:rPr>
                <w:sz w:val="20"/>
                <w:szCs w:val="20"/>
                <w:color w:val="auto"/>
              </w:rPr>
            </w:pPr>
            <w:r>
              <w:rPr>
                <w:rFonts w:ascii="Arial" w:cs="Arial" w:eastAsia="Arial" w:hAnsi="Arial"/>
                <w:sz w:val="18"/>
                <w:szCs w:val="18"/>
                <w:color w:val="auto"/>
              </w:rPr>
              <w:t>Record Date</w:t>
            </w:r>
          </w:p>
        </w:tc>
        <w:tc>
          <w:tcPr>
            <w:tcW w:w="1640" w:type="dxa"/>
            <w:vAlign w:val="bottom"/>
          </w:tcPr>
          <w:p>
            <w:pPr>
              <w:ind w:left="300"/>
              <w:spacing w:after="0"/>
              <w:rPr>
                <w:sz w:val="20"/>
                <w:szCs w:val="20"/>
                <w:color w:val="auto"/>
              </w:rPr>
            </w:pPr>
            <w:r>
              <w:rPr>
                <w:rFonts w:ascii="Arial" w:cs="Arial" w:eastAsia="Arial" w:hAnsi="Arial"/>
                <w:sz w:val="18"/>
                <w:szCs w:val="18"/>
                <w:color w:val="auto"/>
              </w:rPr>
              <w:t>Payment Date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Share</w:t>
            </w:r>
          </w:p>
        </w:tc>
      </w:tr>
      <w:tr>
        <w:trPr>
          <w:trHeight w:val="210"/>
        </w:trPr>
        <w:tc>
          <w:tcPr>
            <w:tcW w:w="4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April 1, 2015</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June 22, 2015</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June 29, 2015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April 1, 2015</w:t>
            </w:r>
          </w:p>
        </w:tc>
        <w:tc>
          <w:tcPr>
            <w:tcW w:w="1740" w:type="dxa"/>
            <w:vAlign w:val="bottom"/>
            <w:gridSpan w:val="2"/>
          </w:tcPr>
          <w:p>
            <w:pPr>
              <w:ind w:left="360"/>
              <w:spacing w:after="0"/>
              <w:rPr>
                <w:sz w:val="20"/>
                <w:szCs w:val="20"/>
                <w:color w:val="auto"/>
              </w:rPr>
            </w:pPr>
            <w:r>
              <w:rPr>
                <w:rFonts w:ascii="Arial" w:cs="Arial" w:eastAsia="Arial" w:hAnsi="Arial"/>
                <w:sz w:val="18"/>
                <w:szCs w:val="18"/>
                <w:color w:val="auto"/>
              </w:rPr>
              <w:t>May 21, 2015</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May 28, 2015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0.1567</w:t>
            </w:r>
          </w:p>
        </w:tc>
        <w:tc>
          <w:tcPr>
            <w:tcW w:w="8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April 1, 2015</w:t>
            </w:r>
          </w:p>
        </w:tc>
        <w:tc>
          <w:tcPr>
            <w:tcW w:w="1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April 23, 2015</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29, 2015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On April 14, 2015, the Company repaid the full $25.0 million balance on the Credit Facility, which included $15.0 million drawn at March 31, 2015, $10.0 million drawn on April 2, 2015, and accrued interest to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April 2, 2015, the Company invested $1.0 million in senior secured term debt of Print Direction, Inc. yielding 10.0% cash interest and 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PIK.</w:t>
      </w:r>
    </w:p>
    <w:p>
      <w:pPr>
        <w:spacing w:after="0" w:line="211"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On April 17, 2015, the Company committed $4.0 million for Concentra Inc.’s senior unsecured bridge facility, initially yielding Libor+7.0% cash interest with 1.0% floor.</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April 20, 2015, the Company received $0.9 million in cash proceeds from its exit of KBP Investments, LLC related to working capital true-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up.</w:t>
      </w:r>
    </w:p>
    <w:p>
      <w:pPr>
        <w:spacing w:after="0" w:line="211"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On April 20, 2015, the Company received $10.0 million from TGI Fridays, Inc., representing full repayment of the Company’s debt investment, yielding Libor+8.25%. In addition to the repayment, the Company also received a $0.3 million pre-payment penalty.</w:t>
      </w:r>
    </w:p>
    <w:p>
      <w:pPr>
        <w:spacing w:after="0" w:line="170"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On April 30, 2015, the Company invested $5.0 million in Burke America Parts Group, LLC senior secured term debt, yielding 9.5% cash interest, plus warrant participation.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520" w:firstLine="881"/>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Except as otherwise specified, references to “we,” “us,” “our” or the “Company”, refer to Capitala Finance Corp.</w:t>
      </w:r>
    </w:p>
    <w:p>
      <w:pPr>
        <w:spacing w:after="0" w:line="225" w:lineRule="exact"/>
        <w:rPr>
          <w:sz w:val="20"/>
          <w:szCs w:val="20"/>
          <w:color w:val="auto"/>
        </w:rPr>
      </w:pPr>
    </w:p>
    <w:p>
      <w:pPr>
        <w:ind w:firstLine="881"/>
        <w:spacing w:after="0" w:line="297" w:lineRule="auto"/>
        <w:rPr>
          <w:sz w:val="20"/>
          <w:szCs w:val="20"/>
          <w:color w:val="auto"/>
        </w:rPr>
      </w:pPr>
      <w:r>
        <w:rPr>
          <w:rFonts w:ascii="Arial" w:cs="Arial" w:eastAsia="Arial" w:hAnsi="Arial"/>
          <w:sz w:val="16"/>
          <w:szCs w:val="16"/>
          <w:color w:val="auto"/>
        </w:rPr>
        <w:t>This Quarterly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forward-looking statements contained in this Quarterly Report on Form 10-Q involve risks and uncertainties, including statements as to:</w:t>
      </w:r>
    </w:p>
    <w:p>
      <w:pPr>
        <w:spacing w:after="0" w:line="237" w:lineRule="exact"/>
        <w:rPr>
          <w:sz w:val="20"/>
          <w:szCs w:val="20"/>
          <w:color w:val="auto"/>
        </w:rPr>
      </w:pPr>
    </w:p>
    <w:p>
      <w:pPr>
        <w:ind w:left="1440" w:hanging="446"/>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1440" w:right="20" w:hanging="446"/>
        <w:spacing w:after="0" w:line="277" w:lineRule="auto"/>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or repay their borrowings, which could lead to the loss of some or all of our investments in such portfolio companies;</w:t>
      </w:r>
    </w:p>
    <w:p>
      <w:pPr>
        <w:spacing w:after="0" w:line="170" w:lineRule="exact"/>
        <w:rPr>
          <w:rFonts w:ascii="Arial" w:cs="Arial" w:eastAsia="Arial" w:hAnsi="Arial"/>
          <w:sz w:val="18"/>
          <w:szCs w:val="18"/>
          <w:color w:val="auto"/>
        </w:rPr>
      </w:pPr>
    </w:p>
    <w:p>
      <w:pPr>
        <w:ind w:left="1440" w:hanging="446"/>
        <w:spacing w:after="0"/>
        <w:tabs>
          <w:tab w:leader="none" w:pos="1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contraction of available credit and/or an inability to access the equity markets could impair our lending and investment activities;</w:t>
      </w:r>
    </w:p>
    <w:p>
      <w:pPr>
        <w:spacing w:after="0" w:line="236" w:lineRule="exact"/>
        <w:rPr>
          <w:rFonts w:ascii="Arial" w:cs="Arial" w:eastAsia="Arial" w:hAnsi="Arial"/>
          <w:sz w:val="17"/>
          <w:szCs w:val="17"/>
          <w:color w:val="auto"/>
        </w:rPr>
      </w:pPr>
    </w:p>
    <w:p>
      <w:pPr>
        <w:ind w:left="1440" w:hanging="446"/>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if we use leverage as part of our investment strategy; and</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this Quarterly Report on Form 10-Q.</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4" w:right="259" w:bottom="1440" w:gutter="0" w:footer="0" w:header="0"/>
        </w:sectPr>
      </w:pPr>
    </w:p>
    <w:bookmarkStart w:id="44" w:name="page45"/>
    <w:bookmarkEnd w:id="44"/>
    <w:p>
      <w:pPr>
        <w:ind w:right="20" w:firstLine="881"/>
        <w:spacing w:after="0" w:line="271"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our Annual Report on Form 10-K.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We are a Maryland corporation that has elected to be regulated as a business development company (“BDC”) under the Investment Company Act of 1940 (the “1940 Act”). We are an emerging growth company within the meaning of the Jumpstart Our Business Startups Act of 2012 (the “JOBS Act”), and as such, are subject to reduced public company reporting requirements.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188" w:lineRule="exact"/>
        <w:rPr>
          <w:sz w:val="20"/>
          <w:szCs w:val="20"/>
          <w:color w:val="auto"/>
        </w:rPr>
      </w:pPr>
    </w:p>
    <w:p>
      <w:pPr>
        <w:ind w:right="320" w:firstLine="881"/>
        <w:spacing w:after="0" w:line="279" w:lineRule="auto"/>
        <w:rPr>
          <w:sz w:val="20"/>
          <w:szCs w:val="20"/>
          <w:color w:val="auto"/>
        </w:rPr>
      </w:pPr>
      <w:r>
        <w:rPr>
          <w:rFonts w:ascii="Arial" w:cs="Arial" w:eastAsia="Arial" w:hAnsi="Arial"/>
          <w:sz w:val="17"/>
          <w:szCs w:val="17"/>
          <w:color w:val="auto"/>
        </w:rPr>
        <w:t>We provide capital to lower and traditional middle-market companies primarily in the United States, with a non-exclusive emphasis on the Southeast, Southwest and Mid-Atlantic regions. We invest primarily in companies with a history of earnings growth and positive cash flow, proven management teams, product or service with competitive advantages and industry-appropriate margins. We primarily invest in companies with between $5 million and $30 million in trailing twelve month earnings before interest, tax, depreciation and amortization (“EBITDA”).</w:t>
      </w:r>
    </w:p>
    <w:p>
      <w:pPr>
        <w:spacing w:after="0" w:line="171" w:lineRule="exact"/>
        <w:rPr>
          <w:sz w:val="20"/>
          <w:szCs w:val="20"/>
          <w:color w:val="auto"/>
        </w:rPr>
      </w:pPr>
    </w:p>
    <w:p>
      <w:pPr>
        <w:ind w:right="180" w:firstLine="923"/>
        <w:spacing w:after="0" w:line="286" w:lineRule="auto"/>
        <w:rPr>
          <w:sz w:val="20"/>
          <w:szCs w:val="20"/>
          <w:color w:val="auto"/>
        </w:rPr>
      </w:pPr>
      <w:r>
        <w:rPr>
          <w:rFonts w:ascii="Arial" w:cs="Arial" w:eastAsia="Arial" w:hAnsi="Arial"/>
          <w:sz w:val="17"/>
          <w:szCs w:val="17"/>
          <w:color w:val="auto"/>
        </w:rPr>
        <w:t xml:space="preserve">We invest in mezzanine and senior debt investments that are secured by subordinated liens on all or a portion of our borrowers’ assets and, to a lesser extent, in senior, cash flow-based “unitranche” securities. Many of our debt investments are coupled with equity interests, whether in the form of detachable “penny” warrants or equity co-investments made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our borrowers’ financial sponsors.</w:t>
      </w:r>
    </w:p>
    <w:p>
      <w:pPr>
        <w:spacing w:after="0" w:line="166"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As a BDC, we are required to comply with certain regulatory requirements. For instance, we generally have to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after such borrowing, with certain limited exceptions. To maintain our regulated investment company (“RIC”) status, we must meet specified source-of-income and asset diversification requirements. To maintain our RIC tax treatment under subchapter M of the Internal Revenue Code for 1986, as amended (the “Code”) for U.S. federal income tax purposes, we must distribute at least 90% of our net ordinary income and realized net short-term capital gains in excess of realized net long-term capital losses, if any, for the taxable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ind w:firstLine="881"/>
        <w:spacing w:after="0" w:line="273" w:lineRule="auto"/>
        <w:rPr>
          <w:sz w:val="20"/>
          <w:szCs w:val="20"/>
          <w:color w:val="auto"/>
        </w:rPr>
      </w:pPr>
      <w:r>
        <w:rPr>
          <w:rFonts w:ascii="Arial" w:cs="Arial" w:eastAsia="Arial" w:hAnsi="Arial"/>
          <w:sz w:val="17"/>
          <w:szCs w:val="17"/>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 market and middle market companies.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45" w:name="page46"/>
    <w:bookmarkEnd w:id="45"/>
    <w:p>
      <w:pPr>
        <w:ind w:firstLine="881"/>
        <w:spacing w:after="0" w:line="272" w:lineRule="auto"/>
        <w:rPr>
          <w:sz w:val="20"/>
          <w:szCs w:val="20"/>
          <w:color w:val="auto"/>
        </w:rPr>
      </w:pPr>
      <w:r>
        <w:rPr>
          <w:rFonts w:ascii="Arial" w:cs="Arial" w:eastAsia="Arial" w:hAnsi="Arial"/>
          <w:sz w:val="17"/>
          <w:szCs w:val="17"/>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Fund’s wholly-owned subsidiaries. Fund II and Fund III retained their SBIC licenses, continue to hold their existing investments and continue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As of March 31, 2015, the Company had 12,977,242 shares of common stock outstanding.</w:t>
      </w:r>
    </w:p>
    <w:p>
      <w:pPr>
        <w:spacing w:after="0" w:line="178"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At the time of the Formation Transactions, our portfolio consisted of: (i) approximately $326.3 million in investments; (ii) an aggregate of approximately $67.1 million in cash, interest receivable and other assets; and (iii) liabilities of approximately $202.2 million of SBA-guaranteed debt payable. We have two SBIC-licensed subsidiaries that have elected to be regulated as BDCs under the 1940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881"/>
        <w:spacing w:after="0" w:line="269" w:lineRule="auto"/>
        <w:rPr>
          <w:sz w:val="20"/>
          <w:szCs w:val="20"/>
          <w:color w:val="auto"/>
        </w:rPr>
      </w:pPr>
      <w:r>
        <w:rPr>
          <w:rFonts w:ascii="Arial" w:cs="Arial" w:eastAsia="Arial" w:hAnsi="Arial"/>
          <w:sz w:val="17"/>
          <w:szCs w:val="17"/>
          <w:color w:val="auto"/>
        </w:rPr>
        <w:t>The accompanying unaudited financial statements have been prepared in conformity with United States generally accepted accounting principles (“U.S. GAAP”) for interim financial information and pursuant to the requirements for reporting on Form 10-Q and Article 10 and Article 6 of Regulation S-X. Accordingly, certain disclosures accompanying annual consolidated financial statements prepared in accordance with U.S. GAAP are omitted. In the opinion of management, all adjustments, consisting solely of normal recurring adjustments necessary for the fair presentation of financial statements for the interim periods, have been reflected in the unaudited consolidated financial statements. 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period ended December 31, 2014, filed with the U.S Securities and Exchange Commission (“SEC”) on March 4, 2015. Financial statements prepared on a U.S. GAAP basis require management to make estimates and assumptions that affect the amounts and disclosures reported in the consolidated financial statements and accompanying notes. Such estimates and assumptions could change in the future as more information becomes known, which could impact the amounts reported and disclosed herein.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ind w:right="220" w:firstLine="881"/>
        <w:spacing w:after="0" w:line="276" w:lineRule="auto"/>
        <w:rPr>
          <w:sz w:val="20"/>
          <w:szCs w:val="20"/>
          <w:color w:val="auto"/>
        </w:rPr>
      </w:pPr>
      <w:r>
        <w:rPr>
          <w:rFonts w:ascii="Arial" w:cs="Arial" w:eastAsia="Arial" w:hAnsi="Arial"/>
          <w:sz w:val="17"/>
          <w:szCs w:val="17"/>
          <w:color w:val="auto"/>
        </w:rPr>
        <w:t xml:space="preserve">As provided under Regulation S-X and ASC Topic 946 </w:t>
      </w:r>
      <w:r>
        <w:rPr>
          <w:rFonts w:ascii="Arial" w:cs="Arial" w:eastAsia="Arial" w:hAnsi="Arial"/>
          <w:sz w:val="17"/>
          <w:szCs w:val="17"/>
          <w:i w:val="1"/>
          <w:iCs w:val="1"/>
          <w:color w:val="auto"/>
        </w:rPr>
        <w:t>– Financial Services – Investment Companies</w:t>
      </w:r>
      <w:r>
        <w:rPr>
          <w:rFonts w:ascii="Arial" w:cs="Arial" w:eastAsia="Arial" w:hAnsi="Arial"/>
          <w:sz w:val="17"/>
          <w:szCs w:val="17"/>
          <w:color w:val="auto"/>
        </w:rPr>
        <w:t>,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subsidiaries in its consolidated financial statements. The Company does not consolidate its non-controlling interest in Capitala Senior Liquid Loan Fund I, LLC (“CSLLF”). See Note 4 to our Consolidated Financial Statements for further description of the Company’s investment in CSLLF.</w:t>
      </w:r>
    </w:p>
    <w:p>
      <w:pPr>
        <w:spacing w:after="0" w:line="173" w:lineRule="exact"/>
        <w:rPr>
          <w:sz w:val="20"/>
          <w:szCs w:val="20"/>
          <w:color w:val="auto"/>
        </w:rPr>
      </w:pPr>
    </w:p>
    <w:p>
      <w:pPr>
        <w:ind w:firstLine="881"/>
        <w:spacing w:after="0" w:line="302" w:lineRule="auto"/>
        <w:rPr>
          <w:sz w:val="20"/>
          <w:szCs w:val="20"/>
          <w:color w:val="auto"/>
        </w:rPr>
      </w:pPr>
      <w:r>
        <w:rPr>
          <w:rFonts w:ascii="Arial" w:cs="Arial" w:eastAsia="Arial" w:hAnsi="Arial"/>
          <w:sz w:val="16"/>
          <w:szCs w:val="16"/>
          <w:color w:val="auto"/>
        </w:rPr>
        <w:t>The Company’s financial position as of March 31, 2015 is presented on a consolidated basis. The effects of all intercompany transactions between the Company and its subsidiaries (Fund II, Fund III, and the Florida Sidecar)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140" w:firstLine="881"/>
        <w:spacing w:after="0" w:line="257" w:lineRule="auto"/>
        <w:rPr>
          <w:sz w:val="20"/>
          <w:szCs w:val="20"/>
          <w:color w:val="auto"/>
        </w:rPr>
      </w:pPr>
      <w:r>
        <w:rPr>
          <w:rFonts w:ascii="Arial" w:cs="Arial" w:eastAsia="Arial" w:hAnsi="Arial"/>
          <w:sz w:val="18"/>
          <w:szCs w:val="18"/>
          <w:color w:val="auto"/>
        </w:rPr>
        <w:t>We generate revenue primarily from the periodic cash interest we will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origination, structuring or diligence fees, monitoring fees, fees for providing managerial assistance and possibly consulting fees and performance-based fees. These fees will be recognized as they are earned.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40" w:firstLine="881"/>
        <w:spacing w:after="0" w:line="279" w:lineRule="auto"/>
        <w:rPr>
          <w:sz w:val="20"/>
          <w:szCs w:val="20"/>
          <w:color w:val="auto"/>
        </w:rPr>
      </w:pPr>
      <w:r>
        <w:rPr>
          <w:rFonts w:ascii="Arial" w:cs="Arial" w:eastAsia="Arial" w:hAnsi="Arial"/>
          <w:sz w:val="17"/>
          <w:szCs w:val="17"/>
          <w:color w:val="auto"/>
        </w:rPr>
        <w:t>Our primary operating expenses include the payment of investment advisory fees to our Investment Advisor, our allocable portion of overhead and other expenses incurred by our Administrator in performing its obligations under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171" w:lineRule="exact"/>
        <w:rPr>
          <w:sz w:val="20"/>
          <w:szCs w:val="20"/>
          <w:color w:val="auto"/>
        </w:rPr>
      </w:pPr>
    </w:p>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225" w:lineRule="exact"/>
        <w:rPr>
          <w:rFonts w:ascii="Arial" w:cs="Arial" w:eastAsia="Arial" w:hAnsi="Arial"/>
          <w:sz w:val="18"/>
          <w:szCs w:val="18"/>
          <w:color w:val="auto"/>
        </w:rPr>
      </w:pPr>
    </w:p>
    <w:p>
      <w:pPr>
        <w:ind w:left="1440" w:right="140" w:hanging="446"/>
        <w:spacing w:after="0" w:line="277" w:lineRule="auto"/>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reviews of prospective investments and advisory fees;</w:t>
      </w:r>
    </w:p>
    <w:p>
      <w:pPr>
        <w:spacing w:after="0" w:line="170" w:lineRule="exact"/>
        <w:rPr>
          <w:rFonts w:ascii="Arial" w:cs="Arial" w:eastAsia="Arial" w:hAnsi="Arial"/>
          <w:sz w:val="18"/>
          <w:szCs w:val="18"/>
          <w:color w:val="auto"/>
        </w:rPr>
      </w:pPr>
    </w:p>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25" w:lineRule="exact"/>
        <w:rPr>
          <w:rFonts w:ascii="Arial" w:cs="Arial" w:eastAsia="Arial" w:hAnsi="Arial"/>
          <w:sz w:val="18"/>
          <w:szCs w:val="18"/>
          <w:color w:val="auto"/>
        </w:rPr>
      </w:pPr>
    </w:p>
    <w:p>
      <w:pPr>
        <w:ind w:left="1440" w:right="280" w:hanging="446"/>
        <w:spacing w:after="0" w:line="277" w:lineRule="auto"/>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Securities Exchange Act of 1934, as amended, other applicable federal and state securities laws and ongoing stock exchange listing fees;</w:t>
      </w:r>
    </w:p>
    <w:p>
      <w:pPr>
        <w:spacing w:after="0" w:line="170" w:lineRule="exact"/>
        <w:rPr>
          <w:rFonts w:ascii="Arial" w:cs="Arial" w:eastAsia="Arial" w:hAnsi="Arial"/>
          <w:sz w:val="18"/>
          <w:szCs w:val="18"/>
          <w:color w:val="auto"/>
        </w:rPr>
      </w:pPr>
    </w:p>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fidelity bond, directors’ and officers’ liability insurance, errors and omissions liability insurance and other insurance premiums;</w:t>
      </w:r>
    </w:p>
    <w:p>
      <w:pPr>
        <w:spacing w:after="0" w:line="236" w:lineRule="exact"/>
        <w:rPr>
          <w:rFonts w:ascii="Arial" w:cs="Arial" w:eastAsia="Arial" w:hAnsi="Arial"/>
          <w:sz w:val="17"/>
          <w:szCs w:val="17"/>
          <w:color w:val="auto"/>
        </w:rPr>
      </w:pPr>
    </w:p>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225" w:lineRule="exact"/>
        <w:rPr>
          <w:rFonts w:ascii="Arial" w:cs="Arial" w:eastAsia="Arial" w:hAnsi="Arial"/>
          <w:sz w:val="18"/>
          <w:szCs w:val="18"/>
          <w:color w:val="auto"/>
        </w:rPr>
      </w:pPr>
    </w:p>
    <w:p>
      <w:pPr>
        <w:ind w:left="1440" w:hanging="446"/>
        <w:spacing w:after="0" w:line="257" w:lineRule="auto"/>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any administrative support staff.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40" w:firstLine="881"/>
        <w:spacing w:after="0" w:line="271" w:lineRule="auto"/>
        <w:rPr>
          <w:sz w:val="20"/>
          <w:szCs w:val="20"/>
          <w:color w:val="auto"/>
        </w:rPr>
      </w:pPr>
      <w:r>
        <w:rPr>
          <w:rFonts w:ascii="Arial" w:cs="Arial" w:eastAsia="Arial" w:hAnsi="Arial"/>
          <w:sz w:val="17"/>
          <w:szCs w:val="17"/>
          <w:color w:val="auto"/>
        </w:rPr>
        <w:t>In the preparation of our consolidated financial statements and related disclosures, we have adopted various accounting policies that govern the application of U.S. GAAP. Our significant accounting policies are described in Note 2 to our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financial statements. We have identified investment valuation, revenue recognition, and income taxes as our most critical accounting estimates. We continuously evaluate our estimates, including those related to the matters described below. Because of the nature of the judgment and assumptions we make, actual results could materially differ from those estimates under different assumptions or conditions. A discussion of our critical accounting policies follows.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8" w:right="279" w:bottom="1440" w:gutter="0" w:footer="0" w:header="0"/>
        </w:sectPr>
      </w:pPr>
    </w:p>
    <w:bookmarkStart w:id="47" w:name="page48"/>
    <w:bookmarkEnd w:id="47"/>
    <w:p>
      <w:pPr>
        <w:ind w:firstLine="881"/>
        <w:spacing w:after="0" w:line="259" w:lineRule="auto"/>
        <w:rPr>
          <w:sz w:val="20"/>
          <w:szCs w:val="20"/>
          <w:color w:val="auto"/>
        </w:rPr>
      </w:pPr>
      <w:r>
        <w:rPr>
          <w:rFonts w:ascii="Arial" w:cs="Arial" w:eastAsia="Arial" w:hAnsi="Arial"/>
          <w:sz w:val="18"/>
          <w:szCs w:val="18"/>
          <w:color w:val="auto"/>
        </w:rPr>
        <w:t>As a practical expedient, the Company uses net asset value (“NAV”) as the fair value for CSLLF. CSLLF records its underlying investments at fair value on a daily basis utilizing pricing information from third-party sources. In the event pricing is not available or an investment is considered illiquid, management may perform model-based analytical valuations in instances where an investment is considered illiquid or for which pricing is not available from third-party 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ind w:firstLine="881"/>
        <w:spacing w:after="0" w:line="279" w:lineRule="auto"/>
        <w:rPr>
          <w:sz w:val="20"/>
          <w:szCs w:val="20"/>
          <w:color w:val="auto"/>
        </w:rPr>
      </w:pPr>
      <w:r>
        <w:rPr>
          <w:rFonts w:ascii="Arial" w:cs="Arial" w:eastAsia="Arial" w:hAnsi="Arial"/>
          <w:sz w:val="17"/>
          <w:szCs w:val="17"/>
          <w:color w:val="auto"/>
        </w:rPr>
        <w:t xml:space="preserve">The Company applies fair value accounting to all of its financial instruments in accordance with the 1940 Act and ASC Topic 820 -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 and Disclosures</w:t>
      </w:r>
      <w:r>
        <w:rPr>
          <w:rFonts w:ascii="Arial" w:cs="Arial" w:eastAsia="Arial" w:hAnsi="Arial"/>
          <w:sz w:val="17"/>
          <w:szCs w:val="17"/>
          <w:color w:val="auto"/>
        </w:rPr>
        <w:t>. ASC 820 defines fair value, establishes a framework used to measure fair value and requires disclosures for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71" w:lineRule="exact"/>
        <w:rPr>
          <w:sz w:val="20"/>
          <w:szCs w:val="20"/>
          <w:color w:val="auto"/>
        </w:rPr>
      </w:pPr>
    </w:p>
    <w:p>
      <w:pPr>
        <w:ind w:right="160" w:firstLine="881"/>
        <w:spacing w:after="0" w:line="259" w:lineRule="auto"/>
        <w:rPr>
          <w:sz w:val="20"/>
          <w:szCs w:val="20"/>
          <w:color w:val="auto"/>
        </w:rPr>
      </w:pPr>
      <w:r>
        <w:rPr>
          <w:rFonts w:ascii="Arial" w:cs="Arial" w:eastAsia="Arial" w:hAnsi="Arial"/>
          <w:sz w:val="18"/>
          <w:szCs w:val="18"/>
          <w:color w:val="auto"/>
        </w:rPr>
        <w:t>In determining fair value, our Board of Directors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87"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83" w:lineRule="exact"/>
        <w:rPr>
          <w:sz w:val="20"/>
          <w:szCs w:val="20"/>
          <w:color w:val="auto"/>
        </w:rPr>
      </w:pPr>
    </w:p>
    <w:p>
      <w:pPr>
        <w:ind w:left="880" w:right="360"/>
        <w:spacing w:after="0" w:line="314" w:lineRule="auto"/>
        <w:rPr>
          <w:sz w:val="20"/>
          <w:szCs w:val="20"/>
          <w:color w:val="auto"/>
        </w:rPr>
      </w:pPr>
      <w:r>
        <w:rPr>
          <w:rFonts w:ascii="Arial" w:cs="Arial" w:eastAsia="Arial" w:hAnsi="Arial"/>
          <w:sz w:val="16"/>
          <w:szCs w:val="16"/>
          <w:b w:val="1"/>
          <w:bCs w:val="1"/>
          <w:color w:val="auto"/>
        </w:rPr>
        <w:t xml:space="preserve">Level 1 </w:t>
      </w:r>
      <w:r>
        <w:rPr>
          <w:rFonts w:ascii="Arial" w:cs="Arial" w:eastAsia="Arial" w:hAnsi="Arial"/>
          <w:sz w:val="16"/>
          <w:szCs w:val="16"/>
          <w:color w:val="auto"/>
        </w:rPr>
        <w:t>– Valuations based on unadjusted quoted prices in active markets for identical assets or liabilities that the Company has the ability to</w:t>
      </w:r>
      <w:r>
        <w:rPr>
          <w:rFonts w:ascii="Arial" w:cs="Arial" w:eastAsia="Arial" w:hAnsi="Arial"/>
          <w:sz w:val="16"/>
          <w:szCs w:val="16"/>
          <w:b w:val="1"/>
          <w:bCs w:val="1"/>
          <w:color w:val="auto"/>
        </w:rPr>
        <w:t xml:space="preserve"> </w:t>
      </w:r>
      <w:r>
        <w:rPr>
          <w:rFonts w:ascii="Arial" w:cs="Arial" w:eastAsia="Arial" w:hAnsi="Arial"/>
          <w:sz w:val="16"/>
          <w:szCs w:val="16"/>
          <w:color w:val="auto"/>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142" w:lineRule="exact"/>
        <w:rPr>
          <w:sz w:val="20"/>
          <w:szCs w:val="20"/>
          <w:color w:val="auto"/>
        </w:rPr>
      </w:pPr>
    </w:p>
    <w:p>
      <w:pPr>
        <w:ind w:left="880" w:right="36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based on quoted prices in markets that are not active or for which all significant inputs are observable,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inputs that are unobservable and significant to the overall fair value measurement.</w:t>
      </w:r>
    </w:p>
    <w:p>
      <w:pPr>
        <w:spacing w:after="0" w:line="229"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48" w:name="page49"/>
    <w:bookmarkEnd w:id="48"/>
    <w:p>
      <w:pPr>
        <w:ind w:right="20" w:firstLine="881"/>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ind w:right="160" w:firstLine="881"/>
        <w:spacing w:after="0" w:line="259" w:lineRule="auto"/>
        <w:rPr>
          <w:sz w:val="20"/>
          <w:szCs w:val="20"/>
          <w:color w:val="auto"/>
        </w:rPr>
      </w:pPr>
      <w:r>
        <w:rPr>
          <w:rFonts w:ascii="Arial" w:cs="Arial" w:eastAsia="Arial" w:hAnsi="Arial"/>
          <w:sz w:val="18"/>
          <w:szCs w:val="18"/>
          <w:color w:val="auto"/>
        </w:rPr>
        <w:t>As a practical expedient, the Company uses NAV as the fair value for CSLLF. CSLLF records its underlying investments at fair value on a daily basis utilizing pricing information from third-party sources. In the event pricing is not available or an investment is considered illiquid, management may perform model-based analytical valuations in instances where an investment is considered illiquid or for which pricing is not available from third-party 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ind w:right="40" w:firstLine="881"/>
        <w:spacing w:after="0" w:line="270"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78"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ind w:right="20" w:firstLine="881"/>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ind w:right="80" w:firstLine="881"/>
        <w:spacing w:after="0" w:line="312" w:lineRule="auto"/>
        <w:rPr>
          <w:sz w:val="20"/>
          <w:szCs w:val="20"/>
          <w:color w:val="auto"/>
        </w:rPr>
      </w:pPr>
      <w:r>
        <w:rPr>
          <w:rFonts w:ascii="Arial" w:cs="Arial" w:eastAsia="Arial" w:hAnsi="Arial"/>
          <w:sz w:val="16"/>
          <w:szCs w:val="16"/>
          <w:color w:val="auto"/>
        </w:rPr>
        <w:t>The asset approach values an investment based on the greater of the enterprise value or the underlying collateral securing the investment. See discussion of determining enterprise value above. This approach is used when the debt is not performing in accordance with its contractual terms or when the Company has reason to believe that it will not collect all principal and interest in accordance with the contractual terms of the debt agreement.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ind w:right="60" w:firstLine="881"/>
        <w:spacing w:after="0" w:line="302" w:lineRule="auto"/>
        <w:rPr>
          <w:sz w:val="20"/>
          <w:szCs w:val="20"/>
          <w:color w:val="auto"/>
        </w:rPr>
      </w:pPr>
      <w:r>
        <w:rPr>
          <w:rFonts w:ascii="Arial" w:cs="Arial" w:eastAsia="Arial" w:hAnsi="Arial"/>
          <w:sz w:val="16"/>
          <w:szCs w:val="16"/>
          <w:i w:val="1"/>
          <w:iCs w:val="1"/>
          <w:color w:val="auto"/>
        </w:rPr>
        <w:t xml:space="preserve">Interest income and paid-in-kind interest income: </w:t>
      </w:r>
      <w:r>
        <w:rPr>
          <w:rFonts w:ascii="Arial" w:cs="Arial" w:eastAsia="Arial" w:hAnsi="Arial"/>
          <w:sz w:val="16"/>
          <w:szCs w:val="16"/>
          <w:color w:val="auto"/>
        </w:rPr>
        <w:t>Interest income is recorded on the accrual basis to the extent that such amounts are expected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collected. The Company has loans in the portfolio that contain a payment-in-kind (“PIK”)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54" w:lineRule="exact"/>
        <w:rPr>
          <w:sz w:val="20"/>
          <w:szCs w:val="20"/>
          <w:color w:val="auto"/>
        </w:rPr>
      </w:pPr>
    </w:p>
    <w:p>
      <w:pPr>
        <w:ind w:right="120" w:firstLine="881"/>
        <w:spacing w:after="0" w:line="271" w:lineRule="auto"/>
        <w:rPr>
          <w:sz w:val="20"/>
          <w:szCs w:val="20"/>
          <w:color w:val="auto"/>
        </w:rPr>
      </w:pPr>
      <w:r>
        <w:rPr>
          <w:rFonts w:ascii="Arial" w:cs="Arial" w:eastAsia="Arial" w:hAnsi="Arial"/>
          <w:sz w:val="17"/>
          <w:szCs w:val="17"/>
          <w:i w:val="1"/>
          <w:iCs w:val="1"/>
          <w:color w:val="auto"/>
        </w:rPr>
        <w:t xml:space="preserve">Non-accrual income: </w:t>
      </w:r>
      <w:r>
        <w:rPr>
          <w:rFonts w:ascii="Arial" w:cs="Arial" w:eastAsia="Arial" w:hAnsi="Arial"/>
          <w:sz w:val="17"/>
          <w:szCs w:val="17"/>
          <w:color w:val="auto"/>
        </w:rPr>
        <w:t>Generally, when interest and/or principal payments on a loan become 90 days or more past due, or if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Dividend income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reversed in the event that a previously declared dividend is no longer expected to be paid by the portfolio company. The Company holds preferred 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collection of PIK dividends are unlikely to be collected. If management determines that a decline in fair value is temporary in nature and the PIK dividends are more likely than not to be collected, management may elect to continue accruing PIK dividends.</w:t>
      </w:r>
    </w:p>
    <w:p>
      <w:pPr>
        <w:spacing w:after="0" w:line="178" w:lineRule="exact"/>
        <w:rPr>
          <w:sz w:val="20"/>
          <w:szCs w:val="20"/>
          <w:color w:val="auto"/>
        </w:rPr>
      </w:pPr>
    </w:p>
    <w:p>
      <w:pPr>
        <w:ind w:right="40" w:firstLine="881"/>
        <w:spacing w:after="0" w:line="308" w:lineRule="auto"/>
        <w:rPr>
          <w:sz w:val="20"/>
          <w:szCs w:val="20"/>
          <w:color w:val="auto"/>
        </w:rPr>
      </w:pPr>
      <w:r>
        <w:rPr>
          <w:rFonts w:ascii="Arial" w:cs="Arial" w:eastAsia="Arial" w:hAnsi="Arial"/>
          <w:sz w:val="17"/>
          <w:szCs w:val="17"/>
          <w:i w:val="1"/>
          <w:iCs w:val="1"/>
          <w:color w:val="auto"/>
        </w:rPr>
        <w:t xml:space="preserve">Original issue discount/premiums: </w:t>
      </w:r>
      <w:r>
        <w:rPr>
          <w:rFonts w:ascii="Arial" w:cs="Arial" w:eastAsia="Arial" w:hAnsi="Arial"/>
          <w:sz w:val="17"/>
          <w:szCs w:val="17"/>
          <w:color w:val="auto"/>
        </w:rPr>
        <w:t>Discounts/premiums received to par on loans purchased are capitalized and accreted or amortized into income</w:t>
      </w:r>
      <w:r>
        <w:rPr>
          <w:rFonts w:ascii="Arial" w:cs="Arial" w:eastAsia="Arial" w:hAnsi="Arial"/>
          <w:sz w:val="17"/>
          <w:szCs w:val="17"/>
          <w:i w:val="1"/>
          <w:iCs w:val="1"/>
          <w:color w:val="auto"/>
        </w:rPr>
        <w:t xml:space="preserve"> </w:t>
      </w:r>
      <w:r>
        <w:rPr>
          <w:rFonts w:ascii="Arial" w:cs="Arial" w:eastAsia="Arial" w:hAnsi="Arial"/>
          <w:sz w:val="17"/>
          <w:szCs w:val="17"/>
          <w:color w:val="auto"/>
        </w:rPr>
        <w:t>over the life of the loan. Any remaining discount/premium is accreted or amortized into income upon prepayment of the loan.</w:t>
      </w:r>
    </w:p>
    <w:p>
      <w:pPr>
        <w:spacing w:after="0" w:line="147" w:lineRule="exact"/>
        <w:rPr>
          <w:sz w:val="20"/>
          <w:szCs w:val="20"/>
          <w:color w:val="auto"/>
        </w:rPr>
      </w:pPr>
    </w:p>
    <w:p>
      <w:pPr>
        <w:ind w:right="240" w:firstLine="881"/>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amendment, consent, closing and/or commitment fees associated with investments in portfolio companies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as income when the investment transaction closes. Prepayment penalties received by the Company for debt instruments repaid prior to maturity date are recorded as income upon receipt.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40" w:firstLine="881"/>
        <w:spacing w:after="0" w:line="257" w:lineRule="auto"/>
        <w:rPr>
          <w:sz w:val="20"/>
          <w:szCs w:val="20"/>
          <w:color w:val="auto"/>
        </w:rPr>
      </w:pPr>
      <w:r>
        <w:rPr>
          <w:rFonts w:ascii="Arial" w:cs="Arial" w:eastAsia="Arial" w:hAnsi="Arial"/>
          <w:sz w:val="18"/>
          <w:szCs w:val="18"/>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K-1s in their respective tax or information returns. The Legacy Funds are disregarded entities for tax purposes prior to and post the Formation Transactions.</w:t>
      </w:r>
    </w:p>
    <w:p>
      <w:pPr>
        <w:spacing w:after="0" w:line="188" w:lineRule="exact"/>
        <w:rPr>
          <w:sz w:val="20"/>
          <w:szCs w:val="20"/>
          <w:color w:val="auto"/>
        </w:rPr>
      </w:pPr>
    </w:p>
    <w:p>
      <w:pPr>
        <w:ind w:right="20" w:firstLine="881"/>
        <w:spacing w:after="0" w:line="286" w:lineRule="auto"/>
        <w:rPr>
          <w:sz w:val="20"/>
          <w:szCs w:val="20"/>
          <w:color w:val="auto"/>
        </w:rPr>
      </w:pPr>
      <w:r>
        <w:rPr>
          <w:rFonts w:ascii="Arial" w:cs="Arial" w:eastAsia="Arial" w:hAnsi="Arial"/>
          <w:sz w:val="17"/>
          <w:szCs w:val="17"/>
          <w:color w:val="auto"/>
        </w:rPr>
        <w:t>The Company has elected to be treated for U.S. federal income tax purposes, and intends to comply with the requirement to qualify annually thereafter, as a RIC under Subchapter M of the Code and, among other things, intends to make the requisite distributions to its stockholders which will relieve the Company from U.S. federal income taxes. Therefore, no provision has been recorded for federal income taxes.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50" w:name="page51"/>
    <w:bookmarkEnd w:id="50"/>
    <w:p>
      <w:pPr>
        <w:ind w:right="60" w:firstLine="881"/>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120" w:firstLine="881"/>
        <w:spacing w:after="0" w:line="279" w:lineRule="auto"/>
        <w:rPr>
          <w:sz w:val="20"/>
          <w:szCs w:val="20"/>
          <w:color w:val="auto"/>
        </w:rPr>
      </w:pPr>
      <w:r>
        <w:rPr>
          <w:rFonts w:ascii="Arial" w:cs="Arial" w:eastAsia="Arial" w:hAnsi="Arial"/>
          <w:sz w:val="17"/>
          <w:szCs w:val="17"/>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71"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right="80" w:firstLine="881"/>
        <w:spacing w:after="0" w:line="255" w:lineRule="auto"/>
        <w:rPr>
          <w:sz w:val="20"/>
          <w:szCs w:val="20"/>
          <w:color w:val="auto"/>
        </w:rPr>
      </w:pPr>
      <w:r>
        <w:rPr>
          <w:rFonts w:ascii="Arial" w:cs="Arial" w:eastAsia="Arial" w:hAnsi="Arial"/>
          <w:sz w:val="18"/>
          <w:szCs w:val="18"/>
          <w:color w:val="auto"/>
        </w:rPr>
        <w:t xml:space="preserve">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March 31, 2015 and December 31, 2014, there were no uncertain tax positions.</w:t>
      </w:r>
    </w:p>
    <w:p>
      <w:pPr>
        <w:spacing w:after="0" w:line="193" w:lineRule="exact"/>
        <w:rPr>
          <w:sz w:val="20"/>
          <w:szCs w:val="20"/>
          <w:color w:val="auto"/>
        </w:rPr>
      </w:pPr>
    </w:p>
    <w:p>
      <w:pPr>
        <w:ind w:right="80" w:firstLine="881"/>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have a negative impact the Company’s net assets.</w:t>
      </w:r>
    </w:p>
    <w:p>
      <w:pPr>
        <w:spacing w:after="0" w:line="154"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ind w:right="180" w:firstLine="881"/>
        <w:spacing w:after="0" w:line="264" w:lineRule="auto"/>
        <w:rPr>
          <w:sz w:val="20"/>
          <w:szCs w:val="20"/>
          <w:color w:val="auto"/>
        </w:rPr>
      </w:pPr>
      <w:r>
        <w:rPr>
          <w:rFonts w:ascii="Arial" w:cs="Arial" w:eastAsia="Arial" w:hAnsi="Arial"/>
          <w:sz w:val="18"/>
          <w:szCs w:val="18"/>
          <w:color w:val="auto"/>
        </w:rPr>
        <w:t>The Company has concluded that it was not necessary to record a liability for any such tax positions as of March 31, 2015 and December 31, 2014.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81" w:lineRule="exact"/>
        <w:rPr>
          <w:sz w:val="20"/>
          <w:szCs w:val="20"/>
          <w:color w:val="auto"/>
        </w:rPr>
      </w:pPr>
    </w:p>
    <w:p>
      <w:pPr>
        <w:ind w:right="160" w:firstLine="881"/>
        <w:spacing w:after="0" w:line="259" w:lineRule="auto"/>
        <w:rPr>
          <w:sz w:val="20"/>
          <w:szCs w:val="20"/>
          <w:color w:val="auto"/>
        </w:rPr>
      </w:pPr>
      <w:r>
        <w:rPr>
          <w:rFonts w:ascii="Arial" w:cs="Arial" w:eastAsia="Arial" w:hAnsi="Arial"/>
          <w:sz w:val="18"/>
          <w:szCs w:val="18"/>
          <w:color w:val="auto"/>
        </w:rPr>
        <w:t>The Company’s activities from commencement of operations remain subject to examination by U.S. federal, state, and local tax authorities. No interest expense or penalties have been assessed for the three month periods ended March 31, 2015 and March 31, 2014. If the Company were required to recognize interest and penalties, if any, related to unrecognized tax benefits this would be recognized as income tax expense in the consolidated statement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of March 31, 2015, our portfolio consisted of investments in 54 portfolio companies with a fair value of approximately $518.9 million.</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51" w:name="page52"/>
    <w:bookmarkEnd w:id="51"/>
    <w:p>
      <w:pPr>
        <w:ind w:right="40" w:firstLine="881"/>
        <w:spacing w:after="0" w:line="279" w:lineRule="auto"/>
        <w:rPr>
          <w:sz w:val="20"/>
          <w:szCs w:val="20"/>
          <w:color w:val="auto"/>
        </w:rPr>
      </w:pPr>
      <w:r>
        <w:rPr>
          <w:rFonts w:ascii="Arial" w:cs="Arial" w:eastAsia="Arial" w:hAnsi="Arial"/>
          <w:sz w:val="17"/>
          <w:szCs w:val="17"/>
          <w:color w:val="auto"/>
        </w:rPr>
        <w:t>During the three months ended March 31, 2015, we made approximately $67.2 million of investments in new or existing portfolio companies and had approximately $34.6 million in exits and repayments resulting in net investments of approximately $32.6 million for the period. During the three months ended March 31, 2014, we made approximately $41.1 million of investments in new or existing portfolio companies and had approximately $10.7 million in exits and repayments resulting in net investments of approximately $30.4 million for the period.</w:t>
      </w:r>
    </w:p>
    <w:p>
      <w:pPr>
        <w:spacing w:after="0" w:line="171"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As of March 31, 2015, our income-bearing investment portfolio, which represented 80.0% of our total portfolio, had a weighted average yield of approximately 12.6%. As of March 31, 2015, 76.7% of our income-bearing portfolio was bearing a fixed rate of interest. As of December 31, 2014, our income-bearing investment portfolio, which represented 76.7% of our total portfolio, had a weighted average yield of approximately 12.5%. As of December 31, 2014, 79.0% of our income-bearing portfolio was bearing a fixed rate of interest.</w:t>
      </w:r>
    </w:p>
    <w:p>
      <w:pPr>
        <w:spacing w:after="0" w:line="187"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and cash and cash equivalents as of March 31, 2015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0"/>
              </w:rPr>
              <w:t>Amortized Cost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Investments at</w:t>
            </w:r>
          </w:p>
        </w:tc>
        <w:tc>
          <w:tcPr>
            <w:tcW w:w="192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Investments at</w:t>
            </w:r>
          </w:p>
        </w:tc>
        <w:tc>
          <w:tcPr>
            <w:tcW w:w="18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37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Amortized Cost</w:t>
            </w:r>
          </w:p>
        </w:tc>
        <w:tc>
          <w:tcPr>
            <w:tcW w:w="20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181,167</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181,867</w:t>
            </w:r>
          </w:p>
        </w:tc>
        <w:tc>
          <w:tcPr>
            <w:tcW w:w="2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Subordinated Debt</w:t>
            </w:r>
          </w:p>
        </w:tc>
        <w:tc>
          <w:tcPr>
            <w:tcW w:w="18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239,109</w:t>
            </w:r>
          </w:p>
        </w:tc>
        <w:tc>
          <w:tcPr>
            <w:tcW w:w="1920" w:type="dxa"/>
            <w:vAlign w:val="bottom"/>
            <w:gridSpan w:val="2"/>
          </w:tcPr>
          <w:p>
            <w:pPr>
              <w:jc w:val="right"/>
              <w:ind w:right="130"/>
              <w:spacing w:after="0"/>
              <w:rPr>
                <w:sz w:val="20"/>
                <w:szCs w:val="20"/>
                <w:color w:val="auto"/>
              </w:rPr>
            </w:pPr>
            <w:r>
              <w:rPr>
                <w:rFonts w:ascii="Arial" w:cs="Arial" w:eastAsia="Arial" w:hAnsi="Arial"/>
                <w:sz w:val="18"/>
                <w:szCs w:val="18"/>
                <w:color w:val="auto"/>
              </w:rPr>
              <w:t>46.3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233,534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53,759</w:t>
            </w:r>
          </w:p>
        </w:tc>
        <w:tc>
          <w:tcPr>
            <w:tcW w:w="19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93,526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Capitala Senior Liquid Loan Fund I, LLC</w:t>
            </w:r>
          </w:p>
        </w:tc>
        <w:tc>
          <w:tcPr>
            <w:tcW w:w="18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920" w:type="dxa"/>
            <w:vAlign w:val="bottom"/>
            <w:gridSpan w:val="2"/>
          </w:tcPr>
          <w:p>
            <w:pPr>
              <w:jc w:val="right"/>
              <w:ind w:right="13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32,007</w:t>
            </w:r>
          </w:p>
        </w:tc>
        <w:tc>
          <w:tcPr>
            <w:tcW w:w="19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32,007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9"/>
                <w:szCs w:val="19"/>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516,042</w:t>
            </w:r>
          </w:p>
        </w:tc>
        <w:tc>
          <w:tcPr>
            <w:tcW w:w="200" w:type="dxa"/>
            <w:vAlign w:val="bottom"/>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550,934</w:t>
            </w:r>
          </w:p>
        </w:tc>
        <w:tc>
          <w:tcPr>
            <w:tcW w:w="220" w:type="dxa"/>
            <w:vAlign w:val="bottom"/>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3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881"/>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and cash and cash equivalents as of December 31, 2014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1"/>
              </w:rPr>
              <w:t>Amortized Cost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8"/>
              </w:rPr>
              <w:t>Investments at</w:t>
            </w:r>
          </w:p>
        </w:tc>
        <w:tc>
          <w:tcPr>
            <w:tcW w:w="202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Investments at</w:t>
            </w:r>
          </w:p>
        </w:tc>
        <w:tc>
          <w:tcPr>
            <w:tcW w:w="19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3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Amortized Cost</w:t>
            </w:r>
          </w:p>
        </w:tc>
        <w:tc>
          <w:tcPr>
            <w:tcW w:w="22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146,399</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146,314</w:t>
            </w: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Subordinated Debt</w:t>
            </w:r>
          </w:p>
        </w:tc>
        <w:tc>
          <w:tcPr>
            <w:tcW w:w="20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231,901</w:t>
            </w:r>
          </w:p>
        </w:tc>
        <w:tc>
          <w:tcPr>
            <w:tcW w:w="2020" w:type="dxa"/>
            <w:vAlign w:val="bottom"/>
            <w:gridSpan w:val="2"/>
          </w:tcPr>
          <w:p>
            <w:pPr>
              <w:jc w:val="right"/>
              <w:ind w:right="110"/>
              <w:spacing w:after="0"/>
              <w:rPr>
                <w:sz w:val="20"/>
                <w:szCs w:val="20"/>
                <w:color w:val="auto"/>
              </w:rPr>
            </w:pPr>
            <w:r>
              <w:rPr>
                <w:rFonts w:ascii="Arial" w:cs="Arial" w:eastAsia="Arial" w:hAnsi="Arial"/>
                <w:sz w:val="18"/>
                <w:szCs w:val="18"/>
                <w:color w:val="auto"/>
              </w:rPr>
              <w:t>46.7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222,300</w:t>
            </w:r>
          </w:p>
        </w:tc>
        <w:tc>
          <w:tcPr>
            <w:tcW w:w="1980" w:type="dxa"/>
            <w:vAlign w:val="bottom"/>
            <w:gridSpan w:val="2"/>
          </w:tcPr>
          <w:p>
            <w:pPr>
              <w:jc w:val="right"/>
              <w:ind w:right="70"/>
              <w:spacing w:after="0"/>
              <w:rPr>
                <w:sz w:val="20"/>
                <w:szCs w:val="20"/>
                <w:color w:val="auto"/>
              </w:rPr>
            </w:pPr>
            <w:r>
              <w:rPr>
                <w:rFonts w:ascii="Arial" w:cs="Arial" w:eastAsia="Arial" w:hAnsi="Arial"/>
                <w:sz w:val="18"/>
                <w:szCs w:val="18"/>
                <w:color w:val="auto"/>
              </w:rPr>
              <w:t>41.5</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62,855</w:t>
            </w:r>
          </w:p>
        </w:tc>
        <w:tc>
          <w:tcPr>
            <w:tcW w:w="20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111,723</w:t>
            </w:r>
          </w:p>
        </w:tc>
        <w:tc>
          <w:tcPr>
            <w:tcW w:w="1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20.9</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55,107</w:t>
            </w:r>
          </w:p>
        </w:tc>
        <w:tc>
          <w:tcPr>
            <w:tcW w:w="2020" w:type="dxa"/>
            <w:vAlign w:val="bottom"/>
            <w:gridSpan w:val="2"/>
          </w:tcPr>
          <w:p>
            <w:pPr>
              <w:jc w:val="right"/>
              <w:ind w:right="110"/>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55,107</w:t>
            </w:r>
          </w:p>
        </w:tc>
        <w:tc>
          <w:tcPr>
            <w:tcW w:w="1980" w:type="dxa"/>
            <w:vAlign w:val="bottom"/>
            <w:gridSpan w:val="2"/>
          </w:tcPr>
          <w:p>
            <w:pPr>
              <w:jc w:val="right"/>
              <w:ind w:right="70"/>
              <w:spacing w:after="0"/>
              <w:rPr>
                <w:sz w:val="20"/>
                <w:szCs w:val="20"/>
                <w:color w:val="auto"/>
              </w:rPr>
            </w:pPr>
            <w:r>
              <w:rPr>
                <w:rFonts w:ascii="Arial" w:cs="Arial" w:eastAsia="Arial" w:hAnsi="Arial"/>
                <w:sz w:val="18"/>
                <w:szCs w:val="18"/>
                <w:color w:val="auto"/>
              </w:rPr>
              <w:t>10.3</w:t>
            </w:r>
          </w:p>
        </w:tc>
      </w:tr>
      <w:tr>
        <w:trPr>
          <w:trHeight w:val="223"/>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3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68" w:right="2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color w:val="auto"/>
        </w:rPr>
        <w:t>The following table shows the portfolio composition by industry grouping at fair value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March 31, 2015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2014</w:t>
            </w:r>
          </w:p>
        </w:tc>
      </w:tr>
      <w:tr>
        <w:trPr>
          <w:trHeight w:val="191"/>
        </w:trPr>
        <w:tc>
          <w:tcPr>
            <w:tcW w:w="4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6"/>
                <w:szCs w:val="16"/>
                <w:color w:val="auto"/>
              </w:rPr>
            </w:pPr>
          </w:p>
        </w:tc>
      </w:tr>
      <w:tr>
        <w:trPr>
          <w:trHeight w:val="216"/>
        </w:trPr>
        <w:tc>
          <w:tcPr>
            <w:tcW w:w="4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Investments</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2"/>
              </w:rPr>
              <w:t>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3"/>
              </w:rPr>
              <w:t>of</w:t>
            </w:r>
          </w:p>
        </w:tc>
      </w:tr>
      <w:tr>
        <w:trPr>
          <w:trHeight w:val="216"/>
        </w:trPr>
        <w:tc>
          <w:tcPr>
            <w:tcW w:w="4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452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160" w:type="dxa"/>
            <w:vAlign w:val="bottom"/>
            <w:tcBorders>
              <w:bottom w:val="single" w:sz="8" w:color="CCEEFF"/>
            </w:tcBorders>
          </w:tcPr>
          <w:p>
            <w:pPr>
              <w:spacing w:after="0"/>
              <w:rPr>
                <w:sz w:val="20"/>
                <w:szCs w:val="20"/>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Oil &amp; Gas Services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36,291</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34,088</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Transportation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27,453</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27,094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5.6</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Sales &amp; Marketing Services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23,689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23,632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Financial Services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23,300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8,300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1.7</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Farming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20,001</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IT Government Contracting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4.2</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Personal Product Manufacturer</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19,392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16,241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Food Product Manufacturer</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19,061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19,126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Printing Services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17,122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18,324</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Footwear Retail</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16,698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15,687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3.3</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Bakery Supplies Distributor</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16,244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16,297</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Automobile Part Manufacturer</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16,034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15,846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3.3</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Personal Digital Imaging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Home Décor Manufacturer</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14,611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14,611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Oil &amp; Gas Engineering and Consulting Services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14,547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14,547</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Medical Device Distributor</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14,397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14,349</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Industrial Equipment Rental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13,302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13,212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Retail Display &amp; Security Services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12,900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12,958</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2.7</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Construction Services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Healthcare Management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12,388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12,420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2.6</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Computer Supply Retail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11,984</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Textile Equipment Manufacturer</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11,314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10,577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2.2</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Energy Services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10,573</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Restaurant Chain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10,300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9,738</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Western Wear Retail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10,920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Investment Fund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Dental Practice Management</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8,038</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7,826</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Data Processing &amp; Digital Marketing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8,020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8,005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1.7</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Conglomerate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7,211</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7,179</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Fuel Transportation Services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6,238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4,783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Specialty Clothing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5,723</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Produce Distribution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5,311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5,711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Scrap Metal Recycler</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4,927</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Building Products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4,887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4,895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Replacement Window Manufacturer</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4,868</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4,857</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Online Merchandise Retailer</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4,812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4,804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Advertising &amp; Marketing Services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4,219</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Petroleum Equipment Supplier</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4,213</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3,850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0.8</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Automotive Chemicals &amp; Lubricants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Industrial Manufacturing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3,528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3,510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0.7</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Education Services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Professional Employer Organization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2,700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0.6</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QSR Franchisor</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2,506</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Online Travel Sales &amp; Marketing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1,750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1,750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0.4</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Specialty Defense Contractor</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1,612</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QSR Franchisee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900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17,465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3.6</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Home Product Manufacturer</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In-Home Healthcare Services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689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624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IT Hosting Services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Wireless Communication Retailer</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2.5</w:t>
            </w:r>
          </w:p>
        </w:tc>
      </w:tr>
      <w:tr>
        <w:trPr>
          <w:trHeight w:val="223"/>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480,337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45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68" w:right="239" w:bottom="1440" w:gutter="0" w:footer="0" w:header="0"/>
        </w:sectPr>
      </w:pPr>
    </w:p>
    <w:bookmarkStart w:id="53" w:name="page54"/>
    <w:bookmarkEnd w:id="53"/>
    <w:p>
      <w:pPr>
        <w:ind w:right="400" w:firstLine="881"/>
        <w:spacing w:after="0" w:line="308" w:lineRule="auto"/>
        <w:rPr>
          <w:sz w:val="20"/>
          <w:szCs w:val="20"/>
          <w:color w:val="auto"/>
        </w:rPr>
      </w:pPr>
      <w:r>
        <w:rPr>
          <w:rFonts w:ascii="Arial" w:cs="Arial" w:eastAsia="Arial" w:hAnsi="Arial"/>
          <w:sz w:val="17"/>
          <w:szCs w:val="17"/>
          <w:color w:val="auto"/>
        </w:rPr>
        <w:t>As of March 31, 2015, we had five investments within the energy sector, representing approximately 11.8% of the total investment portfolio, based on fair values. The March 31, 2015 fair values were approximately 87.2% of cost, compared to 89.5% at December 31, 2014.</w:t>
      </w:r>
    </w:p>
    <w:p>
      <w:pPr>
        <w:spacing w:after="0" w:line="147" w:lineRule="exact"/>
        <w:rPr>
          <w:sz w:val="20"/>
          <w:szCs w:val="20"/>
          <w:color w:val="auto"/>
        </w:rPr>
      </w:pPr>
    </w:p>
    <w:p>
      <w:pPr>
        <w:ind w:right="340" w:firstLine="881"/>
        <w:spacing w:after="0" w:line="277" w:lineRule="auto"/>
        <w:rPr>
          <w:sz w:val="20"/>
          <w:szCs w:val="20"/>
          <w:color w:val="auto"/>
        </w:rPr>
      </w:pPr>
      <w:r>
        <w:rPr>
          <w:rFonts w:ascii="Arial" w:cs="Arial" w:eastAsia="Arial" w:hAnsi="Arial"/>
          <w:sz w:val="18"/>
          <w:szCs w:val="18"/>
          <w:color w:val="auto"/>
        </w:rPr>
        <w:t>At March 31, 2015, all energy related investments were current on interest payments. Management continues to closely monitor each of these investments, maintaining frequent dialogue with company management and, where appropriate, sponsors.</w:t>
      </w:r>
    </w:p>
    <w:p>
      <w:pPr>
        <w:spacing w:after="0" w:line="170" w:lineRule="exact"/>
        <w:rPr>
          <w:sz w:val="20"/>
          <w:szCs w:val="20"/>
          <w:color w:val="auto"/>
        </w:rPr>
      </w:pPr>
    </w:p>
    <w:p>
      <w:pPr>
        <w:ind w:right="100" w:firstLine="881"/>
        <w:spacing w:after="0" w:line="302" w:lineRule="auto"/>
        <w:rPr>
          <w:sz w:val="20"/>
          <w:szCs w:val="20"/>
          <w:color w:val="auto"/>
        </w:rPr>
      </w:pPr>
      <w:r>
        <w:rPr>
          <w:rFonts w:ascii="Arial" w:cs="Arial" w:eastAsia="Arial" w:hAnsi="Arial"/>
          <w:sz w:val="16"/>
          <w:szCs w:val="16"/>
          <w:color w:val="auto"/>
        </w:rPr>
        <w:t>With the exception of an $8.3 million investment in an internationally headquartered company, all investments made by us as of March 31, 2015 and December 31, 2014 were made in portfolio companies located in the United States.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March 31, 2015 and December 31, 2014 (dollars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March 31, 2015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December 31, 2014</w:t>
            </w:r>
          </w:p>
        </w:tc>
      </w:tr>
      <w:tr>
        <w:trPr>
          <w:trHeight w:val="191"/>
        </w:trPr>
        <w:tc>
          <w:tcPr>
            <w:tcW w:w="55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gridSpan w:val="2"/>
          </w:tcPr>
          <w:p>
            <w:pPr>
              <w:spacing w:after="0"/>
              <w:rPr>
                <w:sz w:val="16"/>
                <w:szCs w:val="16"/>
                <w:color w:val="auto"/>
              </w:rPr>
            </w:pP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Investments</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2"/>
              </w:rPr>
              <w:t>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of</w:t>
            </w: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55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South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296,950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272,457</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Northeast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86,403</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86,411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74,536</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75,066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Midwest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52,738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38,103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518,927</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480,337</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881"/>
        <w:spacing w:after="0" w:line="277" w:lineRule="auto"/>
        <w:rPr>
          <w:sz w:val="20"/>
          <w:szCs w:val="20"/>
          <w:color w:val="auto"/>
        </w:rPr>
      </w:pPr>
      <w:r>
        <w:rPr>
          <w:rFonts w:ascii="Arial" w:cs="Arial" w:eastAsia="Arial" w:hAnsi="Arial"/>
          <w:sz w:val="18"/>
          <w:szCs w:val="18"/>
          <w:color w:val="auto"/>
        </w:rPr>
        <w:t>In addition to various risk management tools, our investment adviser also uses an investment rating system to characterize and monitor our expected level of return on each investment in our portfolio.</w:t>
      </w:r>
    </w:p>
    <w:p>
      <w:pPr>
        <w:spacing w:after="0" w:line="170" w:lineRule="exact"/>
        <w:rPr>
          <w:sz w:val="20"/>
          <w:szCs w:val="20"/>
          <w:color w:val="auto"/>
        </w:rPr>
      </w:pPr>
    </w:p>
    <w:p>
      <w:pPr>
        <w:ind w:right="160" w:firstLine="881"/>
        <w:spacing w:after="0" w:line="257" w:lineRule="auto"/>
        <w:rPr>
          <w:sz w:val="20"/>
          <w:szCs w:val="20"/>
          <w:color w:val="auto"/>
        </w:rPr>
      </w:pPr>
      <w:r>
        <w:rPr>
          <w:rFonts w:ascii="Arial" w:cs="Arial" w:eastAsia="Arial" w:hAnsi="Arial"/>
          <w:sz w:val="18"/>
          <w:szCs w:val="18"/>
          <w:color w:val="auto"/>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9580" w:type="dxa"/>
            <w:vAlign w:val="bottom"/>
          </w:tcPr>
          <w:p>
            <w:pPr>
              <w:spacing w:after="0"/>
              <w:rPr>
                <w:sz w:val="18"/>
                <w:szCs w:val="18"/>
                <w:color w:val="auto"/>
              </w:rPr>
            </w:pPr>
          </w:p>
        </w:tc>
      </w:tr>
      <w:tr>
        <w:trPr>
          <w:trHeight w:val="23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Rating</w:t>
            </w:r>
          </w:p>
        </w:tc>
        <w:tc>
          <w:tcPr>
            <w:tcW w:w="9580" w:type="dxa"/>
            <w:vAlign w:val="bottom"/>
          </w:tcPr>
          <w:p>
            <w:pPr>
              <w:spacing w:after="0"/>
              <w:rPr>
                <w:sz w:val="20"/>
                <w:szCs w:val="20"/>
                <w:color w:val="auto"/>
              </w:rPr>
            </w:pPr>
            <w:r>
              <w:rPr>
                <w:rFonts w:ascii="Arial" w:cs="Arial" w:eastAsia="Arial" w:hAnsi="Arial"/>
                <w:sz w:val="18"/>
                <w:szCs w:val="18"/>
                <w:b w:val="1"/>
                <w:bCs w:val="1"/>
                <w:color w:val="auto"/>
              </w:rPr>
              <w:t>Definition</w:t>
            </w:r>
          </w:p>
        </w:tc>
      </w:tr>
      <w:tr>
        <w:trPr>
          <w:trHeight w:val="398"/>
        </w:trPr>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9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In general, the investment may be performing above our internal expectations. Full return of principal and interest is expected.</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Capital gain is expected.</w:t>
            </w:r>
          </w:p>
        </w:tc>
      </w:tr>
      <w:tr>
        <w:trPr>
          <w:trHeight w:val="404"/>
        </w:trPr>
        <w:tc>
          <w:tcPr>
            <w:tcW w:w="1720" w:type="dxa"/>
            <w:vAlign w:val="bottom"/>
          </w:tcPr>
          <w:p>
            <w:pPr>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2"/>
              </w:rPr>
              <w:t>In general, the investment may be performing within our internal expectations, and potential risks to the applicable investment are</w:t>
            </w: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1"/>
              </w:rPr>
              <w:t>considered to be neutral or favorable compared to any potential risks at the time of the original investment. All new investments are</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initially given this rating.</w:t>
            </w:r>
          </w:p>
        </w:tc>
      </w:tr>
      <w:tr>
        <w:trPr>
          <w:trHeight w:val="404"/>
        </w:trPr>
        <w:tc>
          <w:tcPr>
            <w:tcW w:w="1720" w:type="dxa"/>
            <w:vAlign w:val="bottom"/>
          </w:tcPr>
          <w:p>
            <w:pPr>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5"/>
              </w:rPr>
              <w:t>In general, the investment may be performing below our internal expectations and therefore, investments in this category may</w:t>
            </w: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1"/>
              </w:rPr>
              <w:t>require closer internal monitoring; however, the valuation team believes that no loss of investment return (interest and/or dividends)</w:t>
            </w: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4"/>
              </w:rPr>
              <w:t>or principal is expected. The investment also may be out of compliance with certain senior or senior subordinated debt financial</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covenants.</w:t>
            </w:r>
          </w:p>
        </w:tc>
      </w:tr>
      <w:tr>
        <w:trPr>
          <w:trHeight w:val="404"/>
        </w:trPr>
        <w:tc>
          <w:tcPr>
            <w:tcW w:w="1720" w:type="dxa"/>
            <w:vAlign w:val="bottom"/>
          </w:tcPr>
          <w:p>
            <w:pPr>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2"/>
              </w:rPr>
              <w:t>In general, the investment may be performing below internal expectations and quantitative or qualitative risks may have increased</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substantially since the original investment. Loss of some or all principal is expected.</w:t>
            </w:r>
          </w:p>
        </w:tc>
      </w:tr>
      <w:tr>
        <w:trPr>
          <w:trHeight w:val="404"/>
        </w:trPr>
        <w:tc>
          <w:tcPr>
            <w:tcW w:w="1720" w:type="dxa"/>
            <w:vAlign w:val="bottom"/>
          </w:tcPr>
          <w:p>
            <w:pPr>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7"/>
              </w:rPr>
              <w:t>In general, the investment may be performing substantially below our internal expectations and a number of quantitative or</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9"/>
              </w:rPr>
              <w:t>qualitative risks may have increased substantially since the original investment. Loss of some or all principal is expected.</w:t>
            </w:r>
          </w:p>
        </w:tc>
      </w:tr>
    </w:tbl>
    <w:p>
      <w:pPr>
        <w:spacing w:after="0" w:line="202" w:lineRule="exact"/>
        <w:rPr>
          <w:sz w:val="20"/>
          <w:szCs w:val="20"/>
          <w:color w:val="auto"/>
        </w:rPr>
      </w:pPr>
    </w:p>
    <w:p>
      <w:pPr>
        <w:jc w:val="both"/>
        <w:ind w:right="460" w:firstLine="881"/>
        <w:spacing w:after="0" w:line="312" w:lineRule="auto"/>
        <w:rPr>
          <w:sz w:val="20"/>
          <w:szCs w:val="20"/>
          <w:color w:val="auto"/>
        </w:rPr>
      </w:pPr>
      <w:r>
        <w:rPr>
          <w:rFonts w:ascii="Arial" w:cs="Arial" w:eastAsia="Arial" w:hAnsi="Arial"/>
          <w:sz w:val="16"/>
          <w:szCs w:val="16"/>
          <w:color w:val="auto"/>
        </w:rPr>
        <w:t>Our Investment Advisor will monitor and, when appropriate, change the investment ratings assigned to each investment in our portfolio. In connection with our valuation process, our Investment Advisor will review these investment ratings on a quarterly basis, and our Board will affirm such ratings. The investment rating of a particular investment should not, however, be deemed to be a guarantee of the investment’s future performance.</w:t>
      </w:r>
    </w:p>
    <w:p>
      <w:pPr>
        <w:spacing w:after="0" w:line="147"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March 31, 2015 and December 31, 2014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As of March 31, 2015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9"/>
              </w:rPr>
              <w:t>As of December 31, 2014</w:t>
            </w:r>
          </w:p>
        </w:tc>
      </w:tr>
      <w:tr>
        <w:trPr>
          <w:trHeight w:val="191"/>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gridSpan w:val="2"/>
          </w:tcPr>
          <w:p>
            <w:pPr>
              <w:spacing w:after="0"/>
              <w:rPr>
                <w:sz w:val="16"/>
                <w:szCs w:val="16"/>
                <w:color w:val="auto"/>
              </w:rPr>
            </w:pP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Investments at</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Investments at</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Performance Rating</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Investments</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Investments</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128,308</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146,471</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324,151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62.5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271,864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64,718</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55,325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1,750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6,677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r>
      <w:tr>
        <w:trPr>
          <w:trHeight w:val="23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518,927</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480,337</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As of March 31, 2015, the Company had no investments on cash non-accrual status. As of December 31, 2014, the Company had debt investments in one portfolio company on cash non-accrual status with an amortized cost of $3.4 million and a fair value of $0.0 million representing 0.8% and 0.0% of the investment portfolio, respectively.</w:t>
      </w:r>
    </w:p>
    <w:p>
      <w:pPr>
        <w:spacing w:after="0" w:line="181"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As of March 31, 2015, the Company had debt investments in one portfolio company on PIK non-accrual status with an amortized cost of $13.1 million, and a fair value of $10.5 million, representing 2.7%, and 2.0% of the investment portfolio, respectively. As of December 31, 2014, the Company had debt investments in one portfolio company on PIK non-accrual status with an amortized cost of $13.1 million, and a fair value of $10.6 million, representing 3.0%, and 2.2% of the investment portfolio,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right"/>
        <w:ind w:right="3300"/>
        <w:spacing w:after="0"/>
        <w:rPr>
          <w:sz w:val="20"/>
          <w:szCs w:val="20"/>
          <w:color w:val="auto"/>
        </w:rPr>
      </w:pPr>
      <w:r>
        <w:rPr>
          <w:rFonts w:ascii="Arial" w:cs="Arial" w:eastAsia="Arial" w:hAnsi="Arial"/>
          <w:sz w:val="18"/>
          <w:szCs w:val="18"/>
          <w:color w:val="auto"/>
        </w:rPr>
        <w:t>Operating results for the three ended March 31, 2015 and 2014 are as follows (dollars in thousands):</w:t>
      </w:r>
    </w:p>
    <w:p>
      <w:pPr>
        <w:sectPr>
          <w:pgSz w:w="11900" w:h="16838" w:orient="portrait"/>
          <w:cols w:equalWidth="0" w:num="1">
            <w:col w:w="11420"/>
          </w:cols>
          <w:pgMar w:left="240" w:top="8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6157595"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expenses, net</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615759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realized gain from investments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decrease in unrealized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15759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Net increase in net assets resulting from operations</w:t>
      </w:r>
    </w:p>
    <w:p>
      <w:pPr>
        <w:spacing w:after="0" w:line="31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March 31, 2015</w:t>
            </w: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March 31, 2014</w:t>
            </w:r>
          </w:p>
        </w:tc>
        <w:tc>
          <w:tcPr>
            <w:tcW w:w="60" w:type="dxa"/>
            <w:vAlign w:val="bottom"/>
            <w:gridSpan w:val="2"/>
          </w:tcPr>
          <w:p>
            <w:pPr>
              <w:spacing w:after="0"/>
              <w:rPr>
                <w:sz w:val="19"/>
                <w:szCs w:val="19"/>
                <w:color w:val="auto"/>
              </w:rPr>
            </w:pPr>
          </w:p>
        </w:tc>
      </w:tr>
      <w:tr>
        <w:trPr>
          <w:trHeight w:val="209"/>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w w:val="83"/>
              </w:rPr>
              <w:t>14,041</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40" w:type="dxa"/>
            <w:vAlign w:val="bottom"/>
          </w:tcPr>
          <w:p>
            <w:pPr>
              <w:spacing w:after="0"/>
              <w:rPr>
                <w:sz w:val="20"/>
                <w:szCs w:val="20"/>
                <w:color w:val="auto"/>
              </w:rPr>
            </w:pPr>
          </w:p>
        </w:tc>
        <w:tc>
          <w:tcPr>
            <w:tcW w:w="1600" w:type="dxa"/>
            <w:vAlign w:val="bottom"/>
            <w:gridSpan w:val="2"/>
          </w:tcPr>
          <w:p>
            <w:pPr>
              <w:ind w:left="1000"/>
              <w:spacing w:after="0"/>
              <w:rPr>
                <w:sz w:val="20"/>
                <w:szCs w:val="20"/>
                <w:color w:val="auto"/>
              </w:rPr>
            </w:pPr>
            <w:r>
              <w:rPr>
                <w:rFonts w:ascii="Arial" w:cs="Arial" w:eastAsia="Arial" w:hAnsi="Arial"/>
                <w:sz w:val="18"/>
                <w:szCs w:val="18"/>
                <w:color w:val="auto"/>
              </w:rPr>
              <w:t>9,224</w:t>
            </w:r>
          </w:p>
        </w:tc>
        <w:tc>
          <w:tcPr>
            <w:tcW w:w="14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6,653</w:t>
            </w:r>
          </w:p>
        </w:tc>
        <w:tc>
          <w:tcPr>
            <w:tcW w:w="40" w:type="dxa"/>
            <w:vAlign w:val="bottom"/>
          </w:tcPr>
          <w:p>
            <w:pPr>
              <w:spacing w:after="0"/>
              <w:rPr>
                <w:sz w:val="20"/>
                <w:szCs w:val="20"/>
                <w:color w:val="auto"/>
              </w:rPr>
            </w:pPr>
          </w:p>
        </w:tc>
      </w:tr>
      <w:tr>
        <w:trPr>
          <w:trHeight w:val="195"/>
        </w:trPr>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ind w:left="1000"/>
              <w:spacing w:after="0" w:line="195" w:lineRule="exact"/>
              <w:rPr>
                <w:sz w:val="20"/>
                <w:szCs w:val="20"/>
                <w:color w:val="auto"/>
              </w:rPr>
            </w:pPr>
            <w:r>
              <w:rPr>
                <w:rFonts w:ascii="Arial" w:cs="Arial" w:eastAsia="Arial" w:hAnsi="Arial"/>
                <w:sz w:val="18"/>
                <w:szCs w:val="18"/>
                <w:color w:val="auto"/>
                <w:w w:val="84"/>
              </w:rPr>
              <w:t>4,817</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5,721</w:t>
            </w:r>
          </w:p>
        </w:tc>
        <w:tc>
          <w:tcPr>
            <w:tcW w:w="4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600" w:type="dxa"/>
            <w:vAlign w:val="bottom"/>
            <w:gridSpan w:val="2"/>
          </w:tcPr>
          <w:p>
            <w:pPr>
              <w:ind w:left="1000"/>
              <w:spacing w:after="0"/>
              <w:rPr>
                <w:sz w:val="20"/>
                <w:szCs w:val="20"/>
                <w:color w:val="auto"/>
              </w:rPr>
            </w:pPr>
            <w:r>
              <w:rPr>
                <w:rFonts w:ascii="Arial" w:cs="Arial" w:eastAsia="Arial" w:hAnsi="Arial"/>
                <w:sz w:val="18"/>
                <w:szCs w:val="18"/>
                <w:color w:val="auto"/>
              </w:rPr>
              <w:t>9,340</w:t>
            </w:r>
          </w:p>
        </w:tc>
        <w:tc>
          <w:tcPr>
            <w:tcW w:w="14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1,220</w:t>
            </w:r>
          </w:p>
        </w:tc>
        <w:tc>
          <w:tcPr>
            <w:tcW w:w="40" w:type="dxa"/>
            <w:vAlign w:val="bottom"/>
          </w:tcPr>
          <w:p>
            <w:pPr>
              <w:spacing w:after="0"/>
              <w:rPr>
                <w:sz w:val="18"/>
                <w:szCs w:val="18"/>
                <w:color w:val="auto"/>
              </w:rPr>
            </w:pPr>
          </w:p>
        </w:tc>
      </w:tr>
      <w:tr>
        <w:trPr>
          <w:trHeight w:val="244"/>
        </w:trPr>
        <w:tc>
          <w:tcPr>
            <w:tcW w:w="140" w:type="dxa"/>
            <w:vAlign w:val="bottom"/>
          </w:tcPr>
          <w:p>
            <w:pPr>
              <w:spacing w:after="0"/>
              <w:rPr>
                <w:sz w:val="21"/>
                <w:szCs w:val="21"/>
                <w:color w:val="auto"/>
              </w:rPr>
            </w:pPr>
          </w:p>
        </w:tc>
        <w:tc>
          <w:tcPr>
            <w:tcW w:w="1600" w:type="dxa"/>
            <w:vAlign w:val="bottom"/>
            <w:gridSpan w:val="2"/>
          </w:tcPr>
          <w:p>
            <w:pPr>
              <w:ind w:left="940"/>
              <w:spacing w:after="0"/>
              <w:rPr>
                <w:sz w:val="20"/>
                <w:szCs w:val="20"/>
                <w:color w:val="auto"/>
              </w:rPr>
            </w:pPr>
            <w:r>
              <w:rPr>
                <w:rFonts w:ascii="Arial" w:cs="Arial" w:eastAsia="Arial" w:hAnsi="Arial"/>
                <w:sz w:val="18"/>
                <w:szCs w:val="18"/>
                <w:color w:val="auto"/>
              </w:rPr>
              <w:t>(4,290)</w:t>
            </w:r>
          </w:p>
        </w:tc>
        <w:tc>
          <w:tcPr>
            <w:tcW w:w="14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(5,723)</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4"/>
              </w:rPr>
              <w:t>9,867</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1,218</w:t>
            </w:r>
          </w:p>
        </w:tc>
        <w:tc>
          <w:tcPr>
            <w:tcW w:w="40" w:type="dxa"/>
            <w:vAlign w:val="bottom"/>
          </w:tcPr>
          <w:p>
            <w:pPr>
              <w:spacing w:after="0"/>
              <w:rPr>
                <w:sz w:val="19"/>
                <w:szCs w:val="19"/>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6260" w:space="720"/>
            <w:col w:w="4440"/>
          </w:cols>
          <w:pgMar w:left="240" w:top="864" w:right="239" w:bottom="1440" w:gutter="0" w:footer="0" w:header="0"/>
          <w:type w:val="continuous"/>
        </w:sectPr>
      </w:pPr>
    </w:p>
    <w:p>
      <w:pPr>
        <w:spacing w:after="0" w:line="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composition of our investment income for the three months ended March 31, 2015 and 2014 was as follows (dollars in thousands):</w:t>
      </w: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gridSpan w:val="6"/>
          </w:tcPr>
          <w:p>
            <w:pPr>
              <w:ind w:left="440"/>
              <w:spacing w:after="0"/>
              <w:rPr>
                <w:sz w:val="20"/>
                <w:szCs w:val="20"/>
                <w:color w:val="auto"/>
              </w:rPr>
            </w:pPr>
            <w:r>
              <w:rPr>
                <w:rFonts w:ascii="Arial" w:cs="Arial" w:eastAsia="Arial" w:hAnsi="Arial"/>
                <w:sz w:val="18"/>
                <w:szCs w:val="18"/>
                <w:b w:val="1"/>
                <w:bCs w:val="1"/>
                <w:color w:val="auto"/>
              </w:rPr>
              <w:t>For the three months ended</w:t>
            </w:r>
          </w:p>
        </w:tc>
      </w:tr>
      <w:tr>
        <w:trPr>
          <w:trHeight w:val="223"/>
        </w:trPr>
        <w:tc>
          <w:tcPr>
            <w:tcW w:w="6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3"/>
              </w:rPr>
              <w:t>March 31, 2015</w:t>
            </w: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March 31, 2014</w:t>
            </w:r>
          </w:p>
        </w:tc>
        <w:tc>
          <w:tcPr>
            <w:tcW w:w="100" w:type="dxa"/>
            <w:vAlign w:val="bottom"/>
            <w:gridSpan w:val="2"/>
          </w:tcPr>
          <w:p>
            <w:pPr>
              <w:spacing w:after="0"/>
              <w:rPr>
                <w:sz w:val="19"/>
                <w:szCs w:val="19"/>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Fee income</w:t>
            </w:r>
          </w:p>
        </w:tc>
        <w:tc>
          <w:tcPr>
            <w:tcW w:w="1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1,229</w:t>
            </w:r>
          </w:p>
        </w:tc>
        <w:tc>
          <w:tcPr>
            <w:tcW w:w="14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769</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Dividend income</w:t>
            </w:r>
          </w:p>
        </w:tc>
        <w:tc>
          <w:tcPr>
            <w:tcW w:w="1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3,762</w:t>
            </w:r>
          </w:p>
        </w:tc>
        <w:tc>
          <w:tcPr>
            <w:tcW w:w="80" w:type="dxa"/>
            <w:vAlign w:val="bottom"/>
          </w:tcPr>
          <w:p>
            <w:pPr>
              <w:spacing w:after="0"/>
              <w:rPr>
                <w:sz w:val="18"/>
                <w:szCs w:val="18"/>
                <w:color w:val="auto"/>
              </w:rPr>
            </w:pP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14,041</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881"/>
        <w:spacing w:after="0" w:line="312" w:lineRule="auto"/>
        <w:rPr>
          <w:sz w:val="20"/>
          <w:szCs w:val="20"/>
          <w:color w:val="auto"/>
        </w:rPr>
      </w:pPr>
      <w:r>
        <w:rPr>
          <w:rFonts w:ascii="Arial" w:cs="Arial" w:eastAsia="Arial" w:hAnsi="Arial"/>
          <w:sz w:val="16"/>
          <w:szCs w:val="16"/>
          <w:color w:val="auto"/>
        </w:rPr>
        <w:t>For the three months ended March 31, 2015, total investment income increased $1.7 million, or 13.5% compared to the three months ended March 31, 2014. The increase from the prior period relates primarily to higher interest and fee income from a growing investment portfolio, offset by a decline in dividend income. The decline in dividend income is the result of a large dividend recapitalization during the three months ended March 31, 2014.</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composition of our expenses for the three months ended March 31, 2015 and March 31, 2014 was as follows (dollars in thousands):</w:t>
      </w: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gridSpan w:val="6"/>
          </w:tcPr>
          <w:p>
            <w:pPr>
              <w:ind w:left="440"/>
              <w:spacing w:after="0"/>
              <w:rPr>
                <w:sz w:val="20"/>
                <w:szCs w:val="20"/>
                <w:color w:val="auto"/>
              </w:rPr>
            </w:pPr>
            <w:r>
              <w:rPr>
                <w:rFonts w:ascii="Arial" w:cs="Arial" w:eastAsia="Arial" w:hAnsi="Arial"/>
                <w:sz w:val="18"/>
                <w:szCs w:val="18"/>
                <w:b w:val="1"/>
                <w:bCs w:val="1"/>
                <w:color w:val="auto"/>
              </w:rPr>
              <w:t>For the three months ended</w:t>
            </w:r>
          </w:p>
        </w:tc>
      </w:tr>
      <w:tr>
        <w:trPr>
          <w:trHeight w:val="223"/>
        </w:trPr>
        <w:tc>
          <w:tcPr>
            <w:tcW w:w="6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3"/>
              </w:rPr>
              <w:t>March 31, 2015</w:t>
            </w: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March 31, 2014</w:t>
            </w:r>
          </w:p>
        </w:tc>
        <w:tc>
          <w:tcPr>
            <w:tcW w:w="100" w:type="dxa"/>
            <w:vAlign w:val="bottom"/>
            <w:gridSpan w:val="2"/>
          </w:tcPr>
          <w:p>
            <w:pPr>
              <w:spacing w:after="0"/>
              <w:rPr>
                <w:sz w:val="19"/>
                <w:szCs w:val="19"/>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financing fees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Management fees, net of management fee waiver</w:t>
            </w:r>
          </w:p>
        </w:tc>
        <w:tc>
          <w:tcPr>
            <w:tcW w:w="1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2,410</w:t>
            </w:r>
          </w:p>
        </w:tc>
        <w:tc>
          <w:tcPr>
            <w:tcW w:w="14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1,894</w:t>
            </w: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1,430</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8"/>
                <w:szCs w:val="18"/>
                <w:color w:val="auto"/>
              </w:rPr>
            </w:pP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722</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w:t>
            </w:r>
          </w:p>
        </w:tc>
        <w:tc>
          <w:tcPr>
            <w:tcW w:w="80" w:type="dxa"/>
            <w:vAlign w:val="bottom"/>
            <w:shd w:val="clear" w:color="auto" w:fill="CCEEFF"/>
          </w:tcPr>
          <w:p>
            <w:pPr>
              <w:spacing w:after="0"/>
              <w:rPr>
                <w:sz w:val="19"/>
                <w:szCs w:val="19"/>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Total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9,224</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For the three months ended March 31, 2015, operating expenses increased $2.6 million, or 38.6%, compared to the three months ended March 31, 2014. Interest and financing expenses increased period over period due to our June 2014 $113.4 million offering of 7.125% fixed rate notes due 2021 (“the Notes”) and the establishment of a senior secured revolving credit facility on October 17, 2014 (the “Credit Facility”). In addition, management fees increased over prior period due to growth in assets under management.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type w:val="continuous"/>
        </w:sectPr>
      </w:pPr>
    </w:p>
    <w:bookmarkStart w:id="56" w:name="page57"/>
    <w:bookmarkEnd w:id="56"/>
    <w:p>
      <w:pPr>
        <w:ind w:left="880"/>
        <w:spacing w:after="0"/>
        <w:rPr>
          <w:sz w:val="20"/>
          <w:szCs w:val="20"/>
          <w:color w:val="auto"/>
        </w:rPr>
      </w:pPr>
      <w:r>
        <w:rPr>
          <w:rFonts w:ascii="Arial" w:cs="Arial" w:eastAsia="Arial" w:hAnsi="Arial"/>
          <w:sz w:val="18"/>
          <w:szCs w:val="18"/>
          <w:b w:val="1"/>
          <w:bCs w:val="1"/>
          <w:i w:val="1"/>
          <w:iCs w:val="1"/>
          <w:color w:val="auto"/>
        </w:rPr>
        <w:t>Net realized gains/losses on sales of investments</w:t>
      </w:r>
    </w:p>
    <w:p>
      <w:pPr>
        <w:spacing w:after="0" w:line="225" w:lineRule="exact"/>
        <w:rPr>
          <w:sz w:val="20"/>
          <w:szCs w:val="20"/>
          <w:color w:val="auto"/>
        </w:rPr>
      </w:pPr>
    </w:p>
    <w:p>
      <w:pPr>
        <w:ind w:right="260" w:firstLine="881"/>
        <w:spacing w:after="0" w:line="277" w:lineRule="auto"/>
        <w:rPr>
          <w:sz w:val="20"/>
          <w:szCs w:val="20"/>
          <w:color w:val="auto"/>
        </w:rPr>
      </w:pPr>
      <w:r>
        <w:rPr>
          <w:rFonts w:ascii="Arial" w:cs="Arial" w:eastAsia="Arial" w:hAnsi="Arial"/>
          <w:sz w:val="18"/>
          <w:szCs w:val="18"/>
          <w:color w:val="auto"/>
        </w:rPr>
        <w:t>During the three months ended March 31, 2015 and March 31, 2014, we recognized $9.3 million and $1.2 million, respectively, of net realized gains on our portfolio investments.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unrealized appreciation/depreciation on investments</w:t>
      </w:r>
    </w:p>
    <w:p>
      <w:pPr>
        <w:spacing w:after="0" w:line="225" w:lineRule="exact"/>
        <w:rPr>
          <w:sz w:val="20"/>
          <w:szCs w:val="20"/>
          <w:color w:val="auto"/>
        </w:rPr>
      </w:pPr>
    </w:p>
    <w:p>
      <w:pPr>
        <w:ind w:right="260" w:firstLine="881"/>
        <w:spacing w:after="0" w:line="279" w:lineRule="auto"/>
        <w:rPr>
          <w:sz w:val="20"/>
          <w:szCs w:val="20"/>
          <w:color w:val="auto"/>
        </w:rPr>
      </w:pPr>
      <w:r>
        <w:rPr>
          <w:rFonts w:ascii="Arial" w:cs="Arial" w:eastAsia="Arial" w:hAnsi="Arial"/>
          <w:sz w:val="17"/>
          <w:szCs w:val="17"/>
          <w:color w:val="auto"/>
        </w:rPr>
        <w:t>Net change in unrealized appreciation on investments reflects the net change in the fair value of our investment portfolio. For the three months ended March 31, 2015 and March 31, 2014, we had a $4.3 million and $5.7 million, respectively, decrease in unrealized appreciation, on portfolio investments. During the three months ended March 31, 2015, we had $7.6 million in net unrealized depreciation related to reversal of net unrealized appreciation on realized gains. The remaining portfolio appreciated $3.3 million during the three months ended March 31, 2015.</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25" w:lineRule="exact"/>
        <w:rPr>
          <w:sz w:val="20"/>
          <w:szCs w:val="20"/>
          <w:color w:val="auto"/>
        </w:rPr>
      </w:pPr>
    </w:p>
    <w:p>
      <w:pPr>
        <w:ind w:right="300" w:firstLine="881"/>
        <w:spacing w:after="0" w:line="257" w:lineRule="auto"/>
        <w:rPr>
          <w:sz w:val="20"/>
          <w:szCs w:val="20"/>
          <w:color w:val="auto"/>
        </w:rPr>
      </w:pPr>
      <w:r>
        <w:rPr>
          <w:rFonts w:ascii="Arial" w:cs="Arial" w:eastAsia="Arial" w:hAnsi="Arial"/>
          <w:sz w:val="18"/>
          <w:szCs w:val="18"/>
          <w:color w:val="auto"/>
        </w:rPr>
        <w:t>For the three months ended March 31, 2015, we recorded a net increase in net assets resulting from operations of $9.9 million. Based on the weighted average shares of common stock outstanding for the three months ended March 31, 2015, our per share net increase in net assets resulting from operations was $0.76. For the three ended March 31, 2014, we recorded a net increase in net assets resulting from operations of $1.2 million. Based on the weighted average shares of common stock outstanding for the three months ended March 31, 2014 our per share net increase in net assets resulting from operations was $0.09.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The Company uses and intends to use existing cash primarily to originate investments in new and existing portfolio companies, pay dividends to our shareholders, and repay indebtedness.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On September 30, 2013, the Company issued 4,000,000 shares at $20.00 per share in its IPO, yielding net proceeds of $74.25 million.</w:t>
      </w:r>
    </w:p>
    <w:p>
      <w:pPr>
        <w:spacing w:after="0" w:line="237" w:lineRule="exact"/>
        <w:rPr>
          <w:sz w:val="20"/>
          <w:szCs w:val="20"/>
          <w:color w:val="auto"/>
        </w:rPr>
      </w:pPr>
    </w:p>
    <w:p>
      <w:pPr>
        <w:ind w:right="600" w:firstLine="881"/>
        <w:spacing w:after="0" w:line="277" w:lineRule="auto"/>
        <w:rPr>
          <w:sz w:val="20"/>
          <w:szCs w:val="20"/>
          <w:color w:val="auto"/>
        </w:rPr>
      </w:pPr>
      <w:r>
        <w:rPr>
          <w:rFonts w:ascii="Arial" w:cs="Arial" w:eastAsia="Arial" w:hAnsi="Arial"/>
          <w:sz w:val="18"/>
          <w:szCs w:val="18"/>
          <w:color w:val="auto"/>
        </w:rPr>
        <w:t>Including the net proceeds from the Company’s IPO on September 30, 2013, the Company has raised approximately $231.5 million in net proceeds and credit availability in debt and equity offerings through March 31, 2015.</w:t>
      </w:r>
    </w:p>
    <w:p>
      <w:pPr>
        <w:spacing w:after="0" w:line="170" w:lineRule="exact"/>
        <w:rPr>
          <w:sz w:val="20"/>
          <w:szCs w:val="20"/>
          <w:color w:val="auto"/>
        </w:rPr>
      </w:pPr>
    </w:p>
    <w:p>
      <w:pPr>
        <w:ind w:firstLine="881"/>
        <w:spacing w:after="0" w:line="297" w:lineRule="auto"/>
        <w:rPr>
          <w:sz w:val="20"/>
          <w:szCs w:val="20"/>
          <w:color w:val="auto"/>
        </w:rPr>
      </w:pPr>
      <w:r>
        <w:rPr>
          <w:rFonts w:ascii="Arial" w:cs="Arial" w:eastAsia="Arial" w:hAnsi="Arial"/>
          <w:sz w:val="16"/>
          <w:szCs w:val="16"/>
          <w:color w:val="auto"/>
        </w:rPr>
        <w:t>The Company issued $113.4 million in aggregate principal amount of 7.125% fixed-rate notes in June of 2014, yielding net proceeds of $109.1 million after underwriting costs. The Notes will mature on June 16, 2021, and may be redeemed in whole or in part at any time or from time to time at the Company’s option on or after June 17, 2017 at a redemption price equal to 100% of the outstanding principal, plus accrued and unpaid interest. The notes bear interest at a rate of 7.125% per year payable quarterly on March 16, June 16, September 16, and December 16 of each year, beginning September 16, 2014. The Notes are listed on the New York Stock Exchange under the trading symbol “CLA” with a par value $25.00 per share.</w:t>
      </w:r>
    </w:p>
    <w:p>
      <w:pPr>
        <w:spacing w:after="0" w:line="158" w:lineRule="exact"/>
        <w:rPr>
          <w:sz w:val="20"/>
          <w:szCs w:val="20"/>
          <w:color w:val="auto"/>
        </w:rPr>
      </w:pPr>
    </w:p>
    <w:p>
      <w:pPr>
        <w:ind w:right="20" w:firstLine="881"/>
        <w:spacing w:after="0" w:line="257" w:lineRule="auto"/>
        <w:rPr>
          <w:sz w:val="20"/>
          <w:szCs w:val="20"/>
          <w:color w:val="auto"/>
        </w:rPr>
      </w:pPr>
      <w:r>
        <w:rPr>
          <w:rFonts w:ascii="Arial" w:cs="Arial" w:eastAsia="Arial" w:hAnsi="Arial"/>
          <w:sz w:val="18"/>
          <w:szCs w:val="18"/>
          <w:color w:val="auto"/>
        </w:rPr>
        <w:t>On October 17, 2014, the Company entered into a senior secured revolving credit agreement (the “Credit Facility”) with ING Capital, LLC, as administrative agent, arranger, and bookrunner, and the lenders party thereto. The Credit Facility initially provides for borrowings up to $50,000,000 and may be increased up to $150,000,000 pursuant to its “accordion” feature. The Credit Facility matures on October 17, 2018. Underwriting and financing costs for the Credit Facility were $2.1 million and will be amortized over the term of the Credit Facility. For the three months ended March 31, 2015, the Company had $15.0 million outstanding and $65.0 million available on the Credit Facility.</w:t>
      </w:r>
    </w:p>
    <w:p>
      <w:pPr>
        <w:spacing w:after="0" w:line="188" w:lineRule="exact"/>
        <w:rPr>
          <w:sz w:val="20"/>
          <w:szCs w:val="20"/>
          <w:color w:val="auto"/>
        </w:rPr>
      </w:pPr>
    </w:p>
    <w:p>
      <w:pPr>
        <w:jc w:val="both"/>
        <w:ind w:firstLine="881"/>
        <w:spacing w:after="0" w:line="259" w:lineRule="auto"/>
        <w:rPr>
          <w:sz w:val="20"/>
          <w:szCs w:val="20"/>
          <w:color w:val="auto"/>
        </w:rPr>
      </w:pPr>
      <w:r>
        <w:rPr>
          <w:rFonts w:ascii="Arial" w:cs="Arial" w:eastAsia="Arial" w:hAnsi="Arial"/>
          <w:sz w:val="18"/>
          <w:szCs w:val="18"/>
          <w:color w:val="auto"/>
        </w:rPr>
        <w:t>On January 6, 2015, the Company entered into an Incremental Assumption Agreement, (the “Incremental Assumption Agreement”), relating to the Credit Facility. The Incremental Assumption Agreement increased the amount of borrowings available under the Credit Facility from $50,000,000 to $80,000,000. The $30,000,000 increase in total commitments under the Credit Facility was executed under the “accordion” feature of the Credit Facility, which allows for an increase in total commitments under the Credit Facility up to $150,000,000.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57" w:name="page58"/>
    <w:bookmarkEnd w:id="57"/>
    <w:p>
      <w:pPr>
        <w:ind w:firstLine="881"/>
        <w:spacing w:after="0" w:line="269" w:lineRule="auto"/>
        <w:rPr>
          <w:sz w:val="20"/>
          <w:szCs w:val="20"/>
          <w:color w:val="auto"/>
        </w:rPr>
      </w:pPr>
      <w:r>
        <w:rPr>
          <w:rFonts w:ascii="Arial" w:cs="Arial" w:eastAsia="Arial" w:hAnsi="Arial"/>
          <w:sz w:val="17"/>
          <w:szCs w:val="17"/>
          <w:color w:val="auto"/>
        </w:rPr>
        <w:t>Borrowings under the Credit Facility bear interest, at the Company’s election, at a rate per annum equal to (i) the one, two, three or six month LIBOR as applicable, plus 3.00%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are based provides the company with increased flexibility to manage interest rate risks as compared to a borrowing arrangement that does not provide for such optionality. Once a particular LIBOR rate has been selected, the interest rate on the applicable amount borrowed will reset after the applicable tenor period and be based on the then applicable selected LIBOR rate (e.g., borrowings for which the Company has elected the one month LIBOR rate will reset on the one month anniversary of the period based on the then selected LIBOR rate). For any given borrowing under the Credit Facility, the Company intends to elect what it believes to be an appropriate LIBOR rate taking into account the Company’s needs at the time as well as the Company’s view of future interest rate movements. The Company will also pay an unused commitment fee at a rate of 2.50% per annum on the amount (if positive) by which 40% of the aggregate commitments under the Credit Facility exceeds the outstanding amount of loans under the Credit Facility and 0.50% per annum on any remaining unused portion of the Credit Facility.</w:t>
      </w:r>
    </w:p>
    <w:p>
      <w:pPr>
        <w:spacing w:after="0" w:line="183"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On February 26, 2015, the Company’s board of directors authorized a program for the purpose of repurchasing up to $12.0 million worth of its common stock. Under the repurchase program, the Company may, but it is not obligated to, repurchase its outstanding common stock in the open market from time to time provided that the Company complies with the prohibitions under its Insider Trading Policies and Procedures and the guidelines specified in Rule 10b- 18 of the Securities Exchange Act of 1934, as amended, including certain price, market volume and timing constraints. Unless extended by the Company’s board of directors, the Company expects the repurchase program to be in place until the earlier of March 31, 2016 or until $12.0 million of the Company’s outstanding shares of common stock have been repurchased. As of March 31, 2015, the Company had not made any repurchases of its common stock under this program.</w:t>
      </w:r>
    </w:p>
    <w:p>
      <w:pPr>
        <w:spacing w:after="0" w:line="189"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On April 13, 2015, the Company completed an underwritten offering of 3,500,000 shares of its common stock at a public offering price of $18.32 per share for total gross proceeds of approximately $64.1 million.</w:t>
      </w:r>
    </w:p>
    <w:p>
      <w:pPr>
        <w:spacing w:after="0" w:line="170"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As of March 31, 2015, Fund II had $26.2 million in regulatory capital and $42.2 million in SBA- guaranteed debentures outstanding and Fund III had $75.0 million in regulatory capital and $150.0 million in SBA-guaranteed debentures outstanding.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We intend to comply with the conditions of the order.</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March 31, 2015, we had $32.0 million in cash and cash equivalents, and our net assets totaled $238.2 million.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80" w:firstLine="881"/>
        <w:spacing w:after="0" w:line="276" w:lineRule="auto"/>
        <w:rPr>
          <w:sz w:val="20"/>
          <w:szCs w:val="20"/>
          <w:color w:val="auto"/>
        </w:rPr>
      </w:pPr>
      <w:r>
        <w:rPr>
          <w:rFonts w:ascii="Arial" w:cs="Arial" w:eastAsia="Arial" w:hAnsi="Arial"/>
          <w:sz w:val="17"/>
          <w:szCs w:val="17"/>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73" w:lineRule="exact"/>
        <w:rPr>
          <w:sz w:val="20"/>
          <w:szCs w:val="20"/>
          <w:color w:val="auto"/>
        </w:rPr>
      </w:pPr>
    </w:p>
    <w:p>
      <w:pPr>
        <w:ind w:right="80" w:firstLine="881"/>
        <w:spacing w:after="0" w:line="279" w:lineRule="auto"/>
        <w:rPr>
          <w:sz w:val="20"/>
          <w:szCs w:val="20"/>
          <w:color w:val="auto"/>
        </w:rPr>
      </w:pPr>
      <w:r>
        <w:rPr>
          <w:rFonts w:ascii="Arial" w:cs="Arial" w:eastAsia="Arial" w:hAnsi="Arial"/>
          <w:sz w:val="17"/>
          <w:szCs w:val="17"/>
          <w:color w:val="auto"/>
        </w:rPr>
        <w:t>The Investment Advisory Agreement and the Administration Agreement are each terminable by either party without penalty upon 60 days’ written notice to the other. If either of these agreements is terminated, the costs we will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58" w:name="page59"/>
    <w:bookmarkEnd w:id="58"/>
    <w:p>
      <w:pPr>
        <w:ind w:left="880"/>
        <w:spacing w:after="0"/>
        <w:rPr>
          <w:sz w:val="20"/>
          <w:szCs w:val="20"/>
          <w:color w:val="auto"/>
        </w:rPr>
      </w:pPr>
      <w:r>
        <w:rPr>
          <w:rFonts w:ascii="Arial" w:cs="Arial" w:eastAsia="Arial" w:hAnsi="Arial"/>
          <w:sz w:val="18"/>
          <w:szCs w:val="18"/>
          <w:color w:val="auto"/>
        </w:rPr>
        <w:t>A summary of the Company’s significant contractual payment obligations as of March 31, 2015 is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Contractual Obligations Payments Due by Period</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89"/>
              </w:rPr>
              <w:t>Less Than</w:t>
            </w:r>
          </w:p>
        </w:tc>
        <w:tc>
          <w:tcPr>
            <w:tcW w:w="140" w:type="dxa"/>
            <w:vAlign w:val="bottom"/>
          </w:tcPr>
          <w:p>
            <w:pPr>
              <w:spacing w:after="0"/>
              <w:rPr>
                <w:sz w:val="16"/>
                <w:szCs w:val="16"/>
                <w:color w:val="auto"/>
              </w:rPr>
            </w:pPr>
          </w:p>
        </w:tc>
        <w:tc>
          <w:tcPr>
            <w:tcW w:w="1120" w:type="dxa"/>
            <w:vAlign w:val="bottom"/>
          </w:tcPr>
          <w:p>
            <w:pPr>
              <w:jc w:val="right"/>
              <w:ind w:right="390"/>
              <w:spacing w:after="0" w:line="191" w:lineRule="exact"/>
              <w:rPr>
                <w:sz w:val="20"/>
                <w:szCs w:val="20"/>
                <w:color w:val="auto"/>
              </w:rPr>
            </w:pPr>
            <w:r>
              <w:rPr>
                <w:rFonts w:ascii="Arial" w:cs="Arial" w:eastAsia="Arial" w:hAnsi="Arial"/>
                <w:sz w:val="18"/>
                <w:szCs w:val="18"/>
                <w:b w:val="1"/>
                <w:bCs w:val="1"/>
                <w:color w:val="auto"/>
              </w:rPr>
              <w:t>1 - 3</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90"/>
              <w:spacing w:after="0" w:line="191" w:lineRule="exact"/>
              <w:rPr>
                <w:sz w:val="20"/>
                <w:szCs w:val="20"/>
                <w:color w:val="auto"/>
              </w:rPr>
            </w:pPr>
            <w:r>
              <w:rPr>
                <w:rFonts w:ascii="Arial" w:cs="Arial" w:eastAsia="Arial" w:hAnsi="Arial"/>
                <w:sz w:val="18"/>
                <w:szCs w:val="18"/>
                <w:b w:val="1"/>
                <w:bCs w:val="1"/>
                <w:color w:val="auto"/>
              </w:rPr>
              <w:t>3 - 5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4"/>
              </w:rPr>
              <w:t>More Than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1 Year</w:t>
            </w:r>
          </w:p>
        </w:tc>
        <w:tc>
          <w:tcPr>
            <w:tcW w:w="140" w:type="dxa"/>
            <w:vAlign w:val="bottom"/>
          </w:tcPr>
          <w:p>
            <w:pPr>
              <w:spacing w:after="0"/>
              <w:rPr>
                <w:sz w:val="20"/>
                <w:szCs w:val="20"/>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5 Years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SBA-Guaranteed Debentures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Note Obligations</w:t>
            </w:r>
          </w:p>
        </w:tc>
        <w:tc>
          <w:tcPr>
            <w:tcW w:w="1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113,438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113,438</w:t>
            </w:r>
          </w:p>
        </w:tc>
        <w:tc>
          <w:tcPr>
            <w:tcW w:w="80" w:type="dxa"/>
            <w:vAlign w:val="bottom"/>
          </w:tcPr>
          <w:p>
            <w:pPr>
              <w:spacing w:after="0"/>
              <w:rPr>
                <w:sz w:val="18"/>
                <w:szCs w:val="18"/>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9"/>
                <w:szCs w:val="19"/>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11,500</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279,138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320,638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20" w:firstLine="881"/>
        <w:spacing w:after="0" w:line="291" w:lineRule="auto"/>
        <w:rPr>
          <w:sz w:val="20"/>
          <w:szCs w:val="20"/>
          <w:color w:val="auto"/>
        </w:rPr>
      </w:pPr>
      <w:r>
        <w:rPr>
          <w:rFonts w:ascii="Arial" w:cs="Arial" w:eastAsia="Arial" w:hAnsi="Arial"/>
          <w:sz w:val="16"/>
          <w:szCs w:val="16"/>
          <w:color w:val="auto"/>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To the extent that we have income available, we intend to make monthly distributions to our stockholders. Our monthly stockholder distributions, if any, will be determined by our Board on a quarterly basis. Any distribution to our stockholders will be declared out of assets legally available for distribution.</w:t>
      </w:r>
    </w:p>
    <w:p>
      <w:pPr>
        <w:spacing w:after="0" w:line="167"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87" w:lineRule="exact"/>
        <w:rPr>
          <w:sz w:val="20"/>
          <w:szCs w:val="20"/>
          <w:color w:val="auto"/>
        </w:rPr>
      </w:pPr>
    </w:p>
    <w:p>
      <w:pPr>
        <w:ind w:right="80" w:firstLine="881"/>
        <w:spacing w:after="0" w:line="279"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71" w:lineRule="exact"/>
        <w:rPr>
          <w:sz w:val="20"/>
          <w:szCs w:val="20"/>
          <w:color w:val="auto"/>
        </w:rPr>
      </w:pPr>
    </w:p>
    <w:p>
      <w:pPr>
        <w:ind w:right="40" w:firstLine="881"/>
        <w:spacing w:after="0" w:line="297" w:lineRule="auto"/>
        <w:rPr>
          <w:sz w:val="20"/>
          <w:szCs w:val="20"/>
          <w:color w:val="auto"/>
        </w:rPr>
      </w:pPr>
      <w:r>
        <w:rPr>
          <w:rFonts w:ascii="Arial" w:cs="Arial" w:eastAsia="Arial" w:hAnsi="Arial"/>
          <w:sz w:val="16"/>
          <w:szCs w:val="16"/>
          <w:color w:val="auto"/>
        </w:rPr>
        <w:t>We have adopted an “opt out” dividend reinvestment plan for our common stockholders. As a result, if we declare a distribution, then stockholders’ cash distributions will be automatically reinvested in additional shares of our common stock unless a stockholder specifically “opts out” of our dividend reinvestment plan.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dividend reinvestment plan will not receive any corresponding cash distributions with which to pay any such applicable taxes.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9" w:name="page60"/>
    <w:bookmarkEnd w:id="59"/>
    <w:p>
      <w:pPr>
        <w:ind w:left="880"/>
        <w:spacing w:after="0"/>
        <w:rPr>
          <w:sz w:val="20"/>
          <w:szCs w:val="20"/>
          <w:color w:val="auto"/>
        </w:rPr>
      </w:pPr>
      <w:r>
        <w:rPr>
          <w:rFonts w:ascii="Arial" w:cs="Arial" w:eastAsia="Arial" w:hAnsi="Arial"/>
          <w:sz w:val="18"/>
          <w:szCs w:val="18"/>
          <w:color w:val="auto"/>
        </w:rPr>
        <w:t>The following table summarizes our distributions declared during fiscal years ended 2015, 2014 and 2013:</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Amount</w:t>
            </w: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Record Date</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Payment Date</w:t>
            </w:r>
          </w:p>
        </w:tc>
        <w:tc>
          <w:tcPr>
            <w:tcW w:w="320" w:type="dxa"/>
            <w:vAlign w:val="bottom"/>
          </w:tcPr>
          <w:p>
            <w:pPr>
              <w:spacing w:after="0"/>
              <w:rPr>
                <w:sz w:val="20"/>
                <w:szCs w:val="20"/>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Per Share</w:t>
            </w:r>
          </w:p>
        </w:tc>
      </w:tr>
      <w:tr>
        <w:trPr>
          <w:trHeight w:val="223"/>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2015</w:t>
            </w:r>
          </w:p>
        </w:tc>
        <w:tc>
          <w:tcPr>
            <w:tcW w:w="12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June 22, 2015</w:t>
            </w:r>
          </w:p>
        </w:tc>
        <w:tc>
          <w:tcPr>
            <w:tcW w:w="12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June 29, 2015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29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May 21, 2015</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28, 2015</w:t>
            </w:r>
          </w:p>
        </w:tc>
        <w:tc>
          <w:tcPr>
            <w:tcW w:w="3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3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2015</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May 21, 2015</w:t>
            </w:r>
          </w:p>
        </w:tc>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May 28, 2015</w:t>
            </w: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9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22, 2015</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30, 2015</w:t>
            </w:r>
          </w:p>
        </w:tc>
        <w:tc>
          <w:tcPr>
            <w:tcW w:w="3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3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November 20, 2015</w:t>
            </w:r>
          </w:p>
        </w:tc>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November 27, 2015</w:t>
            </w: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9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23, 2015</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29, 2015</w:t>
            </w:r>
          </w:p>
        </w:tc>
        <w:tc>
          <w:tcPr>
            <w:tcW w:w="3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3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September 23, 2015</w:t>
            </w:r>
          </w:p>
        </w:tc>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September 29, 2015</w:t>
            </w: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9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August 21, 2015</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August 28, 2015</w:t>
            </w:r>
          </w:p>
        </w:tc>
        <w:tc>
          <w:tcPr>
            <w:tcW w:w="3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3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July 23, 2015</w:t>
            </w:r>
          </w:p>
        </w:tc>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30, 2015</w:t>
            </w: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9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22, 2015</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29, 2015</w:t>
            </w:r>
          </w:p>
        </w:tc>
        <w:tc>
          <w:tcPr>
            <w:tcW w:w="3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3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May 21, 2015</w:t>
            </w:r>
          </w:p>
        </w:tc>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May 28, 2015</w:t>
            </w: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9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April 23, 2015</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April 29, 2015</w:t>
            </w:r>
          </w:p>
        </w:tc>
        <w:tc>
          <w:tcPr>
            <w:tcW w:w="3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3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23, 2015</w:t>
            </w:r>
          </w:p>
        </w:tc>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30, 2015</w:t>
            </w: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January 2, 2015</w:t>
            </w:r>
          </w:p>
        </w:tc>
        <w:tc>
          <w:tcPr>
            <w:tcW w:w="29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March 23, 2015</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30, 2015</w:t>
            </w:r>
          </w:p>
        </w:tc>
        <w:tc>
          <w:tcPr>
            <w:tcW w:w="3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3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2015</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February 20, 2015</w:t>
            </w:r>
          </w:p>
        </w:tc>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February 26, 2015</w:t>
            </w: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January 2, 2015</w:t>
            </w:r>
          </w:p>
        </w:tc>
        <w:tc>
          <w:tcPr>
            <w:tcW w:w="29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January 22, 2015</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January 29, 2015</w:t>
            </w:r>
          </w:p>
        </w:tc>
        <w:tc>
          <w:tcPr>
            <w:tcW w:w="3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23"/>
        </w:trPr>
        <w:tc>
          <w:tcPr>
            <w:tcW w:w="34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960" w:type="dxa"/>
            <w:vAlign w:val="bottom"/>
            <w:tcBorders>
              <w:top w:val="single" w:sz="8" w:color="CCEEFF"/>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w w:val="96"/>
              </w:rPr>
              <w:t>Total Distributions Declared</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Date Declared</w:t>
            </w:r>
          </w:p>
        </w:tc>
        <w:tc>
          <w:tcPr>
            <w:tcW w:w="2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Record Date</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Payment Date</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 2014</w:t>
            </w:r>
          </w:p>
        </w:tc>
        <w:tc>
          <w:tcPr>
            <w:tcW w:w="12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19, 2014</w:t>
            </w:r>
          </w:p>
        </w:tc>
        <w:tc>
          <w:tcPr>
            <w:tcW w:w="12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30, 2014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October 2, 2014</w:t>
            </w:r>
          </w:p>
        </w:tc>
        <w:tc>
          <w:tcPr>
            <w:tcW w:w="29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November 21, 2014</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November 28, 2014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0.1567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 2014</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October 22, 2014</w:t>
            </w:r>
          </w:p>
        </w:tc>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30, 2014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0.1567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7, 2014</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September 12, 2014</w:t>
            </w:r>
          </w:p>
        </w:tc>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September 26, 2014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8, 2014</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June 9, 2014</w:t>
            </w:r>
          </w:p>
        </w:tc>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June 26, 2014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27, 2014</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14, 2014</w:t>
            </w:r>
          </w:p>
        </w:tc>
        <w:tc>
          <w:tcPr>
            <w:tcW w:w="2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26, 2014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2"/>
          </w:tcPr>
          <w:p>
            <w:pPr>
              <w:ind w:left="800"/>
              <w:spacing w:after="0"/>
              <w:rPr>
                <w:sz w:val="20"/>
                <w:szCs w:val="20"/>
                <w:color w:val="auto"/>
              </w:rPr>
            </w:pPr>
            <w:r>
              <w:rPr>
                <w:rFonts w:ascii="Arial" w:cs="Arial" w:eastAsia="Arial" w:hAnsi="Arial"/>
                <w:sz w:val="18"/>
                <w:szCs w:val="18"/>
                <w:color w:val="auto"/>
                <w:w w:val="96"/>
              </w:rPr>
              <w:t>Total Distributions Declared</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Record Date</w:t>
            </w: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Payment Date</w:t>
            </w:r>
          </w:p>
        </w:tc>
        <w:tc>
          <w:tcPr>
            <w:tcW w:w="320" w:type="dxa"/>
            <w:vAlign w:val="bottom"/>
          </w:tcPr>
          <w:p>
            <w:pPr>
              <w:spacing w:after="0"/>
              <w:rPr>
                <w:sz w:val="20"/>
                <w:szCs w:val="20"/>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23"/>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11, 2013</w:t>
            </w:r>
          </w:p>
        </w:tc>
        <w:tc>
          <w:tcPr>
            <w:tcW w:w="12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10, 2013</w:t>
            </w:r>
          </w:p>
        </w:tc>
        <w:tc>
          <w:tcPr>
            <w:tcW w:w="12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30, 2013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2"/>
          </w:tcPr>
          <w:p>
            <w:pPr>
              <w:ind w:left="800"/>
              <w:spacing w:after="0"/>
              <w:rPr>
                <w:sz w:val="20"/>
                <w:szCs w:val="20"/>
                <w:color w:val="auto"/>
              </w:rPr>
            </w:pPr>
            <w:r>
              <w:rPr>
                <w:rFonts w:ascii="Arial" w:cs="Arial" w:eastAsia="Arial" w:hAnsi="Arial"/>
                <w:sz w:val="18"/>
                <w:szCs w:val="18"/>
                <w:color w:val="auto"/>
                <w:w w:val="96"/>
              </w:rPr>
              <w:t>Total Distributions Declared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Related Parties</w:t>
            </w: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60" w:type="dxa"/>
            <w:vAlign w:val="bottom"/>
            <w:gridSpan w:val="2"/>
            <w:vMerge w:val="continue"/>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firstLine="881"/>
        <w:spacing w:after="0" w:line="264" w:lineRule="auto"/>
        <w:rPr>
          <w:sz w:val="20"/>
          <w:szCs w:val="20"/>
          <w:color w:val="auto"/>
        </w:rPr>
      </w:pPr>
      <w:r>
        <w:rPr>
          <w:rFonts w:ascii="Arial" w:cs="Arial" w:eastAsia="Arial" w:hAnsi="Arial"/>
          <w:sz w:val="18"/>
          <w:szCs w:val="18"/>
          <w:color w:val="auto"/>
        </w:rPr>
        <w:t>We have entered into the Advisory Agreement with Capitala Investment Advisors. Mr. Alala, our chief executive officer, president and chairman of our Board of Directors, is the managing partner and chief investment officer of Capitala Investment Advisors, and Mr. Broyhill, a member of our Board of Directors, has an indirect controlling interest in Capitala Investment Advisors.</w:t>
      </w:r>
    </w:p>
    <w:p>
      <w:pPr>
        <w:spacing w:after="0" w:line="181" w:lineRule="exact"/>
        <w:rPr>
          <w:sz w:val="20"/>
          <w:szCs w:val="20"/>
          <w:color w:val="auto"/>
        </w:rPr>
      </w:pPr>
    </w:p>
    <w:p>
      <w:pPr>
        <w:ind w:right="20" w:firstLine="881"/>
        <w:spacing w:after="0" w:line="269" w:lineRule="auto"/>
        <w:rPr>
          <w:sz w:val="20"/>
          <w:szCs w:val="20"/>
          <w:color w:val="auto"/>
        </w:rPr>
      </w:pPr>
      <w:r>
        <w:rPr>
          <w:rFonts w:ascii="Arial" w:cs="Arial" w:eastAsia="Arial" w:hAnsi="Arial"/>
          <w:sz w:val="17"/>
          <w:szCs w:val="17"/>
          <w:color w:val="auto"/>
        </w:rPr>
        <w:t>In addition, Capitala Investment Advisors’ investment team manages CapitalSouth Partners SBIC Fund IV, L.P. (“Fund IV”), a private investment limited partnership providing financing solutions to companies that generate between $5 million and $50 million in annual revenues and have between $1 million and $5 million in annual earnings before interest, taxes, depreciation and amortization. Fund IV had its first closing in March 2013 and obtained approval for its Small Business Investment Company license from the U.S. Small Business Administration in April 2013. In addition to Fund IV, affiliates of Capitala Investment Advisors manage several other affiliated funds. Capitala Investment Advisors and its affiliates may determine that an investment is appropriate for us and for one or more of those other funds. In such event, depending on the availability of such investment and other appropriate factors, Capitala Investment Advisors or its affiliates may determine that we should invest side-by-side with one or more other funds. Any such investments will be made only to the extent permitted by applicable law and interpretive positions of the SEC and its staff, and consistent with Capitala Investment Advisors’ allocation procedures. We will not co-invest in transactions with other entities affiliated with Capitala Investment Advisors unless we obtain an exemptive order from the SEC or do so in accordance with existing regulatory guidance. We do not expect to make co-investments, or otherwise compete for investment opportunities, with Fund IV because its focus and investment strategy differ from our own.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0" w:name="page61"/>
    <w:bookmarkEnd w:id="60"/>
    <w:p>
      <w:pPr>
        <w:ind w:right="20" w:firstLine="881"/>
        <w:spacing w:after="0" w:line="277" w:lineRule="auto"/>
        <w:rPr>
          <w:sz w:val="20"/>
          <w:szCs w:val="20"/>
          <w:color w:val="auto"/>
        </w:rPr>
      </w:pPr>
      <w:r>
        <w:rPr>
          <w:rFonts w:ascii="Arial" w:cs="Arial" w:eastAsia="Arial" w:hAnsi="Arial"/>
          <w:sz w:val="18"/>
          <w:szCs w:val="18"/>
          <w:color w:val="auto"/>
        </w:rPr>
        <w:t>We have entered into a license agreement with Capitala Investment Advisors, pursuant to which Capitala Investment Advisors has agreed to grant us a non-exclusive, royalty-free license to use the name “Capitala.”</w:t>
      </w:r>
    </w:p>
    <w:p>
      <w:pPr>
        <w:spacing w:after="0" w:line="170"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president and chairman of our Board of Directors, is the chief executive officer, president and a director of our Administrator, and Mr. Broyhill, a member of our Board of Directors, has an indirect controlling interest in Capitala Investment Advisors.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Offering</w:t>
      </w:r>
    </w:p>
    <w:p>
      <w:pPr>
        <w:spacing w:after="0" w:line="225"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On April 13, 2015, we completed an underwritten offering of 3,500,000 shares of our common stock at a public offering price of $18.32 per share for total gross proceeds of approximately $64.1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 April 1, 2015, our Board of Directors declared normal monthly distributions for April, May, and June of 2015 as set forth below:</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Date Declared</w:t>
            </w:r>
          </w:p>
        </w:tc>
        <w:tc>
          <w:tcPr>
            <w:tcW w:w="1740" w:type="dxa"/>
            <w:vAlign w:val="bottom"/>
            <w:gridSpan w:val="2"/>
          </w:tcPr>
          <w:p>
            <w:pPr>
              <w:ind w:left="380"/>
              <w:spacing w:after="0"/>
              <w:rPr>
                <w:sz w:val="20"/>
                <w:szCs w:val="20"/>
                <w:color w:val="auto"/>
              </w:rPr>
            </w:pPr>
            <w:r>
              <w:rPr>
                <w:rFonts w:ascii="Arial" w:cs="Arial" w:eastAsia="Arial" w:hAnsi="Arial"/>
                <w:sz w:val="18"/>
                <w:szCs w:val="18"/>
                <w:color w:val="auto"/>
              </w:rPr>
              <w:t>Record Date</w:t>
            </w:r>
          </w:p>
        </w:tc>
        <w:tc>
          <w:tcPr>
            <w:tcW w:w="1740" w:type="dxa"/>
            <w:vAlign w:val="bottom"/>
            <w:gridSpan w:val="2"/>
          </w:tcPr>
          <w:p>
            <w:pPr>
              <w:ind w:left="320"/>
              <w:spacing w:after="0"/>
              <w:rPr>
                <w:sz w:val="20"/>
                <w:szCs w:val="20"/>
                <w:color w:val="auto"/>
              </w:rPr>
            </w:pPr>
            <w:r>
              <w:rPr>
                <w:rFonts w:ascii="Arial" w:cs="Arial" w:eastAsia="Arial" w:hAnsi="Arial"/>
                <w:sz w:val="18"/>
                <w:szCs w:val="18"/>
                <w:color w:val="auto"/>
              </w:rPr>
              <w:t>Payment Date</w:t>
            </w:r>
          </w:p>
        </w:tc>
        <w:tc>
          <w:tcPr>
            <w:tcW w:w="1760" w:type="dxa"/>
            <w:vAlign w:val="bottom"/>
            <w:gridSpan w:val="3"/>
          </w:tcPr>
          <w:p>
            <w:pPr>
              <w:spacing w:after="0"/>
              <w:rPr>
                <w:sz w:val="20"/>
                <w:szCs w:val="20"/>
                <w:color w:val="auto"/>
              </w:rPr>
            </w:pPr>
            <w:r>
              <w:rPr>
                <w:rFonts w:ascii="Arial" w:cs="Arial" w:eastAsia="Arial" w:hAnsi="Arial"/>
                <w:sz w:val="18"/>
                <w:szCs w:val="18"/>
                <w:color w:val="auto"/>
                <w:w w:val="95"/>
              </w:rPr>
              <w:t>Distributions per Share</w:t>
            </w:r>
          </w:p>
        </w:tc>
      </w:tr>
      <w:tr>
        <w:trPr>
          <w:trHeight w:val="210"/>
        </w:trPr>
        <w:tc>
          <w:tcPr>
            <w:tcW w:w="4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April 1, 2015</w:t>
            </w:r>
          </w:p>
        </w:tc>
        <w:tc>
          <w:tcPr>
            <w:tcW w:w="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June 22, 2015</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June 29, 2015</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April 1, 2015</w:t>
            </w:r>
          </w:p>
        </w:tc>
        <w:tc>
          <w:tcPr>
            <w:tcW w:w="1740" w:type="dxa"/>
            <w:vAlign w:val="bottom"/>
            <w:gridSpan w:val="2"/>
          </w:tcPr>
          <w:p>
            <w:pPr>
              <w:ind w:left="360"/>
              <w:spacing w:after="0"/>
              <w:rPr>
                <w:sz w:val="20"/>
                <w:szCs w:val="20"/>
                <w:color w:val="auto"/>
              </w:rPr>
            </w:pPr>
            <w:r>
              <w:rPr>
                <w:rFonts w:ascii="Arial" w:cs="Arial" w:eastAsia="Arial" w:hAnsi="Arial"/>
                <w:sz w:val="18"/>
                <w:szCs w:val="18"/>
                <w:color w:val="auto"/>
              </w:rPr>
              <w:t>May 21, 2015</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3"/>
              </w:rPr>
              <w:t>May 28, 2015</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April 1, 2015</w:t>
            </w:r>
          </w:p>
        </w:tc>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April 23, 2015</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April 29, 2015</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260" w:firstLine="881"/>
        <w:spacing w:after="0" w:line="277" w:lineRule="auto"/>
        <w:rPr>
          <w:sz w:val="20"/>
          <w:szCs w:val="20"/>
          <w:color w:val="auto"/>
        </w:rPr>
      </w:pPr>
      <w:r>
        <w:rPr>
          <w:rFonts w:ascii="Arial" w:cs="Arial" w:eastAsia="Arial" w:hAnsi="Arial"/>
          <w:sz w:val="18"/>
          <w:szCs w:val="18"/>
          <w:color w:val="auto"/>
        </w:rPr>
        <w:t>On April 14, 2015, we paid the full $25.0 million balance on the Credit Facility, which included $15.0 million drawn at March 31, 2015, $10.0 million drawn on April 2, 2015, and accrued interest to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On April 2, 2015, we invested $1.0 million in senior secured term debt of Print Direction, Inc. yielding 10.0% cash interest and 2.0% PIK.</w:t>
      </w:r>
    </w:p>
    <w:p>
      <w:pPr>
        <w:spacing w:after="0" w:line="237"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On April 17, 2015, we committed $4.0 million for Concentra Inc.’s senior unsecured bridge facility, initially yielding Libor+7.0% cash interest with 1.0% floor.</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On April 20, 2015, we received $0.9 million in cash proceeds from our exit of KBP Investments, LLC related to a working capital true-up.</w:t>
      </w:r>
    </w:p>
    <w:p>
      <w:pPr>
        <w:spacing w:after="0" w:line="237" w:lineRule="exact"/>
        <w:rPr>
          <w:sz w:val="20"/>
          <w:szCs w:val="20"/>
          <w:color w:val="auto"/>
        </w:rPr>
      </w:pPr>
    </w:p>
    <w:p>
      <w:pPr>
        <w:ind w:right="280" w:firstLine="881"/>
        <w:spacing w:after="0" w:line="277" w:lineRule="auto"/>
        <w:rPr>
          <w:sz w:val="20"/>
          <w:szCs w:val="20"/>
          <w:color w:val="auto"/>
        </w:rPr>
      </w:pPr>
      <w:r>
        <w:rPr>
          <w:rFonts w:ascii="Arial" w:cs="Arial" w:eastAsia="Arial" w:hAnsi="Arial"/>
          <w:sz w:val="18"/>
          <w:szCs w:val="18"/>
          <w:color w:val="auto"/>
        </w:rPr>
        <w:t>On April 20, 2015, we received $10.0 million from TGI Fridays, Inc., representing full repayment of the Company’s debt investment, yielding Libor+8.25%. In addition to the repayment, we also received a $0.3 million prepayment penalty.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61" w:name="page62"/>
    <w:bookmarkEnd w:id="61"/>
    <w:p>
      <w:pPr>
        <w:ind w:firstLine="881"/>
        <w:spacing w:after="0" w:line="277" w:lineRule="auto"/>
        <w:rPr>
          <w:sz w:val="20"/>
          <w:szCs w:val="20"/>
          <w:color w:val="auto"/>
        </w:rPr>
      </w:pPr>
      <w:r>
        <w:rPr>
          <w:rFonts w:ascii="Arial" w:cs="Arial" w:eastAsia="Arial" w:hAnsi="Arial"/>
          <w:sz w:val="18"/>
          <w:szCs w:val="18"/>
          <w:color w:val="auto"/>
        </w:rPr>
        <w:t>On April 30, 2015, we invested $5.0 million in Burke America Parts Group, LLC senior secured term debt, yielding 9.5% cash interest, plus warrant participation.</w:t>
      </w:r>
    </w:p>
    <w:p>
      <w:pPr>
        <w:spacing w:after="0" w:line="38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240" w:top="882" w:right="6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three months ended March 31, 2015, we did not engage in hedging activities.</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March 31, 2015, the Company held 10 securities at a cost of $96.9 million and a fair value of $96.7 million, bearing a variable rate of interest. The Company’s variable rate investments represent approximately 23.3% of the fair market value of total interest earning investments. All variable rate securities are London Interbank Offered Rate (“LIBOR”) based and are subject to interest rate floors. As of March 31, 2015, all variable rate securities were yielding interest at a rate equal to the established interest rate floor. As of March 31, 2015, the Company had $15.0 million outstanding on its revolving credit facility bearing interest at LIBOR + 3.0%. As of March 31, 2015, all of our other interest paying liabilities, consisting of $192.2 million in SBA-guaranteed debentures and $113.4 million in notes payable, were bearing interest at a fixed rate.</w:t>
      </w:r>
    </w:p>
    <w:p>
      <w:pPr>
        <w:spacing w:after="0" w:line="178" w:lineRule="exact"/>
        <w:rPr>
          <w:sz w:val="20"/>
          <w:szCs w:val="20"/>
          <w:color w:val="auto"/>
        </w:rPr>
      </w:pPr>
    </w:p>
    <w:p>
      <w:pPr>
        <w:ind w:firstLine="484"/>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As of March 31, 2015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2"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Management has not identified any change in the Company’s internal control over financing reporting that occurred during the first quarter of 2015 that has materially affected, or is reasonably likely to materially affect, the Company’s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4" w:right="259" w:bottom="1440" w:gutter="0" w:footer="0" w:header="0"/>
        </w:sectPr>
      </w:pPr>
    </w:p>
    <w:bookmarkStart w:id="63" w:name="page64"/>
    <w:bookmarkEnd w:id="63"/>
    <w:p>
      <w:pPr>
        <w:jc w:val="center"/>
        <w:ind w:right="-9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None of us, our Investment Advisor or Administrator or any of the Legacy Funds, is currently subject to any material legal proceedings, nor, to our knowledge, is any material legal proceeding threatened against us, against our Investment Advisor, Administrator or any of the Legacy Funds. From time to time, we, our Investment Advisor or Administrator, or any of the Legacy Funds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881"/>
        <w:spacing w:after="0" w:line="297"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Part I, “Item 1A. Risk Factors” in our Annual Report on Form 10-K for the fiscal year ended December 31, 2014, which could materially affect our business, financial condition and/or operating results. The risks described in our Annual Report on Form 10-K are not the only risks we face. Additional risks and uncertainties are not currently known to us or that we currently deem to be immaterial also may materially adversely affect our business, financial condition and/or operating results. There have been no material changes from the risk factors set forth in our Annual Report on Form 10-K for the year ended December 31,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During the quarter ended March 31, 2015, we issued 7,187 shares of common stock under our dividend reinvestment plan. The issuances were not subject to the registration requirements under the Securities Act of 1933, as amended. The cash paid for shares of common stock issued under our dividend reinvestment plan during the quarter ended March 31, 2015 was approximately $132 thousand. Other than the shares issued under our dividend reinvestment plan during the quarter ended March 31, 2015, we did not sell any unregistered equity securities and we did not repurchase any of our equity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8" w:right="31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exhibits are filed as part of this report or hereby incorporated by reference to exhibits previously filed with the SEC:</w:t>
      </w:r>
    </w:p>
    <w:p>
      <w:pPr>
        <w:sectPr>
          <w:pgSz w:w="11900" w:h="16838" w:orient="portrait"/>
          <w:cols w:equalWidth="0" w:num="1">
            <w:col w:w="11420"/>
          </w:cols>
          <w:pgMar w:left="240" w:top="864" w:right="239" w:bottom="1440" w:gutter="0" w:footer="0" w:header="0"/>
        </w:sect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Number</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775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3.5</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3.6</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4.1</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9861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Articles of Amendment and Restatement</w:t>
      </w:r>
      <w:r>
        <w:rPr>
          <w:rFonts w:ascii="Arial" w:cs="Arial" w:eastAsia="Arial" w:hAnsi="Arial"/>
          <w:sz w:val="30"/>
          <w:szCs w:val="30"/>
          <w:color w:val="auto"/>
          <w:vertAlign w:val="superscript"/>
        </w:rPr>
        <w:t>(1)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Limited Partnership of CapitalSouth Partners Fund II Limited Partnership</w:t>
      </w:r>
      <w:r>
        <w:rPr>
          <w:rFonts w:ascii="Arial" w:cs="Arial" w:eastAsia="Arial" w:hAnsi="Arial"/>
          <w:sz w:val="30"/>
          <w:szCs w:val="30"/>
          <w:color w:val="auto"/>
          <w:vertAlign w:val="superscript"/>
        </w:rPr>
        <w:t>(2)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Limited Partnership of CapitalSouth Partners SBIC Fund III, L.P.</w:t>
      </w:r>
      <w:r>
        <w:rPr>
          <w:rFonts w:ascii="Arial" w:cs="Arial" w:eastAsia="Arial" w:hAnsi="Arial"/>
          <w:sz w:val="30"/>
          <w:szCs w:val="30"/>
          <w:color w:val="auto"/>
          <w:vertAlign w:val="superscript"/>
        </w:rPr>
        <w:t>(2)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Bylaws</w:t>
      </w:r>
      <w:r>
        <w:rPr>
          <w:rFonts w:ascii="Arial" w:cs="Arial" w:eastAsia="Arial" w:hAnsi="Arial"/>
          <w:sz w:val="30"/>
          <w:szCs w:val="30"/>
          <w:color w:val="auto"/>
          <w:vertAlign w:val="superscript"/>
        </w:rPr>
        <w:t>(1)</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Form of Amended and Restated Limited Partnership Agreement of CapitalSouth Partners Fund II Limited Partnership</w:t>
      </w:r>
      <w:r>
        <w:rPr>
          <w:rFonts w:ascii="Arial" w:cs="Arial" w:eastAsia="Arial" w:hAnsi="Arial"/>
          <w:sz w:val="26"/>
          <w:szCs w:val="26"/>
          <w:color w:val="auto"/>
          <w:vertAlign w:val="superscript"/>
        </w:rPr>
        <w:t>(3)</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Form of Amended and Restated Agreement of Limited Partnership of CapitalSouth Partners SBIC Fund III, L.P.</w:t>
      </w:r>
      <w:r>
        <w:rPr>
          <w:rFonts w:ascii="Arial" w:cs="Arial" w:eastAsia="Arial" w:hAnsi="Arial"/>
          <w:sz w:val="28"/>
          <w:szCs w:val="28"/>
          <w:color w:val="auto"/>
          <w:vertAlign w:val="superscript"/>
        </w:rPr>
        <w:t>(3)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Form of Common Stock Certificate</w:t>
      </w:r>
      <w:r>
        <w:rPr>
          <w:rFonts w:ascii="Arial" w:cs="Arial" w:eastAsia="Arial" w:hAnsi="Arial"/>
          <w:sz w:val="30"/>
          <w:szCs w:val="30"/>
          <w:color w:val="auto"/>
          <w:vertAlign w:val="superscript"/>
        </w:rPr>
        <w:t>(1)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Form of Base Indenture</w:t>
      </w:r>
      <w:r>
        <w:rPr>
          <w:rFonts w:ascii="Arial" w:cs="Arial" w:eastAsia="Arial" w:hAnsi="Arial"/>
          <w:sz w:val="30"/>
          <w:szCs w:val="30"/>
          <w:color w:val="auto"/>
          <w:vertAlign w:val="superscript"/>
        </w:rPr>
        <w:t>(4)</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Form of First Supplemental Indenture</w:t>
      </w:r>
      <w:r>
        <w:rPr>
          <w:rFonts w:ascii="Arial" w:cs="Arial" w:eastAsia="Arial" w:hAnsi="Arial"/>
          <w:sz w:val="30"/>
          <w:szCs w:val="30"/>
          <w:color w:val="auto"/>
          <w:vertAlign w:val="superscript"/>
        </w:rPr>
        <w:t>(4)</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Form of Global Note (included as Exhibit A to the Form of First Supplemental Indenture)</w:t>
      </w:r>
      <w:r>
        <w:rPr>
          <w:rFonts w:ascii="Arial" w:cs="Arial" w:eastAsia="Arial" w:hAnsi="Arial"/>
          <w:sz w:val="30"/>
          <w:szCs w:val="30"/>
          <w:color w:val="auto"/>
          <w:vertAlign w:val="superscript"/>
        </w:rPr>
        <w:t>(4)</w:t>
      </w:r>
    </w:p>
    <w:p>
      <w:pPr>
        <w:spacing w:after="0" w:line="111" w:lineRule="exact"/>
        <w:rPr>
          <w:sz w:val="20"/>
          <w:szCs w:val="20"/>
          <w:color w:val="auto"/>
        </w:rPr>
      </w:pPr>
    </w:p>
    <w:p>
      <w:pPr>
        <w:sectPr>
          <w:pgSz w:w="11900" w:h="16838" w:orient="portrait"/>
          <w:cols w:equalWidth="0" w:num="2">
            <w:col w:w="1300" w:space="540"/>
            <w:col w:w="9580"/>
          </w:cols>
          <w:pgMar w:left="240" w:top="864" w:right="239" w:bottom="1440" w:gutter="0" w:footer="0" w:header="0"/>
          <w:type w:val="continuous"/>
        </w:sectPr>
      </w:pPr>
    </w:p>
    <w:tbl>
      <w:tblPr>
        <w:tblLayout w:type="fixed"/>
        <w:tblInd w:w="0" w:type="dxa"/>
        <w:tblCellMar>
          <w:top w:w="0" w:type="dxa"/>
          <w:left w:w="0" w:type="dxa"/>
          <w:bottom w:w="0" w:type="dxa"/>
          <w:right w:w="0" w:type="dxa"/>
        </w:tblCellMar>
      </w:tblPr>
      <w:tr>
        <w:trPr>
          <w:trHeight w:val="394"/>
        </w:trPr>
        <w:tc>
          <w:tcPr>
            <w:tcW w:w="1400" w:type="dxa"/>
            <w:vAlign w:val="bottom"/>
          </w:tcPr>
          <w:p>
            <w:pPr>
              <w:jc w:val="right"/>
              <w:ind w:right="330"/>
              <w:spacing w:after="0"/>
              <w:rPr>
                <w:sz w:val="20"/>
                <w:szCs w:val="20"/>
                <w:color w:val="auto"/>
              </w:rPr>
            </w:pPr>
            <w:r>
              <w:rPr>
                <w:rFonts w:ascii="Arial" w:cs="Arial" w:eastAsia="Arial" w:hAnsi="Arial"/>
                <w:sz w:val="18"/>
                <w:szCs w:val="18"/>
                <w:color w:val="auto"/>
              </w:rPr>
              <w:t>10.1</w:t>
            </w:r>
          </w:p>
        </w:tc>
        <w:tc>
          <w:tcPr>
            <w:tcW w:w="10020" w:type="dxa"/>
            <w:vAlign w:val="bottom"/>
          </w:tcPr>
          <w:p>
            <w:pPr>
              <w:ind w:left="440"/>
              <w:spacing w:after="0"/>
              <w:rPr>
                <w:sz w:val="20"/>
                <w:szCs w:val="20"/>
                <w:color w:val="auto"/>
              </w:rPr>
            </w:pPr>
            <w:r>
              <w:rPr>
                <w:rFonts w:ascii="Arial" w:cs="Arial" w:eastAsia="Arial" w:hAnsi="Arial"/>
                <w:sz w:val="18"/>
                <w:szCs w:val="18"/>
                <w:color w:val="auto"/>
              </w:rPr>
              <w:t>Form of Dividend Reinvestment Plan</w:t>
            </w:r>
            <w:r>
              <w:rPr>
                <w:rFonts w:ascii="Arial" w:cs="Arial" w:eastAsia="Arial" w:hAnsi="Arial"/>
                <w:sz w:val="30"/>
                <w:szCs w:val="30"/>
                <w:color w:val="auto"/>
                <w:vertAlign w:val="superscript"/>
              </w:rPr>
              <w:t>(1)</w:t>
            </w:r>
          </w:p>
        </w:tc>
      </w:tr>
      <w:tr>
        <w:trPr>
          <w:trHeight w:val="459"/>
        </w:trPr>
        <w:tc>
          <w:tcPr>
            <w:tcW w:w="1400" w:type="dxa"/>
            <w:vAlign w:val="bottom"/>
          </w:tcPr>
          <w:p>
            <w:pPr>
              <w:jc w:val="right"/>
              <w:ind w:right="330"/>
              <w:spacing w:after="0"/>
              <w:rPr>
                <w:sz w:val="20"/>
                <w:szCs w:val="20"/>
                <w:color w:val="auto"/>
              </w:rPr>
            </w:pPr>
            <w:r>
              <w:rPr>
                <w:rFonts w:ascii="Arial" w:cs="Arial" w:eastAsia="Arial" w:hAnsi="Arial"/>
                <w:sz w:val="18"/>
                <w:szCs w:val="18"/>
                <w:color w:val="auto"/>
              </w:rPr>
              <w:t>10.2</w:t>
            </w:r>
          </w:p>
        </w:tc>
        <w:tc>
          <w:tcPr>
            <w:tcW w:w="10020" w:type="dxa"/>
            <w:vAlign w:val="bottom"/>
          </w:tcPr>
          <w:p>
            <w:pPr>
              <w:ind w:left="440"/>
              <w:spacing w:after="0"/>
              <w:rPr>
                <w:sz w:val="20"/>
                <w:szCs w:val="20"/>
                <w:color w:val="auto"/>
              </w:rPr>
            </w:pPr>
            <w:r>
              <w:rPr>
                <w:rFonts w:ascii="Arial" w:cs="Arial" w:eastAsia="Arial" w:hAnsi="Arial"/>
                <w:sz w:val="18"/>
                <w:szCs w:val="18"/>
                <w:color w:val="auto"/>
              </w:rPr>
              <w:t>Form of Investment Advisory Agreement by and between Registrant and Capitala Investment Advisors, LLC</w:t>
            </w:r>
            <w:r>
              <w:rPr>
                <w:rFonts w:ascii="Arial" w:cs="Arial" w:eastAsia="Arial" w:hAnsi="Arial"/>
                <w:sz w:val="30"/>
                <w:szCs w:val="30"/>
                <w:color w:val="auto"/>
                <w:vertAlign w:val="superscript"/>
              </w:rPr>
              <w:t>(1)</w:t>
            </w:r>
          </w:p>
        </w:tc>
      </w:tr>
      <w:tr>
        <w:trPr>
          <w:trHeight w:val="459"/>
        </w:trPr>
        <w:tc>
          <w:tcPr>
            <w:tcW w:w="1400" w:type="dxa"/>
            <w:vAlign w:val="bottom"/>
          </w:tcPr>
          <w:p>
            <w:pPr>
              <w:jc w:val="right"/>
              <w:ind w:right="330"/>
              <w:spacing w:after="0"/>
              <w:rPr>
                <w:sz w:val="20"/>
                <w:szCs w:val="20"/>
                <w:color w:val="auto"/>
              </w:rPr>
            </w:pPr>
            <w:r>
              <w:rPr>
                <w:rFonts w:ascii="Arial" w:cs="Arial" w:eastAsia="Arial" w:hAnsi="Arial"/>
                <w:sz w:val="18"/>
                <w:szCs w:val="18"/>
                <w:color w:val="auto"/>
              </w:rPr>
              <w:t>10.3</w:t>
            </w:r>
          </w:p>
        </w:tc>
        <w:tc>
          <w:tcPr>
            <w:tcW w:w="10020" w:type="dxa"/>
            <w:vAlign w:val="bottom"/>
          </w:tcPr>
          <w:p>
            <w:pPr>
              <w:ind w:left="440"/>
              <w:spacing w:after="0"/>
              <w:rPr>
                <w:sz w:val="20"/>
                <w:szCs w:val="20"/>
                <w:color w:val="auto"/>
              </w:rPr>
            </w:pPr>
            <w:r>
              <w:rPr>
                <w:rFonts w:ascii="Arial" w:cs="Arial" w:eastAsia="Arial" w:hAnsi="Arial"/>
                <w:sz w:val="18"/>
                <w:szCs w:val="18"/>
                <w:color w:val="auto"/>
              </w:rPr>
              <w:t>Form of Custodian Agreement</w:t>
            </w:r>
            <w:r>
              <w:rPr>
                <w:rFonts w:ascii="Arial" w:cs="Arial" w:eastAsia="Arial" w:hAnsi="Arial"/>
                <w:sz w:val="30"/>
                <w:szCs w:val="30"/>
                <w:color w:val="auto"/>
                <w:vertAlign w:val="superscript"/>
              </w:rPr>
              <w:t>(1)</w:t>
            </w:r>
          </w:p>
        </w:tc>
      </w:tr>
      <w:tr>
        <w:trPr>
          <w:trHeight w:val="459"/>
        </w:trPr>
        <w:tc>
          <w:tcPr>
            <w:tcW w:w="1400" w:type="dxa"/>
            <w:vAlign w:val="bottom"/>
          </w:tcPr>
          <w:p>
            <w:pPr>
              <w:jc w:val="right"/>
              <w:ind w:right="330"/>
              <w:spacing w:after="0"/>
              <w:rPr>
                <w:sz w:val="20"/>
                <w:szCs w:val="20"/>
                <w:color w:val="auto"/>
              </w:rPr>
            </w:pPr>
            <w:r>
              <w:rPr>
                <w:rFonts w:ascii="Arial" w:cs="Arial" w:eastAsia="Arial" w:hAnsi="Arial"/>
                <w:sz w:val="18"/>
                <w:szCs w:val="18"/>
                <w:color w:val="auto"/>
              </w:rPr>
              <w:t>10.4</w:t>
            </w:r>
          </w:p>
        </w:tc>
        <w:tc>
          <w:tcPr>
            <w:tcW w:w="10020" w:type="dxa"/>
            <w:vAlign w:val="bottom"/>
          </w:tcPr>
          <w:p>
            <w:pPr>
              <w:ind w:left="440"/>
              <w:spacing w:after="0"/>
              <w:rPr>
                <w:sz w:val="20"/>
                <w:szCs w:val="20"/>
                <w:color w:val="auto"/>
              </w:rPr>
            </w:pPr>
            <w:r>
              <w:rPr>
                <w:rFonts w:ascii="Arial" w:cs="Arial" w:eastAsia="Arial" w:hAnsi="Arial"/>
                <w:sz w:val="18"/>
                <w:szCs w:val="18"/>
                <w:color w:val="auto"/>
              </w:rPr>
              <w:t>Form of Administration Agreement by and between Registrant and Capitala Advisors Corp.</w:t>
            </w:r>
            <w:r>
              <w:rPr>
                <w:rFonts w:ascii="Arial" w:cs="Arial" w:eastAsia="Arial" w:hAnsi="Arial"/>
                <w:sz w:val="30"/>
                <w:szCs w:val="30"/>
                <w:color w:val="auto"/>
                <w:vertAlign w:val="superscript"/>
              </w:rPr>
              <w:t>(1)</w:t>
            </w:r>
          </w:p>
        </w:tc>
      </w:tr>
      <w:tr>
        <w:trPr>
          <w:trHeight w:val="459"/>
        </w:trPr>
        <w:tc>
          <w:tcPr>
            <w:tcW w:w="1400" w:type="dxa"/>
            <w:vAlign w:val="bottom"/>
          </w:tcPr>
          <w:p>
            <w:pPr>
              <w:jc w:val="right"/>
              <w:ind w:right="330"/>
              <w:spacing w:after="0"/>
              <w:rPr>
                <w:sz w:val="20"/>
                <w:szCs w:val="20"/>
                <w:color w:val="auto"/>
              </w:rPr>
            </w:pPr>
            <w:r>
              <w:rPr>
                <w:rFonts w:ascii="Arial" w:cs="Arial" w:eastAsia="Arial" w:hAnsi="Arial"/>
                <w:sz w:val="18"/>
                <w:szCs w:val="18"/>
                <w:color w:val="auto"/>
              </w:rPr>
              <w:t>10.5</w:t>
            </w:r>
          </w:p>
        </w:tc>
        <w:tc>
          <w:tcPr>
            <w:tcW w:w="10020" w:type="dxa"/>
            <w:vAlign w:val="bottom"/>
          </w:tcPr>
          <w:p>
            <w:pPr>
              <w:ind w:left="440"/>
              <w:spacing w:after="0"/>
              <w:rPr>
                <w:sz w:val="20"/>
                <w:szCs w:val="20"/>
                <w:color w:val="auto"/>
              </w:rPr>
            </w:pPr>
            <w:r>
              <w:rPr>
                <w:rFonts w:ascii="Arial" w:cs="Arial" w:eastAsia="Arial" w:hAnsi="Arial"/>
                <w:sz w:val="18"/>
                <w:szCs w:val="18"/>
                <w:color w:val="auto"/>
              </w:rPr>
              <w:t>Form of Indemnification Agreement by and between Registrant and each of its directors</w:t>
            </w:r>
            <w:r>
              <w:rPr>
                <w:rFonts w:ascii="Arial" w:cs="Arial" w:eastAsia="Arial" w:hAnsi="Arial"/>
                <w:sz w:val="30"/>
                <w:szCs w:val="30"/>
                <w:color w:val="auto"/>
                <w:vertAlign w:val="superscript"/>
              </w:rPr>
              <w:t>(1)</w:t>
            </w:r>
          </w:p>
        </w:tc>
      </w:tr>
      <w:tr>
        <w:trPr>
          <w:trHeight w:val="459"/>
        </w:trPr>
        <w:tc>
          <w:tcPr>
            <w:tcW w:w="1400" w:type="dxa"/>
            <w:vAlign w:val="bottom"/>
          </w:tcPr>
          <w:p>
            <w:pPr>
              <w:jc w:val="right"/>
              <w:ind w:right="330"/>
              <w:spacing w:after="0"/>
              <w:rPr>
                <w:sz w:val="20"/>
                <w:szCs w:val="20"/>
                <w:color w:val="auto"/>
              </w:rPr>
            </w:pPr>
            <w:r>
              <w:rPr>
                <w:rFonts w:ascii="Arial" w:cs="Arial" w:eastAsia="Arial" w:hAnsi="Arial"/>
                <w:sz w:val="18"/>
                <w:szCs w:val="18"/>
                <w:color w:val="auto"/>
              </w:rPr>
              <w:t>10.6</w:t>
            </w:r>
          </w:p>
        </w:tc>
        <w:tc>
          <w:tcPr>
            <w:tcW w:w="10020" w:type="dxa"/>
            <w:vAlign w:val="bottom"/>
          </w:tcPr>
          <w:p>
            <w:pPr>
              <w:ind w:left="440"/>
              <w:spacing w:after="0"/>
              <w:rPr>
                <w:sz w:val="20"/>
                <w:szCs w:val="20"/>
                <w:color w:val="auto"/>
              </w:rPr>
            </w:pPr>
            <w:r>
              <w:rPr>
                <w:rFonts w:ascii="Arial" w:cs="Arial" w:eastAsia="Arial" w:hAnsi="Arial"/>
                <w:sz w:val="18"/>
                <w:szCs w:val="18"/>
                <w:color w:val="auto"/>
              </w:rPr>
              <w:t>Form of Trademark License Agreement by and between Registrant and Capitala Investment Advisors, LLC</w:t>
            </w:r>
            <w:r>
              <w:rPr>
                <w:rFonts w:ascii="Arial" w:cs="Arial" w:eastAsia="Arial" w:hAnsi="Arial"/>
                <w:sz w:val="30"/>
                <w:szCs w:val="30"/>
                <w:color w:val="auto"/>
                <w:vertAlign w:val="superscript"/>
              </w:rPr>
              <w:t>(1)</w:t>
            </w:r>
          </w:p>
        </w:tc>
      </w:tr>
      <w:tr>
        <w:trPr>
          <w:trHeight w:val="285"/>
        </w:trPr>
        <w:tc>
          <w:tcPr>
            <w:tcW w:w="1400" w:type="dxa"/>
            <w:vAlign w:val="bottom"/>
          </w:tcPr>
          <w:p>
            <w:pPr>
              <w:jc w:val="right"/>
              <w:ind w:right="330"/>
              <w:spacing w:after="0"/>
              <w:rPr>
                <w:sz w:val="20"/>
                <w:szCs w:val="20"/>
                <w:color w:val="auto"/>
              </w:rPr>
            </w:pPr>
            <w:r>
              <w:rPr>
                <w:rFonts w:ascii="Arial" w:cs="Arial" w:eastAsia="Arial" w:hAnsi="Arial"/>
                <w:sz w:val="18"/>
                <w:szCs w:val="18"/>
                <w:color w:val="auto"/>
              </w:rPr>
              <w:t>10.7</w:t>
            </w:r>
          </w:p>
        </w:tc>
        <w:tc>
          <w:tcPr>
            <w:tcW w:w="10020" w:type="dxa"/>
            <w:vAlign w:val="bottom"/>
          </w:tcPr>
          <w:p>
            <w:pPr>
              <w:ind w:left="440"/>
              <w:spacing w:after="0"/>
              <w:rPr>
                <w:sz w:val="20"/>
                <w:szCs w:val="20"/>
                <w:color w:val="auto"/>
              </w:rPr>
            </w:pPr>
            <w:r>
              <w:rPr>
                <w:rFonts w:ascii="Arial" w:cs="Arial" w:eastAsia="Arial" w:hAnsi="Arial"/>
                <w:sz w:val="18"/>
                <w:szCs w:val="18"/>
                <w:color w:val="auto"/>
                <w:w w:val="94"/>
              </w:rPr>
              <w:t>Form of Senior Secured Revolving Credit Agreement dated October 17, 2014, among Capitala Finance Corp., as Borrower, the</w:t>
            </w:r>
          </w:p>
        </w:tc>
      </w:tr>
      <w:tr>
        <w:trPr>
          <w:trHeight w:val="390"/>
        </w:trPr>
        <w:tc>
          <w:tcPr>
            <w:tcW w:w="1400" w:type="dxa"/>
            <w:vAlign w:val="bottom"/>
          </w:tcPr>
          <w:p>
            <w:pPr>
              <w:spacing w:after="0"/>
              <w:rPr>
                <w:sz w:val="24"/>
                <w:szCs w:val="24"/>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rPr>
              <w:t>lenders party thereto, and ING Capital LLC, as Administrative Agent, Arranger and Bookrunner</w:t>
            </w:r>
            <w:r>
              <w:rPr>
                <w:rFonts w:ascii="Arial" w:cs="Arial" w:eastAsia="Arial" w:hAnsi="Arial"/>
                <w:sz w:val="30"/>
                <w:szCs w:val="30"/>
                <w:color w:val="auto"/>
                <w:vertAlign w:val="superscript"/>
              </w:rPr>
              <w:t>(5)</w:t>
            </w:r>
          </w:p>
        </w:tc>
      </w:tr>
      <w:tr>
        <w:trPr>
          <w:trHeight w:val="281"/>
        </w:trPr>
        <w:tc>
          <w:tcPr>
            <w:tcW w:w="1400" w:type="dxa"/>
            <w:vAlign w:val="bottom"/>
          </w:tcPr>
          <w:p>
            <w:pPr>
              <w:jc w:val="right"/>
              <w:ind w:right="330"/>
              <w:spacing w:after="0"/>
              <w:rPr>
                <w:sz w:val="20"/>
                <w:szCs w:val="20"/>
                <w:color w:val="auto"/>
              </w:rPr>
            </w:pPr>
            <w:r>
              <w:rPr>
                <w:rFonts w:ascii="Arial" w:cs="Arial" w:eastAsia="Arial" w:hAnsi="Arial"/>
                <w:sz w:val="18"/>
                <w:szCs w:val="18"/>
                <w:color w:val="auto"/>
              </w:rPr>
              <w:t>10.8</w:t>
            </w:r>
          </w:p>
        </w:tc>
        <w:tc>
          <w:tcPr>
            <w:tcW w:w="10020" w:type="dxa"/>
            <w:vAlign w:val="bottom"/>
          </w:tcPr>
          <w:p>
            <w:pPr>
              <w:ind w:left="480"/>
              <w:spacing w:after="0"/>
              <w:rPr>
                <w:sz w:val="20"/>
                <w:szCs w:val="20"/>
                <w:color w:val="auto"/>
              </w:rPr>
            </w:pPr>
            <w:r>
              <w:rPr>
                <w:rFonts w:ascii="Arial" w:cs="Arial" w:eastAsia="Arial" w:hAnsi="Arial"/>
                <w:sz w:val="18"/>
                <w:szCs w:val="18"/>
                <w:color w:val="auto"/>
                <w:w w:val="94"/>
              </w:rPr>
              <w:t>Form of Guarantee, Pledge and Security Agreement dated October 17, 2014, among Capitala Finance Corp., as Borrower, the</w:t>
            </w:r>
          </w:p>
        </w:tc>
      </w:tr>
      <w:tr>
        <w:trPr>
          <w:trHeight w:val="220"/>
        </w:trPr>
        <w:tc>
          <w:tcPr>
            <w:tcW w:w="1400" w:type="dxa"/>
            <w:vAlign w:val="bottom"/>
          </w:tcPr>
          <w:p>
            <w:pPr>
              <w:spacing w:after="0"/>
              <w:rPr>
                <w:sz w:val="19"/>
                <w:szCs w:val="19"/>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w w:val="98"/>
              </w:rPr>
              <w:t>subsidiary guarantors party thereto, ING Capital LLC, as Revolving Administrative Agent for the Revolving Lenders and as</w:t>
            </w:r>
          </w:p>
        </w:tc>
      </w:tr>
      <w:tr>
        <w:trPr>
          <w:trHeight w:val="390"/>
        </w:trPr>
        <w:tc>
          <w:tcPr>
            <w:tcW w:w="1400" w:type="dxa"/>
            <w:vAlign w:val="bottom"/>
          </w:tcPr>
          <w:p>
            <w:pPr>
              <w:spacing w:after="0"/>
              <w:rPr>
                <w:sz w:val="24"/>
                <w:szCs w:val="24"/>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rPr>
              <w:t>Collateral Agent, and each Financing Agent and Designated Indebtedness Holder party thereto</w:t>
            </w:r>
            <w:r>
              <w:rPr>
                <w:rFonts w:ascii="Arial" w:cs="Arial" w:eastAsia="Arial" w:hAnsi="Arial"/>
                <w:sz w:val="30"/>
                <w:szCs w:val="30"/>
                <w:color w:val="auto"/>
                <w:vertAlign w:val="superscript"/>
              </w:rPr>
              <w:t>(5)</w:t>
            </w:r>
          </w:p>
        </w:tc>
      </w:tr>
      <w:tr>
        <w:trPr>
          <w:trHeight w:val="281"/>
        </w:trPr>
        <w:tc>
          <w:tcPr>
            <w:tcW w:w="1400" w:type="dxa"/>
            <w:vAlign w:val="bottom"/>
          </w:tcPr>
          <w:p>
            <w:pPr>
              <w:jc w:val="right"/>
              <w:ind w:right="330"/>
              <w:spacing w:after="0"/>
              <w:rPr>
                <w:sz w:val="20"/>
                <w:szCs w:val="20"/>
                <w:color w:val="auto"/>
              </w:rPr>
            </w:pPr>
            <w:r>
              <w:rPr>
                <w:rFonts w:ascii="Arial" w:cs="Arial" w:eastAsia="Arial" w:hAnsi="Arial"/>
                <w:sz w:val="18"/>
                <w:szCs w:val="18"/>
                <w:color w:val="auto"/>
              </w:rPr>
              <w:t>10.9</w:t>
            </w:r>
          </w:p>
        </w:tc>
        <w:tc>
          <w:tcPr>
            <w:tcW w:w="10020" w:type="dxa"/>
            <w:vAlign w:val="bottom"/>
          </w:tcPr>
          <w:p>
            <w:pPr>
              <w:ind w:left="440"/>
              <w:spacing w:after="0"/>
              <w:rPr>
                <w:sz w:val="20"/>
                <w:szCs w:val="20"/>
                <w:color w:val="auto"/>
              </w:rPr>
            </w:pPr>
            <w:r>
              <w:rPr>
                <w:rFonts w:ascii="Arial" w:cs="Arial" w:eastAsia="Arial" w:hAnsi="Arial"/>
                <w:sz w:val="18"/>
                <w:szCs w:val="18"/>
                <w:color w:val="auto"/>
                <w:w w:val="93"/>
              </w:rPr>
              <w:t>Form of Incremental Assumption Agreement, dated January 6, 2015, relating to the Senior Secured Revolving Credit Agreement,</w:t>
            </w:r>
          </w:p>
        </w:tc>
      </w:tr>
      <w:tr>
        <w:trPr>
          <w:trHeight w:val="220"/>
        </w:trPr>
        <w:tc>
          <w:tcPr>
            <w:tcW w:w="1400" w:type="dxa"/>
            <w:vAlign w:val="bottom"/>
          </w:tcPr>
          <w:p>
            <w:pPr>
              <w:spacing w:after="0"/>
              <w:rPr>
                <w:sz w:val="19"/>
                <w:szCs w:val="19"/>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w w:val="94"/>
              </w:rPr>
              <w:t>dated as of October 17, 2014, among Capitala Finance Corp., as borrower, the lenders from time to time party thereto, and ING</w:t>
            </w:r>
          </w:p>
        </w:tc>
      </w:tr>
      <w:tr>
        <w:trPr>
          <w:trHeight w:val="390"/>
        </w:trPr>
        <w:tc>
          <w:tcPr>
            <w:tcW w:w="1400" w:type="dxa"/>
            <w:vAlign w:val="bottom"/>
          </w:tcPr>
          <w:p>
            <w:pPr>
              <w:spacing w:after="0"/>
              <w:rPr>
                <w:sz w:val="24"/>
                <w:szCs w:val="24"/>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rPr>
              <w:t>Capital LLC, as administrative agent, arranger and bookrunner</w:t>
            </w:r>
            <w:r>
              <w:rPr>
                <w:rFonts w:ascii="Arial" w:cs="Arial" w:eastAsia="Arial" w:hAnsi="Arial"/>
                <w:sz w:val="30"/>
                <w:szCs w:val="30"/>
                <w:color w:val="auto"/>
                <w:vertAlign w:val="superscript"/>
              </w:rPr>
              <w:t>(6)</w:t>
            </w:r>
          </w:p>
        </w:tc>
      </w:tr>
      <w:tr>
        <w:trPr>
          <w:trHeight w:val="755"/>
        </w:trPr>
        <w:tc>
          <w:tcPr>
            <w:tcW w:w="140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220"/>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420"/>
          </w:cols>
          <w:pgMar w:left="240" w:top="864" w:right="239" w:bottom="1440" w:gutter="0" w:footer="0" w:header="0"/>
          <w:type w:val="continuous"/>
        </w:sectPr>
      </w:pPr>
    </w:p>
    <w:bookmarkStart w:id="65" w:name="page66"/>
    <w:bookmarkEnd w:id="65"/>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20"/>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9820" w:type="dxa"/>
            <w:vAlign w:val="bottom"/>
          </w:tcPr>
          <w:p>
            <w:pPr>
              <w:ind w:left="400"/>
              <w:spacing w:after="0"/>
              <w:rPr>
                <w:sz w:val="20"/>
                <w:szCs w:val="20"/>
                <w:color w:val="auto"/>
              </w:rPr>
            </w:pPr>
            <w:r>
              <w:rPr>
                <w:rFonts w:ascii="Arial" w:cs="Arial" w:eastAsia="Arial" w:hAnsi="Arial"/>
                <w:sz w:val="18"/>
                <w:szCs w:val="18"/>
                <w:color w:val="auto"/>
                <w:w w:val="92"/>
              </w:rPr>
              <w:t>First Amended and Restated Limited Liability Company Agreement of Capitala Senior Liquid Loan Fund I, LLC, dated March 24,</w:t>
            </w:r>
          </w:p>
        </w:tc>
      </w:tr>
      <w:tr>
        <w:trPr>
          <w:trHeight w:val="390"/>
        </w:trPr>
        <w:tc>
          <w:tcPr>
            <w:tcW w:w="780" w:type="dxa"/>
            <w:vAlign w:val="bottom"/>
          </w:tcPr>
          <w:p>
            <w:pPr>
              <w:spacing w:after="0"/>
              <w:rPr>
                <w:sz w:val="24"/>
                <w:szCs w:val="24"/>
                <w:color w:val="auto"/>
              </w:rPr>
            </w:pPr>
          </w:p>
        </w:tc>
        <w:tc>
          <w:tcPr>
            <w:tcW w:w="9820" w:type="dxa"/>
            <w:vAlign w:val="bottom"/>
          </w:tcPr>
          <w:p>
            <w:pPr>
              <w:ind w:left="400"/>
              <w:spacing w:after="0"/>
              <w:rPr>
                <w:sz w:val="20"/>
                <w:szCs w:val="20"/>
                <w:color w:val="auto"/>
              </w:rPr>
            </w:pPr>
            <w:r>
              <w:rPr>
                <w:rFonts w:ascii="Arial" w:cs="Arial" w:eastAsia="Arial" w:hAnsi="Arial"/>
                <w:sz w:val="18"/>
                <w:szCs w:val="18"/>
                <w:color w:val="auto"/>
              </w:rPr>
              <w:t>2015</w:t>
            </w:r>
            <w:r>
              <w:rPr>
                <w:rFonts w:ascii="Arial" w:cs="Arial" w:eastAsia="Arial" w:hAnsi="Arial"/>
                <w:sz w:val="30"/>
                <w:szCs w:val="30"/>
                <w:color w:val="auto"/>
                <w:vertAlign w:val="superscript"/>
              </w:rPr>
              <w:t>(7)</w:t>
            </w:r>
          </w:p>
        </w:tc>
      </w:tr>
      <w:tr>
        <w:trPr>
          <w:trHeight w:val="296"/>
        </w:trPr>
        <w:tc>
          <w:tcPr>
            <w:tcW w:w="780" w:type="dxa"/>
            <w:vAlign w:val="bottom"/>
          </w:tcPr>
          <w:p>
            <w:pPr>
              <w:spacing w:after="0"/>
              <w:rPr>
                <w:sz w:val="20"/>
                <w:szCs w:val="20"/>
                <w:color w:val="auto"/>
              </w:rPr>
            </w:pPr>
            <w:r>
              <w:rPr>
                <w:rFonts w:ascii="Arial" w:cs="Arial" w:eastAsia="Arial" w:hAnsi="Arial"/>
                <w:sz w:val="18"/>
                <w:szCs w:val="18"/>
                <w:color w:val="auto"/>
              </w:rPr>
              <w:t>11.1</w:t>
            </w:r>
          </w:p>
        </w:tc>
        <w:tc>
          <w:tcPr>
            <w:tcW w:w="9820" w:type="dxa"/>
            <w:vAlign w:val="bottom"/>
          </w:tcPr>
          <w:p>
            <w:pPr>
              <w:ind w:left="400"/>
              <w:spacing w:after="0"/>
              <w:rPr>
                <w:sz w:val="20"/>
                <w:szCs w:val="20"/>
                <w:color w:val="auto"/>
              </w:rPr>
            </w:pPr>
            <w:r>
              <w:rPr>
                <w:rFonts w:ascii="Arial" w:cs="Arial" w:eastAsia="Arial" w:hAnsi="Arial"/>
                <w:sz w:val="18"/>
                <w:szCs w:val="18"/>
                <w:color w:val="auto"/>
                <w:w w:val="96"/>
              </w:rPr>
              <w:t>Computation of Per Share Earnings (included in the notes to the consolidated financial statements contained in this report)</w:t>
            </w:r>
          </w:p>
        </w:tc>
      </w:tr>
      <w:tr>
        <w:trPr>
          <w:trHeight w:val="404"/>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9820" w:type="dxa"/>
            <w:vAlign w:val="bottom"/>
          </w:tcPr>
          <w:p>
            <w:pPr>
              <w:ind w:left="400"/>
              <w:spacing w:after="0"/>
              <w:rPr>
                <w:sz w:val="20"/>
                <w:szCs w:val="20"/>
                <w:color w:val="auto"/>
              </w:rPr>
            </w:pPr>
            <w:r>
              <w:rPr>
                <w:rFonts w:ascii="Arial" w:cs="Arial" w:eastAsia="Arial" w:hAnsi="Arial"/>
                <w:sz w:val="18"/>
                <w:szCs w:val="18"/>
                <w:color w:val="auto"/>
                <w:w w:val="93"/>
              </w:rPr>
              <w:t>Certification of Chief Executive Officer pursuant to Rule 13a-14 of the Securities Exchange Act of 1934, as adopted pursuant to</w:t>
            </w:r>
          </w:p>
        </w:tc>
      </w:tr>
      <w:tr>
        <w:trPr>
          <w:trHeight w:val="230"/>
        </w:trPr>
        <w:tc>
          <w:tcPr>
            <w:tcW w:w="780" w:type="dxa"/>
            <w:vAlign w:val="bottom"/>
          </w:tcPr>
          <w:p>
            <w:pPr>
              <w:spacing w:after="0"/>
              <w:rPr>
                <w:sz w:val="20"/>
                <w:szCs w:val="20"/>
                <w:color w:val="auto"/>
              </w:rPr>
            </w:pPr>
          </w:p>
        </w:tc>
        <w:tc>
          <w:tcPr>
            <w:tcW w:w="9820" w:type="dxa"/>
            <w:vAlign w:val="bottom"/>
          </w:tcPr>
          <w:p>
            <w:pPr>
              <w:ind w:left="40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404"/>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9820" w:type="dxa"/>
            <w:vAlign w:val="bottom"/>
          </w:tcPr>
          <w:p>
            <w:pPr>
              <w:ind w:left="400"/>
              <w:spacing w:after="0"/>
              <w:rPr>
                <w:sz w:val="20"/>
                <w:szCs w:val="20"/>
                <w:color w:val="auto"/>
              </w:rPr>
            </w:pPr>
            <w:r>
              <w:rPr>
                <w:rFonts w:ascii="Arial" w:cs="Arial" w:eastAsia="Arial" w:hAnsi="Arial"/>
                <w:sz w:val="18"/>
                <w:szCs w:val="18"/>
                <w:color w:val="auto"/>
                <w:w w:val="93"/>
              </w:rPr>
              <w:t>Certification of Chief Financial Officer pursuant to Rule 13a-14 of the Securities Exchange Act of 1934, as adopted pursuant to</w:t>
            </w:r>
          </w:p>
        </w:tc>
      </w:tr>
      <w:tr>
        <w:trPr>
          <w:trHeight w:val="230"/>
        </w:trPr>
        <w:tc>
          <w:tcPr>
            <w:tcW w:w="780" w:type="dxa"/>
            <w:vAlign w:val="bottom"/>
          </w:tcPr>
          <w:p>
            <w:pPr>
              <w:spacing w:after="0"/>
              <w:rPr>
                <w:sz w:val="20"/>
                <w:szCs w:val="20"/>
                <w:color w:val="auto"/>
              </w:rPr>
            </w:pPr>
          </w:p>
        </w:tc>
        <w:tc>
          <w:tcPr>
            <w:tcW w:w="9820" w:type="dxa"/>
            <w:vAlign w:val="bottom"/>
          </w:tcPr>
          <w:p>
            <w:pPr>
              <w:ind w:left="40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404"/>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9820" w:type="dxa"/>
            <w:vAlign w:val="bottom"/>
          </w:tcPr>
          <w:p>
            <w:pPr>
              <w:ind w:left="400"/>
              <w:spacing w:after="0"/>
              <w:rPr>
                <w:sz w:val="20"/>
                <w:szCs w:val="20"/>
                <w:color w:val="auto"/>
              </w:rPr>
            </w:pPr>
            <w:r>
              <w:rPr>
                <w:rFonts w:ascii="Arial" w:cs="Arial" w:eastAsia="Arial" w:hAnsi="Arial"/>
                <w:sz w:val="18"/>
                <w:szCs w:val="18"/>
                <w:color w:val="auto"/>
                <w:w w:val="91"/>
              </w:rPr>
              <w:t>Certification of Chief Executive Officer 18 U.S.C. Section 1350, as adopted pursuant to section 906 of the Sarbanes-Oxley Act of</w:t>
            </w:r>
          </w:p>
        </w:tc>
      </w:tr>
      <w:tr>
        <w:trPr>
          <w:trHeight w:val="230"/>
        </w:trPr>
        <w:tc>
          <w:tcPr>
            <w:tcW w:w="780" w:type="dxa"/>
            <w:vAlign w:val="bottom"/>
          </w:tcPr>
          <w:p>
            <w:pPr>
              <w:spacing w:after="0"/>
              <w:rPr>
                <w:sz w:val="20"/>
                <w:szCs w:val="20"/>
                <w:color w:val="auto"/>
              </w:rPr>
            </w:pPr>
          </w:p>
        </w:tc>
        <w:tc>
          <w:tcPr>
            <w:tcW w:w="9820" w:type="dxa"/>
            <w:vAlign w:val="bottom"/>
          </w:tcPr>
          <w:p>
            <w:pPr>
              <w:ind w:left="400"/>
              <w:spacing w:after="0"/>
              <w:rPr>
                <w:sz w:val="20"/>
                <w:szCs w:val="20"/>
                <w:color w:val="auto"/>
              </w:rPr>
            </w:pPr>
            <w:r>
              <w:rPr>
                <w:rFonts w:ascii="Arial" w:cs="Arial" w:eastAsia="Arial" w:hAnsi="Arial"/>
                <w:sz w:val="18"/>
                <w:szCs w:val="18"/>
                <w:color w:val="auto"/>
              </w:rPr>
              <w:t>2002 (filed herewith)</w:t>
            </w:r>
          </w:p>
        </w:tc>
      </w:tr>
      <w:tr>
        <w:trPr>
          <w:trHeight w:val="404"/>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9820" w:type="dxa"/>
            <w:vAlign w:val="bottom"/>
          </w:tcPr>
          <w:p>
            <w:pPr>
              <w:ind w:left="400"/>
              <w:spacing w:after="0"/>
              <w:rPr>
                <w:sz w:val="20"/>
                <w:szCs w:val="20"/>
                <w:color w:val="auto"/>
              </w:rPr>
            </w:pPr>
            <w:r>
              <w:rPr>
                <w:rFonts w:ascii="Arial" w:cs="Arial" w:eastAsia="Arial" w:hAnsi="Arial"/>
                <w:sz w:val="18"/>
                <w:szCs w:val="18"/>
                <w:color w:val="auto"/>
                <w:w w:val="92"/>
              </w:rPr>
              <w:t>Certification of Chief Financial Officer 18 U.S.C. Section 1350, as adopted pursuant to section 906 of the Sarbanes-Oxley Act of</w:t>
            </w:r>
          </w:p>
        </w:tc>
      </w:tr>
      <w:tr>
        <w:trPr>
          <w:trHeight w:val="230"/>
        </w:trPr>
        <w:tc>
          <w:tcPr>
            <w:tcW w:w="780" w:type="dxa"/>
            <w:vAlign w:val="bottom"/>
          </w:tcPr>
          <w:p>
            <w:pPr>
              <w:spacing w:after="0"/>
              <w:rPr>
                <w:sz w:val="20"/>
                <w:szCs w:val="20"/>
                <w:color w:val="auto"/>
              </w:rPr>
            </w:pPr>
          </w:p>
        </w:tc>
        <w:tc>
          <w:tcPr>
            <w:tcW w:w="9820" w:type="dxa"/>
            <w:vAlign w:val="bottom"/>
          </w:tcPr>
          <w:p>
            <w:pPr>
              <w:ind w:left="400"/>
              <w:spacing w:after="0"/>
              <w:rPr>
                <w:sz w:val="20"/>
                <w:szCs w:val="20"/>
                <w:color w:val="auto"/>
              </w:rPr>
            </w:pPr>
            <w:r>
              <w:rPr>
                <w:rFonts w:ascii="Arial" w:cs="Arial" w:eastAsia="Arial" w:hAnsi="Arial"/>
                <w:sz w:val="18"/>
                <w:szCs w:val="18"/>
                <w:color w:val="auto"/>
              </w:rPr>
              <w:t>2002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17068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744" w:right="80" w:hanging="744"/>
        <w:spacing w:after="0" w:line="277" w:lineRule="auto"/>
        <w:tabs>
          <w:tab w:leader="none" w:pos="7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in connection with the Pre-Effective Amendment No. 1 to Capitala Finance Corp.’s registration statement on Form N-2 (File No. 333-188956) filed on September 9, 2013.</w:t>
      </w:r>
    </w:p>
    <w:p>
      <w:pPr>
        <w:spacing w:after="0" w:line="170" w:lineRule="exact"/>
        <w:rPr>
          <w:rFonts w:ascii="Arial" w:cs="Arial" w:eastAsia="Arial" w:hAnsi="Arial"/>
          <w:sz w:val="18"/>
          <w:szCs w:val="18"/>
          <w:color w:val="auto"/>
        </w:rPr>
      </w:pPr>
    </w:p>
    <w:p>
      <w:pPr>
        <w:ind w:left="744" w:right="360" w:hanging="744"/>
        <w:spacing w:after="0" w:line="277" w:lineRule="auto"/>
        <w:tabs>
          <w:tab w:leader="none" w:pos="7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333-188956) filed on September 16, 2013.</w:t>
      </w:r>
    </w:p>
    <w:p>
      <w:pPr>
        <w:spacing w:after="0" w:line="170" w:lineRule="exact"/>
        <w:rPr>
          <w:rFonts w:ascii="Arial" w:cs="Arial" w:eastAsia="Arial" w:hAnsi="Arial"/>
          <w:sz w:val="18"/>
          <w:szCs w:val="18"/>
          <w:color w:val="auto"/>
        </w:rPr>
      </w:pPr>
    </w:p>
    <w:p>
      <w:pPr>
        <w:ind w:left="744" w:right="360" w:hanging="744"/>
        <w:spacing w:after="0" w:line="277" w:lineRule="auto"/>
        <w:tabs>
          <w:tab w:leader="none" w:pos="7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5 to Capitala Finance Corp.’s registration statement on Form N-2 (File No. 333-188956) filed on September 24, 2013.</w:t>
      </w:r>
    </w:p>
    <w:p>
      <w:pPr>
        <w:spacing w:after="0" w:line="170" w:lineRule="exact"/>
        <w:rPr>
          <w:rFonts w:ascii="Arial" w:cs="Arial" w:eastAsia="Arial" w:hAnsi="Arial"/>
          <w:sz w:val="18"/>
          <w:szCs w:val="18"/>
          <w:color w:val="auto"/>
        </w:rPr>
      </w:pPr>
    </w:p>
    <w:p>
      <w:pPr>
        <w:ind w:left="744" w:right="360" w:hanging="744"/>
        <w:spacing w:after="0" w:line="277" w:lineRule="auto"/>
        <w:tabs>
          <w:tab w:leader="none" w:pos="7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333-193374) filed on May 21, 2014.</w:t>
      </w:r>
    </w:p>
    <w:p>
      <w:pPr>
        <w:spacing w:after="0" w:line="170" w:lineRule="exact"/>
        <w:rPr>
          <w:rFonts w:ascii="Arial" w:cs="Arial" w:eastAsia="Arial" w:hAnsi="Arial"/>
          <w:sz w:val="18"/>
          <w:szCs w:val="18"/>
          <w:color w:val="auto"/>
        </w:rPr>
      </w:pPr>
    </w:p>
    <w:p>
      <w:pPr>
        <w:ind w:left="744" w:hanging="744"/>
        <w:spacing w:after="0"/>
        <w:tabs>
          <w:tab w:leader="none" w:pos="7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October 21, 2014.</w:t>
      </w:r>
    </w:p>
    <w:p>
      <w:pPr>
        <w:spacing w:after="0" w:line="225" w:lineRule="exact"/>
        <w:rPr>
          <w:rFonts w:ascii="Arial" w:cs="Arial" w:eastAsia="Arial" w:hAnsi="Arial"/>
          <w:sz w:val="18"/>
          <w:szCs w:val="18"/>
          <w:color w:val="auto"/>
        </w:rPr>
      </w:pPr>
    </w:p>
    <w:p>
      <w:pPr>
        <w:ind w:left="744" w:hanging="744"/>
        <w:spacing w:after="0"/>
        <w:tabs>
          <w:tab w:leader="none" w:pos="7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January 8, 2015.</w:t>
      </w:r>
    </w:p>
    <w:p>
      <w:pPr>
        <w:spacing w:after="0" w:line="225" w:lineRule="exact"/>
        <w:rPr>
          <w:rFonts w:ascii="Arial" w:cs="Arial" w:eastAsia="Arial" w:hAnsi="Arial"/>
          <w:sz w:val="18"/>
          <w:szCs w:val="18"/>
          <w:color w:val="auto"/>
        </w:rPr>
      </w:pPr>
    </w:p>
    <w:p>
      <w:pPr>
        <w:ind w:left="744" w:hanging="744"/>
        <w:spacing w:after="0"/>
        <w:tabs>
          <w:tab w:leader="none" w:pos="7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March 24, 2015.</w:t>
      </w:r>
    </w:p>
    <w:p>
      <w:pPr>
        <w:spacing w:after="0" w:line="200" w:lineRule="exact"/>
        <w:rPr>
          <w:sz w:val="20"/>
          <w:szCs w:val="20"/>
          <w:color w:val="auto"/>
        </w:rPr>
      </w:pPr>
    </w:p>
    <w:p>
      <w:pPr>
        <w:spacing w:after="0" w:line="241" w:lineRule="exact"/>
        <w:rPr>
          <w:sz w:val="20"/>
          <w:szCs w:val="20"/>
          <w:color w:val="auto"/>
        </w:rPr>
      </w:pPr>
    </w:p>
    <w:p>
      <w:pPr>
        <w:jc w:val="center"/>
        <w:ind w:right="476"/>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23495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4"/>
          </w:cols>
          <w:pgMar w:left="896" w:top="908" w:right="39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firstLine="8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11, 2015</w:t>
            </w:r>
          </w:p>
        </w:tc>
        <w:tc>
          <w:tcPr>
            <w:tcW w:w="7880" w:type="dxa"/>
            <w:vAlign w:val="bottom"/>
            <w:gridSpan w:val="2"/>
          </w:tcPr>
          <w:p>
            <w:pPr>
              <w:ind w:left="2460"/>
              <w:spacing w:after="0"/>
              <w:rPr>
                <w:sz w:val="20"/>
                <w:szCs w:val="20"/>
                <w:color w:val="auto"/>
              </w:rPr>
            </w:pPr>
            <w:r>
              <w:rPr>
                <w:rFonts w:ascii="Arial" w:cs="Arial" w:eastAsia="Arial" w:hAnsi="Arial"/>
                <w:sz w:val="18"/>
                <w:szCs w:val="18"/>
                <w:color w:val="auto"/>
              </w:rPr>
              <w:t>By/s/ Joseph B. Alala III</w:t>
            </w:r>
          </w:p>
        </w:tc>
      </w:tr>
      <w:tr>
        <w:trPr>
          <w:trHeight w:val="195"/>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B. Alala III</w:t>
            </w:r>
          </w:p>
        </w:tc>
      </w:tr>
      <w:tr>
        <w:trPr>
          <w:trHeight w:val="216"/>
        </w:trPr>
        <w:tc>
          <w:tcPr>
            <w:tcW w:w="3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30"/>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19"/>
        </w:trPr>
        <w:tc>
          <w:tcPr>
            <w:tcW w:w="3540" w:type="dxa"/>
            <w:vAlign w:val="bottom"/>
          </w:tcPr>
          <w:p>
            <w:pPr>
              <w:spacing w:after="0"/>
              <w:rPr>
                <w:sz w:val="20"/>
                <w:szCs w:val="20"/>
                <w:color w:val="auto"/>
              </w:rPr>
            </w:pPr>
            <w:r>
              <w:rPr>
                <w:rFonts w:ascii="Arial" w:cs="Arial" w:eastAsia="Arial" w:hAnsi="Arial"/>
                <w:sz w:val="18"/>
                <w:szCs w:val="18"/>
                <w:color w:val="auto"/>
              </w:rPr>
              <w:t>Date: May 11, 2015</w:t>
            </w:r>
          </w:p>
        </w:tc>
        <w:tc>
          <w:tcPr>
            <w:tcW w:w="7880" w:type="dxa"/>
            <w:vAlign w:val="bottom"/>
            <w:gridSpan w:val="2"/>
          </w:tcPr>
          <w:p>
            <w:pPr>
              <w:ind w:left="2460"/>
              <w:spacing w:after="0"/>
              <w:rPr>
                <w:sz w:val="20"/>
                <w:szCs w:val="20"/>
                <w:color w:val="auto"/>
              </w:rPr>
            </w:pPr>
            <w:r>
              <w:rPr>
                <w:rFonts w:ascii="Arial" w:cs="Arial" w:eastAsia="Arial" w:hAnsi="Arial"/>
                <w:sz w:val="18"/>
                <w:szCs w:val="18"/>
                <w:color w:val="auto"/>
              </w:rPr>
              <w:t>By/s/ Stephen A. Arnall</w:t>
            </w:r>
          </w:p>
        </w:tc>
      </w:tr>
      <w:tr>
        <w:trPr>
          <w:trHeight w:val="195"/>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Stephen A. Arnall</w:t>
            </w:r>
          </w:p>
        </w:tc>
      </w:tr>
      <w:tr>
        <w:trPr>
          <w:trHeight w:val="216"/>
        </w:trPr>
        <w:tc>
          <w:tcPr>
            <w:tcW w:w="3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230"/>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648"/>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60</w:t>
            </w: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64"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B. Alala III, certify that:</w:t>
      </w:r>
    </w:p>
    <w:p>
      <w:pPr>
        <w:spacing w:after="0" w:line="225"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260" w:hanging="572"/>
        <w:spacing w:after="0" w:line="342"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580" w:right="360" w:hanging="572"/>
        <w:spacing w:after="0" w:line="264"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720" w:right="580" w:hanging="564"/>
        <w:spacing w:after="0" w:line="264" w:lineRule="auto"/>
        <w:tabs>
          <w:tab w:leader="none" w:pos="1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720" w:right="160" w:hanging="564"/>
        <w:spacing w:after="0" w:line="264" w:lineRule="auto"/>
        <w:tabs>
          <w:tab w:leader="none" w:pos="1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720" w:hanging="564"/>
        <w:spacing w:after="0" w:line="342" w:lineRule="auto"/>
        <w:tabs>
          <w:tab w:leader="none" w:pos="17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ind w:left="1720" w:right="360" w:hanging="564"/>
        <w:spacing w:after="0" w:line="286" w:lineRule="auto"/>
        <w:tabs>
          <w:tab w:leader="none" w:pos="17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580" w:right="60" w:hanging="572"/>
        <w:spacing w:after="0" w:line="308"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720" w:right="220" w:hanging="564"/>
        <w:spacing w:after="0" w:line="342" w:lineRule="auto"/>
        <w:tabs>
          <w:tab w:leader="none" w:pos="17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20" w:hanging="564"/>
        <w:spacing w:after="0" w:line="277" w:lineRule="auto"/>
        <w:tabs>
          <w:tab w:leader="none" w:pos="1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A. Arnall, certify that:</w:t>
      </w:r>
    </w:p>
    <w:p>
      <w:pPr>
        <w:spacing w:after="0" w:line="225"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260" w:hanging="572"/>
        <w:spacing w:after="0" w:line="342"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580" w:right="360" w:hanging="572"/>
        <w:spacing w:after="0" w:line="264"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720" w:right="580" w:hanging="564"/>
        <w:spacing w:after="0" w:line="264" w:lineRule="auto"/>
        <w:tabs>
          <w:tab w:leader="none" w:pos="1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720" w:right="160" w:hanging="564"/>
        <w:spacing w:after="0" w:line="264" w:lineRule="auto"/>
        <w:tabs>
          <w:tab w:leader="none" w:pos="1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720" w:hanging="564"/>
        <w:spacing w:after="0" w:line="342" w:lineRule="auto"/>
        <w:tabs>
          <w:tab w:leader="none" w:pos="17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ind w:left="1720" w:right="360" w:hanging="564"/>
        <w:spacing w:after="0" w:line="286" w:lineRule="auto"/>
        <w:tabs>
          <w:tab w:leader="none" w:pos="17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580" w:right="60" w:hanging="572"/>
        <w:spacing w:after="0" w:line="308" w:lineRule="auto"/>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720" w:right="220" w:hanging="564"/>
        <w:spacing w:after="0" w:line="342" w:lineRule="auto"/>
        <w:tabs>
          <w:tab w:leader="none" w:pos="17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20" w:right="500" w:hanging="564"/>
        <w:spacing w:after="0" w:line="277" w:lineRule="auto"/>
        <w:tabs>
          <w:tab w:leader="none" w:pos="1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I, Joseph B. Alala III, Chief Executive Officer, in connection with the Quarterly Report of Capitala Finance Corp. (the “Company”) on Form 10-Q for the quarterly period ended March 31, 2015,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720" w:right="500" w:hanging="564"/>
        <w:spacing w:after="0" w:line="277" w:lineRule="auto"/>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720" w:right="540" w:hanging="564"/>
        <w:spacing w:after="0" w:line="277" w:lineRule="auto"/>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 Stephen A. Arnall, Chief Financial Officer, in connection with the Quarterly Report of Capitala Finance Corp. (the “Company”) on Form 10-Q for the quarterly period ended March 31, 2015,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720" w:right="500" w:hanging="564"/>
        <w:spacing w:after="0" w:line="277" w:lineRule="auto"/>
        <w:tabs>
          <w:tab w:leader="none" w:pos="1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720" w:hanging="564"/>
        <w:spacing w:after="0" w:line="277" w:lineRule="auto"/>
        <w:tabs>
          <w:tab w:leader="none" w:pos="1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upperLetter"/>
      <w:start w:val="35"/>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2"/>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2019-12-29T17:51:05Z</dcterms:created>
  <dcterms:modified xsi:type="dcterms:W3CDTF">2019-12-29T17:51:05Z</dcterms:modified>
</cp:coreProperties>
</file>