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rfc-20230630.htm"/>
      <w:bookmarkStart w:id="1" w:name="kslrfc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SECURITIES AND EXCHANGE COMMISSION</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bidi w:val="0"/>
        <w:spacing w:before="0" w:after="0"/>
        <w:jc w:val="center"/>
        <w:rPr>
          <w:rFonts w:ascii="Times New Roman;serif" w:hAnsi="Times New Roman;serif"/>
          <w:b/>
          <w:sz w:val="20"/>
        </w:rPr>
      </w:pPr>
      <w:r>
        <w:rPr>
          <w:rFonts w:ascii="Times New Roman;serif" w:hAnsi="Times New Roman;serif"/>
          <w:b/>
          <w:sz w:val="20"/>
        </w:rPr>
        <w:t>FORM 10-Q</w:t>
      </w:r>
    </w:p>
    <w:tbl>
      <w:tblPr>
        <w:tblW w:w="7911" w:type="dxa"/>
        <w:jc w:val="left"/>
        <w:tblInd w:w="0" w:type="dxa"/>
        <w:tblLayout w:type="fixed"/>
        <w:tblCellMar>
          <w:top w:w="28" w:type="dxa"/>
          <w:left w:w="28" w:type="dxa"/>
          <w:bottom w:w="28" w:type="dxa"/>
          <w:right w:w="28" w:type="dxa"/>
        </w:tblCellMar>
      </w:tblPr>
      <w:tblGrid>
        <w:gridCol w:w="124"/>
        <w:gridCol w:w="22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rFonts w:ascii="Wingdings;serif" w:hAnsi="Wingdings;serif"/>
                <w:b w:val="false"/>
                <w:sz w:val="20"/>
              </w:rPr>
            </w:pPr>
            <w:r>
              <w:rPr>
                <w:rFonts w:ascii="Wingdings;serif" w:hAnsi="Wingdings;serif"/>
                <w:b w:val="false"/>
                <w:sz w:val="20"/>
              </w:rPr>
              <w:t>x</w:t>
            </w:r>
          </w:p>
        </w:tc>
        <w:tc>
          <w:tcPr>
            <w:tcW w:w="7561" w:type="dxa"/>
            <w:tcBorders/>
            <w:vAlign w:val="center"/>
          </w:tcPr>
          <w:p>
            <w:pPr>
              <w:pStyle w:val="TableContents"/>
              <w:bidi w:val="0"/>
              <w:spacing w:before="0" w:after="0"/>
              <w:ind w:left="0" w:right="0" w:hanging="0"/>
              <w:jc w:val="both"/>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tbl>
      <w:tblPr>
        <w:tblW w:w="7941" w:type="dxa"/>
        <w:jc w:val="left"/>
        <w:tblInd w:w="0" w:type="dxa"/>
        <w:tblLayout w:type="fixed"/>
        <w:tblCellMar>
          <w:top w:w="28" w:type="dxa"/>
          <w:left w:w="28" w:type="dxa"/>
          <w:bottom w:w="28" w:type="dxa"/>
          <w:right w:w="28" w:type="dxa"/>
        </w:tblCellMar>
      </w:tblPr>
      <w:tblGrid>
        <w:gridCol w:w="124"/>
        <w:gridCol w:w="211"/>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Wingdings;serif" w:hAnsi="Wingdings;serif"/>
                <w:b w:val="false"/>
                <w:sz w:val="20"/>
              </w:rPr>
            </w:pPr>
            <w:r>
              <w:rPr>
                <w:rFonts w:ascii="Wingdings;serif" w:hAnsi="Wingdings;serif"/>
                <w:b w:val="false"/>
                <w:sz w:val="20"/>
              </w:rPr>
              <w:t>¨</w:t>
            </w:r>
          </w:p>
        </w:tc>
        <w:tc>
          <w:tcPr>
            <w:tcW w:w="7606" w:type="dxa"/>
            <w:tcBorders/>
            <w:vAlign w:val="center"/>
          </w:tcPr>
          <w:p>
            <w:pPr>
              <w:pStyle w:val="TableContents"/>
              <w:bidi w:val="0"/>
              <w:spacing w:before="0" w:after="0"/>
              <w:ind w:left="0" w:right="0" w:hanging="0"/>
              <w:jc w:val="both"/>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tbl>
      <w:tblPr>
        <w:tblW w:w="7481" w:type="dxa"/>
        <w:jc w:val="left"/>
        <w:tblInd w:w="0" w:type="dxa"/>
        <w:tblLayout w:type="fixed"/>
        <w:tblCellMar>
          <w:top w:w="28" w:type="dxa"/>
          <w:left w:w="28" w:type="dxa"/>
          <w:bottom w:w="28" w:type="dxa"/>
          <w:right w:w="28" w:type="dxa"/>
        </w:tblCellMar>
      </w:tblPr>
      <w:tblGrid>
        <w:gridCol w:w="1021"/>
        <w:gridCol w:w="109"/>
        <w:gridCol w:w="4486"/>
        <w:gridCol w:w="109"/>
        <w:gridCol w:w="1756"/>
      </w:tblGrid>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02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Commission</w:t>
            </w:r>
            <w:r>
              <w:rPr>
                <w:rFonts w:ascii="Times New Roman;serif" w:hAnsi="Times New Roman;serif"/>
                <w:b w:val="false"/>
                <w:sz w:val="17"/>
              </w:rPr>
              <w:br/>
            </w:r>
            <w:r>
              <w:rPr>
                <w:rFonts w:ascii="Times New Roman;serif" w:hAnsi="Times New Roman;serif"/>
                <w:b/>
                <w:sz w:val="17"/>
              </w:rPr>
              <w:t>File 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Exact name of registrant as specified in its charter,</w:t>
            </w:r>
            <w:r>
              <w:rPr>
                <w:rFonts w:ascii="Times New Roman;serif" w:hAnsi="Times New Roman;serif"/>
                <w:b w:val="false"/>
                <w:sz w:val="17"/>
              </w:rPr>
              <w:br/>
            </w:r>
            <w:r>
              <w:rPr>
                <w:rFonts w:ascii="Times New Roman;serif" w:hAnsi="Times New Roman;serif"/>
                <w:b/>
                <w:sz w:val="17"/>
              </w:rPr>
              <w:t xml:space="preserve">address of principal executive office, telephone number, and </w:t>
            </w:r>
            <w:r>
              <w:rPr>
                <w:rFonts w:ascii="Times New Roman;serif" w:hAnsi="Times New Roman;serif"/>
                <w:b w:val="false"/>
                <w:sz w:val="17"/>
              </w:rPr>
              <w:br/>
            </w:r>
            <w:r>
              <w:rPr>
                <w:rFonts w:ascii="Times New Roman;serif" w:hAnsi="Times New Roman;serif"/>
                <w:b/>
                <w:sz w:val="17"/>
              </w:rPr>
              <w:t>state or other jurisdiction of incorporation or organization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I.R.S. Employer</w:t>
            </w:r>
            <w:r>
              <w:rPr>
                <w:rFonts w:ascii="Times New Roman;serif" w:hAnsi="Times New Roman;serif"/>
                <w:b w:val="false"/>
                <w:sz w:val="17"/>
              </w:rPr>
              <w:br/>
            </w:r>
            <w:r>
              <w:rPr>
                <w:rFonts w:ascii="Times New Roman;serif" w:hAnsi="Times New Roman;serif"/>
                <w:b/>
                <w:sz w:val="17"/>
              </w:rPr>
              <w:t>Identification Number</w:t>
            </w:r>
          </w:p>
        </w:tc>
      </w:tr>
      <w:tr>
        <w:trPr/>
        <w:tc>
          <w:tcPr>
            <w:tcW w:w="1021"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814-01022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4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8"/>
              </w:rPr>
              <w:t>Logan Ridge Finance Corporation</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650 Madison Avenue, 23rd Floor</w:t>
            </w:r>
          </w:p>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New York, New York</w:t>
            </w:r>
            <w:r>
              <w:rPr>
                <w:rFonts w:ascii="Times New Roman" w:hAnsi="Times New Roman"/>
                <w:sz w:val="17"/>
              </w:rPr>
              <w:t xml:space="preserve"> </w:t>
            </w:r>
            <w:r>
              <w:rPr>
                <w:rFonts w:ascii="Times New Roman;serif" w:hAnsi="Times New Roman;serif"/>
                <w:b/>
                <w:sz w:val="17"/>
              </w:rPr>
              <w:t>10022</w:t>
            </w:r>
            <w:r>
              <w:rPr>
                <w:rFonts w:ascii="Times New Roman" w:hAnsi="Times New Roman"/>
                <w:sz w:val="17"/>
              </w:rPr>
              <w:t xml:space="preserve">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7"/>
              </w:rPr>
              <w:t>State of Incorporation: Maryland</w:t>
            </w:r>
            <w:r>
              <w:rPr>
                <w:rFonts w:ascii="Times New Roman" w:hAnsi="Times New Roman"/>
                <w:sz w:val="20"/>
              </w:rPr>
              <w:t xml:space="preserve">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7"/>
              </w:rPr>
              <w:t>Telephone: (212) 891-2880</w:t>
            </w:r>
            <w:r>
              <w:rPr>
                <w:rFonts w:ascii="Times New Roman" w:hAnsi="Times New Roman"/>
                <w:sz w:val="20"/>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756"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90-0945675</w:t>
            </w:r>
          </w:p>
        </w:tc>
      </w:tr>
    </w:tbl>
    <w:p>
      <w:pPr>
        <w:pStyle w:val="TextBody"/>
        <w:bidi w:val="0"/>
        <w:spacing w:before="0" w:after="0"/>
        <w:jc w:val="center"/>
        <w:rPr>
          <w:rFonts w:ascii="Times New Roman;serif" w:hAnsi="Times New Roman;serif"/>
          <w:b/>
          <w:sz w:val="17"/>
        </w:rPr>
      </w:pPr>
      <w:r>
        <w:rPr>
          <w:rFonts w:ascii="Times New Roman;serif" w:hAnsi="Times New Roman;serif"/>
          <w:b/>
          <w:sz w:val="17"/>
        </w:rPr>
        <w:t>Securities registered pursuant to Section 12(b) of the Act:</w:t>
      </w:r>
    </w:p>
    <w:tbl>
      <w:tblPr>
        <w:tblW w:w="7526" w:type="dxa"/>
        <w:jc w:val="left"/>
        <w:tblInd w:w="0" w:type="dxa"/>
        <w:tblLayout w:type="fixed"/>
        <w:tblCellMar>
          <w:top w:w="28" w:type="dxa"/>
          <w:left w:w="28" w:type="dxa"/>
          <w:bottom w:w="28" w:type="dxa"/>
          <w:right w:w="28" w:type="dxa"/>
        </w:tblCellMar>
      </w:tblPr>
      <w:tblGrid>
        <w:gridCol w:w="3181"/>
        <w:gridCol w:w="109"/>
        <w:gridCol w:w="1426"/>
        <w:gridCol w:w="109"/>
        <w:gridCol w:w="2701"/>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7"/>
              </w:rPr>
            </w:pPr>
            <w:r>
              <w:rPr>
                <w:rFonts w:ascii="Times New Roman;serif" w:hAnsi="Times New Roman;serif"/>
                <w:b/>
                <w:sz w:val="17"/>
              </w:rPr>
              <w:t xml:space="preserve">Name of Each Exchange on Which </w:t>
            </w:r>
            <w:r>
              <w:rPr>
                <w:rFonts w:ascii="Times New Roman;serif" w:hAnsi="Times New Roman;serif"/>
                <w:b w:val="false"/>
                <w:sz w:val="17"/>
              </w:rPr>
              <w:br/>
            </w:r>
            <w:r>
              <w:rPr>
                <w:rFonts w:ascii="Times New Roman;serif" w:hAnsi="Times New Roman;serif"/>
                <w:b/>
                <w:sz w:val="17"/>
              </w:rPr>
              <w:t>Registered</w:t>
            </w:r>
          </w:p>
        </w:tc>
      </w:tr>
      <w:tr>
        <w:trPr/>
        <w:tc>
          <w:tcPr>
            <w:tcW w:w="3181"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Common Stock, par value $0.01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LRFC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NASDAQ Global Select Market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240" w:type="dxa"/>
        <w:jc w:val="left"/>
        <w:tblInd w:w="0" w:type="dxa"/>
        <w:tblLayout w:type="fixed"/>
        <w:tblCellMar>
          <w:top w:w="28" w:type="dxa"/>
          <w:left w:w="28" w:type="dxa"/>
          <w:bottom w:w="28" w:type="dxa"/>
          <w:right w:w="28" w:type="dxa"/>
        </w:tblCellMar>
      </w:tblPr>
      <w:tblGrid>
        <w:gridCol w:w="124"/>
        <w:gridCol w:w="109"/>
        <w:gridCol w:w="511"/>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Yes</w:t>
            </w:r>
            <w:r>
              <w:rPr>
                <w:rFonts w:ascii="Times New Roman" w:hAnsi="Times New Roman"/>
                <w:sz w:val="16"/>
              </w:rPr>
              <w:t xml:space="preserve"> </w:t>
            </w:r>
            <w:r>
              <w:rPr>
                <w:rFonts w:ascii="Wingdings;serif" w:hAnsi="Wingdings;serif"/>
                <w:b w:val="false"/>
                <w:sz w:val="16"/>
              </w:rPr>
              <w:t>x</w:t>
            </w:r>
          </w:p>
        </w:tc>
        <w:tc>
          <w:tcPr>
            <w:tcW w:w="49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240" w:type="dxa"/>
        <w:jc w:val="left"/>
        <w:tblInd w:w="0" w:type="dxa"/>
        <w:tblLayout w:type="fixed"/>
        <w:tblCellMar>
          <w:top w:w="28" w:type="dxa"/>
          <w:left w:w="28" w:type="dxa"/>
          <w:bottom w:w="28" w:type="dxa"/>
          <w:right w:w="28" w:type="dxa"/>
        </w:tblCellMar>
      </w:tblPr>
      <w:tblGrid>
        <w:gridCol w:w="124"/>
        <w:gridCol w:w="109"/>
        <w:gridCol w:w="511"/>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Yes</w:t>
            </w:r>
            <w:r>
              <w:rPr>
                <w:rFonts w:ascii="Times New Roman" w:hAnsi="Times New Roman"/>
                <w:sz w:val="16"/>
              </w:rPr>
              <w:t xml:space="preserve"> </w:t>
            </w:r>
            <w:r>
              <w:rPr>
                <w:rFonts w:ascii="Wingdings;serif" w:hAnsi="Wingdings;serif"/>
                <w:b w:val="false"/>
                <w:sz w:val="16"/>
              </w:rPr>
              <w:t>x</w:t>
            </w:r>
          </w:p>
        </w:tc>
        <w:tc>
          <w:tcPr>
            <w:tcW w:w="49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43" w:type="dxa"/>
        <w:jc w:val="left"/>
        <w:tblInd w:w="0" w:type="dxa"/>
        <w:tblLayout w:type="fixed"/>
        <w:tblCellMar>
          <w:top w:w="28" w:type="dxa"/>
          <w:left w:w="28" w:type="dxa"/>
          <w:bottom w:w="28" w:type="dxa"/>
          <w:right w:w="28" w:type="dxa"/>
        </w:tblCellMar>
      </w:tblPr>
      <w:tblGrid>
        <w:gridCol w:w="124"/>
        <w:gridCol w:w="1696"/>
        <w:gridCol w:w="211"/>
        <w:gridCol w:w="2071"/>
        <w:gridCol w:w="241"/>
      </w:tblGrid>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Large accelerated filer</w:t>
            </w:r>
            <w:r>
              <w:rPr>
                <w:rFonts w:ascii="Times New Roman" w:hAnsi="Times New Roman"/>
                <w:sz w:val="16"/>
              </w:rPr>
              <w:t xml:space="preserve"> </w:t>
            </w:r>
          </w:p>
        </w:tc>
        <w:tc>
          <w:tcPr>
            <w:tcW w:w="211" w:type="dxa"/>
            <w:tcBorders/>
            <w:vAlign w:val="center"/>
          </w:tcPr>
          <w:p>
            <w:pPr>
              <w:pStyle w:val="TableContents"/>
              <w:bidi w:val="0"/>
              <w:spacing w:before="0" w:after="0"/>
              <w:ind w:left="0" w:right="0" w:hanging="0"/>
              <w:jc w:val="left"/>
              <w:rPr>
                <w:rFonts w:ascii="Wingdings;serif" w:hAnsi="Wingdings;serif"/>
                <w:b w:val="false"/>
                <w:sz w:val="16"/>
              </w:rPr>
            </w:pPr>
            <w:r>
              <w:rPr>
                <w:rFonts w:ascii="Wingdings;serif" w:hAnsi="Wingdings;serif"/>
                <w:b w:val="false"/>
                <w:sz w:val="16"/>
              </w:rPr>
              <w:t>¨</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241" w:type="dxa"/>
            <w:tcBorders/>
            <w:vAlign w:val="center"/>
          </w:tcPr>
          <w:p>
            <w:pPr>
              <w:pStyle w:val="TableContents"/>
              <w:bidi w:val="0"/>
              <w:spacing w:before="0" w:after="0"/>
              <w:ind w:left="0" w:right="0" w:hanging="0"/>
              <w:jc w:val="left"/>
              <w:rPr>
                <w:rFonts w:ascii="Wingdings;serif" w:hAnsi="Wingdings;serif"/>
                <w:b w:val="false"/>
                <w:sz w:val="16"/>
              </w:rPr>
            </w:pPr>
            <w:r>
              <w:rPr>
                <w:rFonts w:ascii="Wingdings;serif" w:hAnsi="Wingdings;serif"/>
                <w:b w:val="false"/>
                <w:sz w:val="16"/>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211" w:type="dxa"/>
            <w:tcBorders/>
            <w:vAlign w:val="center"/>
          </w:tcPr>
          <w:p>
            <w:pPr>
              <w:pStyle w:val="TableContents"/>
              <w:bidi w:val="0"/>
              <w:spacing w:before="0" w:after="0"/>
              <w:ind w:left="0" w:right="0" w:hanging="0"/>
              <w:jc w:val="left"/>
              <w:rPr>
                <w:rFonts w:ascii="Wingdings;serif" w:hAnsi="Wingdings;serif"/>
                <w:b w:val="false"/>
                <w:sz w:val="16"/>
              </w:rPr>
            </w:pPr>
            <w:r>
              <w:rPr>
                <w:rFonts w:ascii="Wingdings;serif" w:hAnsi="Wingdings;serif"/>
                <w:b w:val="false"/>
                <w:sz w:val="16"/>
              </w:rPr>
              <w:t>x</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241" w:type="dxa"/>
            <w:tcBorders/>
            <w:vAlign w:val="center"/>
          </w:tcPr>
          <w:p>
            <w:pPr>
              <w:pStyle w:val="TableContents"/>
              <w:bidi w:val="0"/>
              <w:spacing w:before="0" w:after="0"/>
              <w:ind w:left="0" w:right="0" w:hanging="0"/>
              <w:jc w:val="left"/>
              <w:rPr>
                <w:rFonts w:ascii="Wingdings;serif" w:hAnsi="Wingdings;serif"/>
                <w:b w:val="false"/>
                <w:sz w:val="16"/>
              </w:rPr>
            </w:pPr>
            <w:r>
              <w:rPr>
                <w:rFonts w:ascii="Wingdings;serif" w:hAnsi="Wingdings;serif"/>
                <w:b w:val="false"/>
                <w:sz w:val="16"/>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241" w:type="dxa"/>
            <w:tcBorders/>
            <w:vAlign w:val="center"/>
          </w:tcPr>
          <w:p>
            <w:pPr>
              <w:pStyle w:val="TableContents"/>
              <w:bidi w:val="0"/>
              <w:spacing w:before="0" w:after="0"/>
              <w:ind w:left="0" w:right="0" w:hanging="0"/>
              <w:jc w:val="left"/>
              <w:rPr>
                <w:rFonts w:ascii="Wingdings;serif" w:hAnsi="Wingdings;serif"/>
                <w:b w:val="false"/>
                <w:sz w:val="16"/>
              </w:rPr>
            </w:pPr>
            <w:r>
              <w:rPr>
                <w:rFonts w:ascii="Wingdings;serif" w:hAnsi="Wingdings;serif"/>
                <w:b w:val="false"/>
                <w:sz w:val="16"/>
              </w:rPr>
              <w: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is a shell company (as defined in Rule 12b-2 of the Exchange Act).</w:t>
      </w:r>
    </w:p>
    <w:tbl>
      <w:tblPr>
        <w:tblW w:w="1240" w:type="dxa"/>
        <w:jc w:val="left"/>
        <w:tblInd w:w="0" w:type="dxa"/>
        <w:tblLayout w:type="fixed"/>
        <w:tblCellMar>
          <w:top w:w="28" w:type="dxa"/>
          <w:left w:w="28" w:type="dxa"/>
          <w:bottom w:w="28" w:type="dxa"/>
          <w:right w:w="28" w:type="dxa"/>
        </w:tblCellMar>
      </w:tblPr>
      <w:tblGrid>
        <w:gridCol w:w="124"/>
        <w:gridCol w:w="109"/>
        <w:gridCol w:w="496"/>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Yes </w:t>
            </w:r>
            <w:r>
              <w:rPr>
                <w:rFonts w:ascii="Wingdings;serif" w:hAnsi="Wingdings;serif"/>
                <w:b w:val="false"/>
                <w:sz w:val="16"/>
              </w:rPr>
              <w:t>¨</w:t>
            </w:r>
          </w:p>
        </w:tc>
        <w:tc>
          <w:tcPr>
            <w:tcW w:w="51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x</w:t>
            </w:r>
          </w:p>
        </w:tc>
      </w:tr>
    </w:tbl>
    <w:p>
      <w:pPr>
        <w:pStyle w:val="TextBody"/>
        <w:bidi w:val="0"/>
        <w:spacing w:before="0" w:after="0"/>
        <w:jc w:val="both"/>
        <w:rPr>
          <w:rFonts w:ascii="Times New Roman" w:hAnsi="Times New Roman"/>
          <w:sz w:val="20"/>
        </w:rPr>
      </w:pPr>
      <w:r>
        <w:rPr>
          <w:rFonts w:ascii="Times New Roman;serif" w:hAnsi="Times New Roman;serif"/>
          <w:b w:val="false"/>
          <w:sz w:val="16"/>
        </w:rPr>
        <w:t>The number of shares of Logan Ridge Finance Corporation’s common stock, $0.01 par value, outstanding as of August 7, 2023 was</w:t>
      </w:r>
      <w:r>
        <w:rPr>
          <w:rFonts w:ascii="Times New Roman" w:hAnsi="Times New Roman"/>
          <w:sz w:val="20"/>
        </w:rPr>
        <w:t xml:space="preserve"> </w:t>
      </w:r>
      <w:r>
        <w:rPr>
          <w:rFonts w:ascii="Times New Roman;serif" w:hAnsi="Times New Roman;serif"/>
          <w:b w:val="false"/>
          <w:sz w:val="16"/>
        </w:rPr>
        <w:t>2,691,293.</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TABLE OF CONTENTS</w:t>
      </w:r>
    </w:p>
    <w:tbl>
      <w:tblPr>
        <w:tblW w:w="9888" w:type="dxa"/>
        <w:jc w:val="left"/>
        <w:tblInd w:w="0" w:type="dxa"/>
        <w:tblLayout w:type="fixed"/>
        <w:tblCellMar>
          <w:top w:w="28" w:type="dxa"/>
          <w:left w:w="28" w:type="dxa"/>
          <w:bottom w:w="28" w:type="dxa"/>
          <w:right w:w="28" w:type="dxa"/>
        </w:tblCellMar>
      </w:tblPr>
      <w:tblGrid>
        <w:gridCol w:w="781"/>
        <w:gridCol w:w="8596"/>
        <w:gridCol w:w="511"/>
      </w:tblGrid>
      <w:tr>
        <w:trPr/>
        <w:tc>
          <w:tcPr>
            <w:tcW w:w="781"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781"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16"/>
                  <w:u w:val="single"/>
                </w:rPr>
                <w:t>PART I.</w:t>
              </w:r>
            </w:hyperlink>
          </w:p>
        </w:tc>
        <w:tc>
          <w:tcPr>
            <w:tcW w:w="8596"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16"/>
                  <w:u w:val="single"/>
                </w:rPr>
                <w:t>FINANCIAL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Item 1.</w:t>
            </w:r>
          </w:p>
        </w:tc>
        <w:tc>
          <w:tcPr>
            <w:tcW w:w="8596" w:type="dxa"/>
            <w:tcBorders/>
            <w:vAlign w:val="center"/>
          </w:tcPr>
          <w:p>
            <w:pPr>
              <w:pStyle w:val="TableContents"/>
              <w:bidi w:val="0"/>
              <w:spacing w:before="0" w:after="0"/>
              <w:ind w:left="0" w:right="0" w:hanging="0"/>
              <w:jc w:val="left"/>
              <w:rPr/>
            </w:pPr>
            <w:hyperlink w:anchor="consolidated_financial_statements">
              <w:r>
                <w:rPr>
                  <w:rStyle w:val="InternetLink"/>
                  <w:rFonts w:ascii="Times New Roman;serif" w:hAnsi="Times New Roman;serif"/>
                  <w:b w:val="false"/>
                  <w:sz w:val="16"/>
                  <w:u w:val="single"/>
                </w:rPr>
                <w:t>Consolidated 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statements_of_assets_and_liabilities">
              <w:r>
                <w:rPr>
                  <w:rStyle w:val="InternetLink"/>
                  <w:rFonts w:ascii="Times New Roman;serif" w:hAnsi="Times New Roman;serif"/>
                  <w:b w:val="false"/>
                  <w:sz w:val="16"/>
                  <w:u w:val="single"/>
                </w:rPr>
                <w:t>Consolidated Statements of Assets and Liabilities as of June 30, 2023 (unaudited) and December 31,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statements_of_operations">
              <w:r>
                <w:rPr>
                  <w:rStyle w:val="InternetLink"/>
                  <w:rFonts w:ascii="Times New Roman;serif" w:hAnsi="Times New Roman;serif"/>
                  <w:b w:val="false"/>
                  <w:sz w:val="16"/>
                  <w:u w:val="single"/>
                </w:rPr>
                <w:t>Consolidated Statements of Operations for the three and six months ended June 30, 2023 and 2022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statements_of_changes_in_net_assets">
              <w:r>
                <w:rPr>
                  <w:rStyle w:val="InternetLink"/>
                  <w:rFonts w:ascii="Times New Roman;serif" w:hAnsi="Times New Roman;serif"/>
                  <w:b w:val="false"/>
                  <w:sz w:val="16"/>
                  <w:u w:val="single"/>
                </w:rPr>
                <w:t>Consolidated Statements of Changes in Net Assets for the three and six months ended June 30, 2023 and 2022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statements_of_cash_flows">
              <w:r>
                <w:rPr>
                  <w:rStyle w:val="InternetLink"/>
                  <w:rFonts w:ascii="Times New Roman;serif" w:hAnsi="Times New Roman;serif"/>
                  <w:b w:val="false"/>
                  <w:sz w:val="16"/>
                  <w:u w:val="single"/>
                </w:rPr>
                <w:t>Consolidated Statements of Cash Flows for the six months ended June 30, 2023 and 2022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schedule_of_investments">
              <w:r>
                <w:rPr>
                  <w:rStyle w:val="InternetLink"/>
                  <w:rFonts w:ascii="Times New Roman;serif" w:hAnsi="Times New Roman;serif"/>
                  <w:b w:val="false"/>
                  <w:sz w:val="16"/>
                  <w:u w:val="single"/>
                </w:rPr>
                <w:t>Consolidated Schedules of Investments as of June 30, 2023 (unaudited) and December 31,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283"/>
              <w:ind w:left="0" w:right="0" w:firstLine="187"/>
              <w:jc w:val="left"/>
              <w:rPr>
                <w:sz w:val="4"/>
                <w:szCs w:val="4"/>
              </w:rPr>
            </w:pPr>
            <w:r>
              <w:rPr>
                <w:sz w:val="4"/>
                <w:szCs w:val="4"/>
              </w:rPr>
            </w:r>
          </w:p>
        </w:tc>
        <w:tc>
          <w:tcPr>
            <w:tcW w:w="8596" w:type="dxa"/>
            <w:tcBorders/>
            <w:vAlign w:val="center"/>
          </w:tcPr>
          <w:p>
            <w:pPr>
              <w:pStyle w:val="TableContents"/>
              <w:pBdr/>
              <w:bidi w:val="0"/>
              <w:spacing w:before="0" w:after="0"/>
              <w:ind w:left="0" w:right="0" w:hanging="187"/>
              <w:jc w:val="left"/>
              <w:rPr/>
            </w:pPr>
            <w:hyperlink w:anchor="notes_to_consolidated_financial">
              <w:r>
                <w:rPr>
                  <w:rStyle w:val="InternetLink"/>
                  <w:rFonts w:ascii="Times New Roman;serif" w:hAnsi="Times New Roman;serif"/>
                  <w:b w:val="false"/>
                  <w:sz w:val="16"/>
                  <w:u w:val="single"/>
                </w:rPr>
                <w:t>Notes to Consolidated Financial Statements as of and for the period ended June 30, 2023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0"/>
              <w:ind w:left="0" w:right="0" w:hanging="0"/>
              <w:jc w:val="left"/>
              <w:rPr/>
            </w:pPr>
            <w:hyperlink w:anchor="item_2_management_discussion">
              <w:r>
                <w:rPr>
                  <w:rStyle w:val="InternetLink"/>
                  <w:rFonts w:ascii="Times New Roman;serif" w:hAnsi="Times New Roman;serif"/>
                  <w:b w:val="false"/>
                  <w:sz w:val="16"/>
                  <w:u w:val="single"/>
                </w:rPr>
                <w:t>Item 2.</w:t>
              </w:r>
            </w:hyperlink>
          </w:p>
        </w:tc>
        <w:tc>
          <w:tcPr>
            <w:tcW w:w="8596" w:type="dxa"/>
            <w:tcBorders/>
            <w:vAlign w:val="center"/>
          </w:tcPr>
          <w:p>
            <w:pPr>
              <w:pStyle w:val="TableContents"/>
              <w:bidi w:val="0"/>
              <w:spacing w:before="0" w:after="0"/>
              <w:ind w:left="0" w:right="0" w:hanging="0"/>
              <w:jc w:val="left"/>
              <w:rPr/>
            </w:pPr>
            <w:hyperlink w:anchor="item_2_management_discussion">
              <w:r>
                <w:rPr>
                  <w:rStyle w:val="InternetLink"/>
                  <w:rFonts w:ascii="Times New Roman;serif" w:hAnsi="Times New Roman;serif"/>
                  <w:b w:val="false"/>
                  <w:sz w:val="16"/>
                  <w:u w:val="single"/>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3_quantitative_and_qualitative">
              <w:r>
                <w:rPr>
                  <w:rStyle w:val="InternetLink"/>
                  <w:rFonts w:ascii="Times New Roman;serif" w:hAnsi="Times New Roman;serif"/>
                  <w:b w:val="false"/>
                  <w:sz w:val="16"/>
                  <w:u w:val="single"/>
                </w:rPr>
                <w:t>Item 3.</w:t>
              </w:r>
            </w:hyperlink>
          </w:p>
        </w:tc>
        <w:tc>
          <w:tcPr>
            <w:tcW w:w="8596" w:type="dxa"/>
            <w:tcBorders/>
            <w:vAlign w:val="center"/>
          </w:tcPr>
          <w:p>
            <w:pPr>
              <w:pStyle w:val="TableContents"/>
              <w:bidi w:val="0"/>
              <w:spacing w:before="0" w:after="0"/>
              <w:ind w:left="0" w:right="0" w:hanging="0"/>
              <w:jc w:val="left"/>
              <w:rPr/>
            </w:pPr>
            <w:hyperlink w:anchor="item_3_quantitative_and_qualitative">
              <w:r>
                <w:rPr>
                  <w:rStyle w:val="InternetLink"/>
                  <w:rFonts w:ascii="Times New Roman;serif" w:hAnsi="Times New Roman;serif"/>
                  <w:b w:val="false"/>
                  <w:sz w:val="16"/>
                  <w:u w:val="single"/>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16"/>
                  <w:u w:val="single"/>
                </w:rPr>
                <w:t>Item 4.</w:t>
              </w:r>
            </w:hyperlink>
          </w:p>
        </w:tc>
        <w:tc>
          <w:tcPr>
            <w:tcW w:w="8596"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16"/>
                  <w:u w:val="single"/>
                </w:rPr>
                <w:t>Controls and Procedures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sz w:val="16"/>
                  <w:u w:val="single"/>
                </w:rPr>
                <w:t>PART II.</w:t>
              </w:r>
            </w:hyperlink>
          </w:p>
        </w:tc>
        <w:tc>
          <w:tcPr>
            <w:tcW w:w="8596" w:type="dxa"/>
            <w:tcBorders/>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sz w:val="16"/>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16"/>
                  <w:u w:val="single"/>
                </w:rPr>
                <w:t>Item 1.</w:t>
              </w:r>
            </w:hyperlink>
          </w:p>
        </w:tc>
        <w:tc>
          <w:tcPr>
            <w:tcW w:w="859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16"/>
                  <w:u w:val="single"/>
                </w:rPr>
                <w:t>Legal Proceedings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16"/>
                  <w:u w:val="single"/>
                </w:rPr>
                <w:t>Item 1A.</w:t>
              </w:r>
            </w:hyperlink>
          </w:p>
        </w:tc>
        <w:tc>
          <w:tcPr>
            <w:tcW w:w="859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16"/>
                  <w:u w:val="single"/>
                </w:rPr>
                <w:t>Risk Factors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16"/>
                  <w:u w:val="single"/>
                </w:rPr>
                <w:t>Item 2.</w:t>
              </w:r>
            </w:hyperlink>
          </w:p>
        </w:tc>
        <w:tc>
          <w:tcPr>
            <w:tcW w:w="8596"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16"/>
                  <w:u w:val="single"/>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16"/>
                  <w:u w:val="single"/>
                </w:rPr>
                <w:t>Item 3.</w:t>
              </w:r>
            </w:hyperlink>
          </w:p>
        </w:tc>
        <w:tc>
          <w:tcPr>
            <w:tcW w:w="859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16"/>
                  <w:u w:val="single"/>
                </w:rPr>
                <w:t>Defaults Upon Senior Securities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16"/>
                  <w:u w:val="single"/>
                </w:rPr>
                <w:t>Item 4.</w:t>
              </w:r>
            </w:hyperlink>
          </w:p>
        </w:tc>
        <w:tc>
          <w:tcPr>
            <w:tcW w:w="859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16"/>
                  <w:u w:val="single"/>
                </w:rPr>
                <w:t>Mine Safety Disclosures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16"/>
                  <w:u w:val="single"/>
                </w:rPr>
                <w:t>Item 5.</w:t>
              </w:r>
            </w:hyperlink>
          </w:p>
        </w:tc>
        <w:tc>
          <w:tcPr>
            <w:tcW w:w="8596"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16"/>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781"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16"/>
                  <w:u w:val="single"/>
                </w:rPr>
                <w:t>Item 6.</w:t>
              </w:r>
            </w:hyperlink>
          </w:p>
        </w:tc>
        <w:tc>
          <w:tcPr>
            <w:tcW w:w="859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16"/>
                  <w:u w:val="single"/>
                </w:rPr>
                <w:t>Exhibits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r>
      <w:tr>
        <w:trPr/>
        <w:tc>
          <w:tcPr>
            <w:tcW w:w="93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 </w:t>
            </w:r>
          </w:p>
        </w:tc>
      </w:tr>
      <w:tr>
        <w:trPr/>
        <w:tc>
          <w:tcPr>
            <w:tcW w:w="9377"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16"/>
                  <w:u w:val="single"/>
                </w:rPr>
                <w:t>Signatures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bookmarkStart w:id="2" w:name="part_i_financial_information"/>
      <w:bookmarkEnd w:id="2"/>
      <w:r>
        <w:rPr>
          <w:rFonts w:ascii="Times New Roman;serif" w:hAnsi="Times New Roman;serif"/>
          <w:b/>
          <w:sz w:val="16"/>
        </w:rPr>
        <w:t>PART I. FINANCIAL INFORMATION</w:t>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bookmarkStart w:id="3" w:name="consolidated_financial_statements"/>
      <w:bookmarkEnd w:id="3"/>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bookmarkStart w:id="4" w:name="statements_of_assets_and_liabilities"/>
      <w:bookmarkEnd w:id="4"/>
      <w:r>
        <w:rPr>
          <w:rFonts w:ascii="Times New Roman;serif" w:hAnsi="Times New Roman;serif"/>
          <w:b/>
          <w:sz w:val="16"/>
        </w:rPr>
        <w:t>CONSOLIDATED STATEMENTS OF ASSETS AND LIABILITIES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and per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036"/>
        <w:gridCol w:w="146"/>
        <w:gridCol w:w="229"/>
        <w:gridCol w:w="808"/>
        <w:gridCol w:w="166"/>
        <w:gridCol w:w="146"/>
        <w:gridCol w:w="278"/>
        <w:gridCol w:w="983"/>
        <w:gridCol w:w="413"/>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w:t>
              <w:br/>
              <w:t>2022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pPr>
            <w:r>
              <w:rPr/>
              <w:t> </w:t>
            </w:r>
          </w:p>
        </w:tc>
        <w:tc>
          <w:tcPr>
            <w:tcW w:w="413" w:type="dxa"/>
            <w:tcBorders/>
            <w:vAlign w:val="center"/>
          </w:tcPr>
          <w:p>
            <w:pPr>
              <w:pStyle w:val="TableContents"/>
              <w:bidi w:val="0"/>
              <w:spacing w:before="0" w:after="0"/>
              <w:ind w:left="0" w:right="0" w:hanging="0"/>
              <w:jc w:val="center"/>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ASSETS</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pPr>
            <w:r>
              <w:rPr/>
              <w:t> </w:t>
            </w:r>
          </w:p>
        </w:tc>
        <w:tc>
          <w:tcPr>
            <w:tcW w:w="413" w:type="dxa"/>
            <w:tcBorders/>
            <w:vAlign w:val="center"/>
          </w:tcPr>
          <w:p>
            <w:pPr>
              <w:pStyle w:val="TableContents"/>
              <w:bidi w:val="0"/>
              <w:spacing w:before="0" w:after="0"/>
              <w:ind w:left="0" w:right="0" w:hanging="0"/>
              <w:jc w:val="center"/>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Non-control/non-affiliate investments (amortized cost of $192,331</w:t>
            </w:r>
            <w:r>
              <w:rPr>
                <w:rFonts w:ascii="Times New Roman" w:hAnsi="Times New Roman"/>
                <w:sz w:val="20"/>
              </w:rPr>
              <w:t> </w:t>
            </w:r>
            <w:r>
              <w:rPr>
                <w:rFonts w:ascii="Times New Roman;serif" w:hAnsi="Times New Roman;serif"/>
                <w:b w:val="false"/>
                <w:sz w:val="16"/>
              </w:rPr>
              <w:t>and $191,435,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177,268</w:t>
            </w:r>
          </w:p>
        </w:tc>
        <w:tc>
          <w:tcPr>
            <w:tcW w:w="413" w:type="dxa"/>
            <w:tcBorders/>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Affiliate investments (amortized cost of $26,836</w:t>
            </w:r>
            <w:r>
              <w:rPr>
                <w:rFonts w:ascii="Times New Roman" w:hAnsi="Times New Roman"/>
                <w:sz w:val="20"/>
              </w:rPr>
              <w:t> </w:t>
            </w:r>
            <w:r>
              <w:rPr>
                <w:rFonts w:ascii="Times New Roman;serif" w:hAnsi="Times New Roman;serif"/>
                <w:b w:val="false"/>
                <w:sz w:val="16"/>
              </w:rPr>
              <w:t>and $29,081,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26,324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Total investments at fair value (amortized cost of $219,167</w:t>
            </w:r>
            <w:r>
              <w:rPr>
                <w:rFonts w:ascii="Times New Roman" w:hAnsi="Times New Roman"/>
                <w:sz w:val="20"/>
              </w:rPr>
              <w:t> </w:t>
            </w:r>
            <w:r>
              <w:rPr>
                <w:rFonts w:ascii="Times New Roman;serif" w:hAnsi="Times New Roman;serif"/>
                <w:b w:val="false"/>
                <w:sz w:val="16"/>
              </w:rPr>
              <w:t>and $220,516,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6,793</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dividend receivable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1,578</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2,682</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assets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217,180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214,710</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LIABILITIES</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2026 Notes (net of deferred financing costs and original issue discount of $1,237</w:t>
            </w:r>
            <w:r>
              <w:rPr>
                <w:rFonts w:ascii="Times New Roman" w:hAnsi="Times New Roman"/>
                <w:sz w:val="20"/>
              </w:rPr>
              <w:t> </w:t>
            </w:r>
            <w:r>
              <w:rPr>
                <w:rFonts w:ascii="Times New Roman;serif" w:hAnsi="Times New Roman;serif"/>
                <w:b w:val="false"/>
                <w:sz w:val="16"/>
              </w:rPr>
              <w:t>and $1,421,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48,579</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2032 Convertible Notes (net of deferred financing costs and original issue discount of $1,058</w:t>
            </w:r>
            <w:r>
              <w:rPr>
                <w:rFonts w:ascii="Times New Roman" w:hAnsi="Times New Roman"/>
                <w:sz w:val="20"/>
              </w:rPr>
              <w:t> </w:t>
            </w:r>
            <w:r>
              <w:rPr>
                <w:rFonts w:ascii="Times New Roman;serif" w:hAnsi="Times New Roman;serif"/>
                <w:b w:val="false"/>
                <w:sz w:val="16"/>
              </w:rPr>
              <w:t>and $1,117,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13,883</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KeyBank Credit Facility (net of deferred financing costs of $1,153</w:t>
            </w:r>
            <w:r>
              <w:rPr>
                <w:rFonts w:ascii="Times New Roman" w:hAnsi="Times New Roman"/>
                <w:sz w:val="20"/>
              </w:rPr>
              <w:t> </w:t>
            </w:r>
            <w:r>
              <w:rPr>
                <w:rFonts w:ascii="Times New Roman;serif" w:hAnsi="Times New Roman;serif"/>
                <w:b w:val="false"/>
                <w:sz w:val="16"/>
              </w:rPr>
              <w:t>and $1,322,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55,282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54,615</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and incentive fees payable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933</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fees payable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973</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119,705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Commitments</w:t>
            </w:r>
            <w:r>
              <w:rPr>
                <w:rFonts w:ascii="Times New Roman;serif" w:hAnsi="Times New Roman;serif"/>
                <w:sz w:val="16"/>
              </w:rPr>
              <w:t xml:space="preserve"> </w:t>
            </w:r>
            <w:r>
              <w:rPr>
                <w:rFonts w:ascii="Times New Roman;serif" w:hAnsi="Times New Roman;serif"/>
                <w:b w:val="false"/>
                <w:sz w:val="16"/>
              </w:rPr>
              <w:t>and contingencies</w:t>
            </w:r>
            <w:r>
              <w:rPr>
                <w:rFonts w:ascii="Times New Roman" w:hAnsi="Times New Roman"/>
                <w:sz w:val="20"/>
              </w:rPr>
              <w:t> </w:t>
            </w:r>
            <w:r>
              <w:rPr>
                <w:rFonts w:ascii="Times New Roman;serif" w:hAnsi="Times New Roman;serif"/>
                <w:b w:val="false"/>
                <w:sz w:val="16"/>
              </w:rPr>
              <w:t>(Note 2)</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w:t>
            </w:r>
          </w:p>
        </w:tc>
        <w:tc>
          <w:tcPr>
            <w:tcW w:w="14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Common stock, par value $0.01, 100,000,000</w:t>
            </w:r>
            <w:r>
              <w:rPr>
                <w:rFonts w:ascii="Times New Roman" w:hAnsi="Times New Roman"/>
                <w:sz w:val="20"/>
              </w:rPr>
              <w:t> </w:t>
            </w:r>
            <w:r>
              <w:rPr>
                <w:rFonts w:ascii="Times New Roman;serif" w:hAnsi="Times New Roman;serif"/>
                <w:b w:val="false"/>
                <w:sz w:val="16"/>
              </w:rPr>
              <w:t>common shares authorized, 2,697,143</w:t>
            </w:r>
            <w:r>
              <w:rPr>
                <w:rFonts w:ascii="Times New Roman" w:hAnsi="Times New Roman"/>
                <w:sz w:val="20"/>
              </w:rPr>
              <w:t> </w:t>
            </w:r>
            <w:r>
              <w:rPr>
                <w:rFonts w:ascii="Times New Roman;serif" w:hAnsi="Times New Roman;serif"/>
                <w:b w:val="false"/>
                <w:sz w:val="16"/>
              </w:rPr>
              <w:t>and 2,711,068</w:t>
            </w:r>
            <w:r>
              <w:rPr>
                <w:rFonts w:ascii="Times New Roman" w:hAnsi="Times New Roman"/>
                <w:sz w:val="20"/>
              </w:rPr>
              <w:t> </w:t>
            </w:r>
            <w:r>
              <w:rPr>
                <w:rFonts w:ascii="Times New Roman;serif" w:hAnsi="Times New Roman;serif"/>
                <w:b w:val="false"/>
                <w:sz w:val="16"/>
              </w:rPr>
              <w:t>common shares issued and outstanding, respectively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Additional paid in capital</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191,038</w:t>
            </w:r>
          </w:p>
        </w:tc>
        <w:tc>
          <w:tcPr>
            <w:tcW w:w="413" w:type="dxa"/>
            <w:tcBorders/>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distributable loss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(94,553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(96,060</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03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net assets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95,005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liabilities and net assets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217,180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214,710</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per share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35.04</w:t>
            </w:r>
          </w:p>
        </w:tc>
        <w:tc>
          <w:tcPr>
            <w:tcW w:w="41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 w:hAnsi="Times New Roman"/>
          <w:sz w:val="20"/>
        </w:rPr>
      </w:pPr>
      <w:bookmarkStart w:id="5" w:name="statements_of_operations"/>
      <w:bookmarkEnd w:id="5"/>
      <w:r>
        <w:rPr>
          <w:rFonts w:ascii="Times New Roman;serif" w:hAnsi="Times New Roman;serif"/>
          <w:b/>
          <w:sz w:val="16"/>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(in thousands, except share and per share data)</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145"/>
        <w:gridCol w:w="146"/>
        <w:gridCol w:w="219"/>
        <w:gridCol w:w="926"/>
        <w:gridCol w:w="185"/>
        <w:gridCol w:w="163"/>
        <w:gridCol w:w="219"/>
        <w:gridCol w:w="926"/>
        <w:gridCol w:w="166"/>
        <w:gridCol w:w="146"/>
        <w:gridCol w:w="205"/>
        <w:gridCol w:w="869"/>
        <w:gridCol w:w="174"/>
        <w:gridCol w:w="225"/>
        <w:gridCol w:w="205"/>
        <w:gridCol w:w="869"/>
        <w:gridCol w:w="417"/>
      </w:tblGrid>
      <w:tr>
        <w:trPr/>
        <w:tc>
          <w:tcPr>
            <w:tcW w:w="4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1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center"/>
              <w:rPr/>
            </w:pPr>
            <w:r>
              <w:rPr/>
              <w:t> </w:t>
            </w:r>
          </w:p>
        </w:tc>
        <w:tc>
          <w:tcPr>
            <w:tcW w:w="10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4,773</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9,377</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5,655</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298</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345</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interest income</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4,907</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9,675</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6,193</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 income:</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687</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payment-in-kind interest and dividend income</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dividend income</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other income</w:t>
            </w:r>
          </w:p>
        </w:tc>
        <w:tc>
          <w:tcPr>
            <w:tcW w:w="146" w:type="dxa"/>
            <w:tcBorders/>
            <w:vAlign w:val="center"/>
          </w:tcPr>
          <w:p>
            <w:pPr>
              <w:pStyle w:val="TableContents"/>
              <w:bidi w:val="0"/>
              <w:spacing w:before="0" w:after="0"/>
              <w:ind w:left="0" w:right="0" w:hanging="0"/>
              <w:jc w:val="lef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2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8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2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6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w:t>
            </w:r>
          </w:p>
        </w:tc>
        <w:tc>
          <w:tcPr>
            <w:tcW w:w="17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6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41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5,344</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10,600</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EXPENSES</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2,236</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4,305</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4,319</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946</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1,876</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2,001</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expense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Administrative service fees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481</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1,826</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4,305</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8,488</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8,620</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 (LOSS)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AND UNREALIZED GAIN (LOSS) ON INVESTMENTS</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1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2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18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3" w:type="dxa"/>
            <w:tcBorders/>
            <w:vAlign w:val="center"/>
          </w:tcPr>
          <w:p>
            <w:pPr>
              <w:pStyle w:val="TableContents"/>
              <w:bidi w:val="0"/>
              <w:spacing w:before="0" w:after="0"/>
              <w:ind w:left="0" w:right="0" w:hanging="0"/>
              <w:jc w:val="left"/>
              <w:rPr/>
            </w:pPr>
            <w:r>
              <w:rPr/>
              <w:t> </w:t>
            </w:r>
          </w:p>
        </w:tc>
        <w:tc>
          <w:tcPr>
            <w:tcW w:w="21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2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15,503</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6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17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pPr>
            <w:r>
              <w:rPr/>
              <w:t> </w:t>
            </w:r>
          </w:p>
        </w:tc>
        <w:tc>
          <w:tcPr>
            <w:tcW w:w="20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6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41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1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w:t>
            </w:r>
          </w:p>
        </w:tc>
        <w:tc>
          <w:tcPr>
            <w:tcW w:w="1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(17,645</w:t>
            </w:r>
          </w:p>
        </w:tc>
        <w:tc>
          <w:tcPr>
            <w:tcW w:w="417"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4,053</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5,086</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1,477</w:t>
            </w:r>
          </w:p>
        </w:tc>
        <w:tc>
          <w:tcPr>
            <w:tcW w:w="417" w:type="dxa"/>
            <w:tcBorders/>
            <w:vAlign w:val="center"/>
          </w:tcPr>
          <w:p>
            <w:pPr>
              <w:pStyle w:val="TableContents"/>
              <w:bidi w:val="0"/>
              <w:spacing w:before="0" w:after="0"/>
              <w:ind w:left="0" w:right="0" w:firstLine="200"/>
              <w:jc w:val="left"/>
              <w:rPr/>
            </w:pPr>
            <w:r>
              <w:rPr/>
              <w:t> </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net realized and change in unrealized gain (loss) on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2,201</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(3,913</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3,240</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4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NET INCREASE (DECREASE) IN NET ASSETS PER SHARE RESULTING </w:t>
              <w:br/>
              <w:t>   FROM OPERATIONS – BASIC (SEE NOTE 9)</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0.96</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4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WEIGHTED AVERAGE COMMON STOCK OUTSTANDING </w:t>
              <w:br/>
              <w:t>   – BASIC (SEE NOTE 9)</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2,703,871</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2,707,399</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NET INCREASE (DECREASE) IN NET ASSETS PER SHARE RESULTING </w:t>
              <w:br/>
              <w:t>   FROM OPERATIONS – DILUTED (SEE NOTE 9)</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0.94</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4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WEIGHTED AVERAGE COMMON STOCK OUTSTANDING </w:t>
              <w:br/>
              <w:t>   – DILUTED (SEE NOTE 9)</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3,243,374</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3,246,902</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417"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PAID PER SHARE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0.22</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174"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jc w:val="both"/>
        <w:rPr/>
      </w:pPr>
      <w:r>
        <w:rPr>
          <w:rFonts w:ascii="Times New Roman;serif" w:hAnsi="Times New Roman;serif"/>
          <w:b w:val="false"/>
          <w:sz w:val="14"/>
        </w:rPr>
        <w:t>During the six months ended June 30, 2023, the Company received $0.2</w:t>
      </w:r>
      <w:r>
        <w:rPr/>
        <w:t xml:space="preserve"> </w:t>
      </w:r>
      <w:r>
        <w:rPr>
          <w:rFonts w:ascii="Times New Roman;serif" w:hAnsi="Times New Roman;serif"/>
          <w:b w:val="false"/>
          <w:sz w:val="14"/>
        </w:rPr>
        <w:t>million of non-recurring fee income that was paid in-kind and included in this financial statement line item.</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bookmarkStart w:id="6" w:name="statements_of_changes_in_net_assets"/>
      <w:bookmarkEnd w:id="6"/>
      <w:r>
        <w:rPr>
          <w:rFonts w:ascii="Times New Roman;serif" w:hAnsi="Times New Roman;serif"/>
          <w:b/>
          <w:sz w:val="16"/>
        </w:rPr>
        <w:t>CONSOLIDATED STATEMENTS OF CHANGES IN NET ASSETS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tbl>
      <w:tblPr>
        <w:tblW w:w="10167" w:type="dxa"/>
        <w:jc w:val="left"/>
        <w:tblInd w:w="0" w:type="dxa"/>
        <w:tblLayout w:type="fixed"/>
        <w:tblCellMar>
          <w:top w:w="28" w:type="dxa"/>
          <w:left w:w="28" w:type="dxa"/>
          <w:bottom w:w="28" w:type="dxa"/>
          <w:right w:w="28" w:type="dxa"/>
        </w:tblCellMar>
      </w:tblPr>
      <w:tblGrid>
        <w:gridCol w:w="3991"/>
        <w:gridCol w:w="146"/>
        <w:gridCol w:w="826"/>
        <w:gridCol w:w="166"/>
        <w:gridCol w:w="146"/>
        <w:gridCol w:w="304"/>
        <w:gridCol w:w="536"/>
        <w:gridCol w:w="146"/>
        <w:gridCol w:w="146"/>
        <w:gridCol w:w="196"/>
        <w:gridCol w:w="691"/>
        <w:gridCol w:w="166"/>
        <w:gridCol w:w="146"/>
        <w:gridCol w:w="240"/>
        <w:gridCol w:w="811"/>
        <w:gridCol w:w="166"/>
        <w:gridCol w:w="146"/>
        <w:gridCol w:w="196"/>
        <w:gridCol w:w="691"/>
        <w:gridCol w:w="3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 </w:t>
            </w:r>
          </w:p>
        </w:tc>
        <w:tc>
          <w:tcPr>
            <w:tcW w:w="21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 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Distributable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For the Three Months Ended June 30, 2023 and 2022</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2023</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2,709,583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93,833</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appreciation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4,563</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Stock issued under dividend reinvestment plan</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declared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2,697,143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190,752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96,226</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2022</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(82,702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106,171</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loss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gain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15,503</w:t>
            </w:r>
          </w:p>
        </w:tc>
        <w:tc>
          <w:tcPr>
            <w:tcW w:w="311" w:type="dxa"/>
            <w:tcBorders/>
            <w:vAlign w:val="center"/>
          </w:tcPr>
          <w:p>
            <w:pPr>
              <w:pStyle w:val="TableContents"/>
              <w:bidi w:val="0"/>
              <w:spacing w:before="0" w:after="0"/>
              <w:ind w:left="0" w:right="0" w:firstLine="100"/>
              <w:jc w:val="left"/>
              <w:rPr/>
            </w:pPr>
            <w:r>
              <w:rPr/>
              <w:t> </w:t>
            </w:r>
          </w:p>
        </w:tc>
      </w:tr>
      <w:tr>
        <w:trPr/>
        <w:tc>
          <w:tcPr>
            <w:tcW w:w="39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depreciation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(19,608</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(87,736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101,137</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002" w:type="dxa"/>
        <w:jc w:val="left"/>
        <w:tblInd w:w="0" w:type="dxa"/>
        <w:tblLayout w:type="fixed"/>
        <w:tblCellMar>
          <w:top w:w="28" w:type="dxa"/>
          <w:left w:w="28" w:type="dxa"/>
          <w:bottom w:w="28" w:type="dxa"/>
          <w:right w:w="28" w:type="dxa"/>
        </w:tblCellMar>
      </w:tblPr>
      <w:tblGrid>
        <w:gridCol w:w="3826"/>
        <w:gridCol w:w="146"/>
        <w:gridCol w:w="826"/>
        <w:gridCol w:w="166"/>
        <w:gridCol w:w="146"/>
        <w:gridCol w:w="304"/>
        <w:gridCol w:w="536"/>
        <w:gridCol w:w="146"/>
        <w:gridCol w:w="146"/>
        <w:gridCol w:w="196"/>
        <w:gridCol w:w="691"/>
        <w:gridCol w:w="166"/>
        <w:gridCol w:w="146"/>
        <w:gridCol w:w="240"/>
        <w:gridCol w:w="811"/>
        <w:gridCol w:w="166"/>
        <w:gridCol w:w="146"/>
        <w:gridCol w:w="196"/>
        <w:gridCol w:w="691"/>
        <w:gridCol w:w="3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left"/>
              <w:rPr/>
            </w:pPr>
            <w:r>
              <w:rPr/>
              <w:t> </w:t>
            </w:r>
          </w:p>
        </w:tc>
        <w:tc>
          <w:tcPr>
            <w:tcW w:w="21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 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Distributable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For the Six Months Ended June 30, 2023 and 2022</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2022</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95,005</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appreciation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Stock issued under dividend reinvestment plan</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declared</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(1,083</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2,697,143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190,752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(94,553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96,226</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2021</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(81,844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107,029</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loss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gain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311" w:type="dxa"/>
            <w:tcBorders/>
            <w:vAlign w:val="center"/>
          </w:tcPr>
          <w:p>
            <w:pPr>
              <w:pStyle w:val="TableContents"/>
              <w:bidi w:val="0"/>
              <w:spacing w:before="0" w:after="0"/>
              <w:ind w:left="0" w:right="0" w:firstLine="100"/>
              <w:jc w:val="left"/>
              <w:rPr/>
            </w:pPr>
            <w:r>
              <w:rPr/>
              <w:t> </w:t>
            </w:r>
          </w:p>
        </w:tc>
      </w:tr>
      <w:tr>
        <w:trPr/>
        <w:tc>
          <w:tcPr>
            <w:tcW w:w="3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depreciation on investments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(87,736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101,137</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 w:hAnsi="Times New Roman"/>
          <w:sz w:val="20"/>
        </w:rPr>
      </w:pPr>
      <w:bookmarkStart w:id="7" w:name="statements_of_cash_flows"/>
      <w:bookmarkEnd w:id="7"/>
      <w:r>
        <w:rPr>
          <w:rFonts w:ascii="Times New Roman;serif" w:hAnsi="Times New Roman;serif"/>
          <w:b/>
          <w:sz w:val="16"/>
        </w:rPr>
        <w:t>CONSOLIDATED STATEMENTS</w:t>
      </w:r>
      <w:r>
        <w:rPr>
          <w:rFonts w:ascii="Times New Roman" w:hAnsi="Times New Roman"/>
          <w:sz w:val="20"/>
        </w:rPr>
        <w:t xml:space="preserve"> </w:t>
      </w:r>
      <w:r>
        <w:rPr>
          <w:rFonts w:ascii="Times New Roman;serif" w:hAnsi="Times New Roman;serif"/>
          <w:b/>
          <w:sz w:val="16"/>
        </w:rPr>
        <w:t>OF CASH FLOWS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065"/>
        <w:gridCol w:w="146"/>
        <w:gridCol w:w="239"/>
        <w:gridCol w:w="810"/>
        <w:gridCol w:w="203"/>
        <w:gridCol w:w="178"/>
        <w:gridCol w:w="239"/>
        <w:gridCol w:w="810"/>
        <w:gridCol w:w="515"/>
      </w:tblGrid>
      <w:tr>
        <w:trPr/>
        <w:tc>
          <w:tcPr>
            <w:tcW w:w="7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0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100"/>
              <w:jc w:val="righ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515"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Adjustments to reconcile net increase (decrease) in net assets resulting from operations to net cash provided by operating activities:</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200"/>
              <w:jc w:val="right"/>
              <w:rPr/>
            </w:pPr>
            <w:r>
              <w:rPr/>
              <w:t> </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(12,242</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(47,075</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Repayments and sales of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11,242</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66,669</w:t>
            </w:r>
          </w:p>
        </w:tc>
        <w:tc>
          <w:tcPr>
            <w:tcW w:w="515" w:type="dxa"/>
            <w:tcBorders/>
            <w:vAlign w:val="center"/>
          </w:tcPr>
          <w:p>
            <w:pPr>
              <w:pStyle w:val="TableContents"/>
              <w:bidi w:val="0"/>
              <w:spacing w:before="0" w:after="0"/>
              <w:ind w:left="0" w:right="0" w:firstLine="200"/>
              <w:jc w:val="left"/>
              <w:rPr/>
            </w:pPr>
            <w:r>
              <w:rPr/>
              <w:t> </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515" w:type="dxa"/>
            <w:tcBorders/>
            <w:vAlign w:val="center"/>
          </w:tcPr>
          <w:p>
            <w:pPr>
              <w:pStyle w:val="TableContents"/>
              <w:bidi w:val="0"/>
              <w:spacing w:before="0" w:after="0"/>
              <w:ind w:left="0" w:right="0" w:firstLine="200"/>
              <w:jc w:val="left"/>
              <w:rPr/>
            </w:pPr>
            <w:r>
              <w:rPr/>
              <w:t> </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 interest and dividends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(783</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original issue discount on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(731</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deferred financing fees and original issue discount</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411</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w:t>
            </w:r>
          </w:p>
        </w:tc>
        <w:tc>
          <w:tcPr>
            <w:tcW w:w="515" w:type="dxa"/>
            <w:tcBorders/>
            <w:vAlign w:val="center"/>
          </w:tcPr>
          <w:p>
            <w:pPr>
              <w:pStyle w:val="TableContents"/>
              <w:bidi w:val="0"/>
              <w:spacing w:before="0" w:after="0"/>
              <w:ind w:left="0" w:right="0" w:firstLine="200"/>
              <w:jc w:val="left"/>
              <w:rPr/>
            </w:pPr>
            <w:r>
              <w:rPr/>
              <w:t> </w:t>
            </w:r>
          </w:p>
        </w:tc>
      </w:tr>
      <w:tr>
        <w:trPr/>
        <w:tc>
          <w:tcPr>
            <w:tcW w:w="706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assets and liabilities:</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300"/>
              <w:jc w:val="right"/>
              <w:rPr/>
            </w:pPr>
            <w:r>
              <w:rPr/>
              <w:t> </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Interest and dividend receivable</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515" w:type="dxa"/>
            <w:tcBorders/>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397</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515" w:type="dxa"/>
            <w:tcBorders/>
            <w:vAlign w:val="center"/>
          </w:tcPr>
          <w:p>
            <w:pPr>
              <w:pStyle w:val="TableContents"/>
              <w:bidi w:val="0"/>
              <w:spacing w:before="0" w:after="0"/>
              <w:ind w:left="0" w:right="0" w:firstLine="300"/>
              <w:jc w:val="left"/>
              <w:rPr/>
            </w:pPr>
            <w:r>
              <w:rPr/>
              <w:t> </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Receivable for unsettled trades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515" w:type="dxa"/>
            <w:tcBorders/>
            <w:vAlign w:val="center"/>
          </w:tcPr>
          <w:p>
            <w:pPr>
              <w:pStyle w:val="TableContents"/>
              <w:bidi w:val="0"/>
              <w:spacing w:before="0" w:after="0"/>
              <w:ind w:left="0" w:right="0" w:firstLine="300"/>
              <w:jc w:val="left"/>
              <w:rPr/>
            </w:pPr>
            <w:r>
              <w:rPr/>
              <w:t> </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(2,951</w:t>
            </w:r>
          </w:p>
        </w:tc>
        <w:tc>
          <w:tcPr>
            <w:tcW w:w="515" w:type="dxa"/>
            <w:tcBorders/>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Management and incentive fees payable</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515" w:type="dxa"/>
            <w:tcBorders/>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Interest and financing fees payable</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w:t>
            </w:r>
          </w:p>
        </w:tc>
        <w:tc>
          <w:tcPr>
            <w:tcW w:w="515" w:type="dxa"/>
            <w:tcBorders/>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Payable for unsettled trades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(1,772</w:t>
            </w:r>
          </w:p>
        </w:tc>
        <w:tc>
          <w:tcPr>
            <w:tcW w:w="515" w:type="dxa"/>
            <w:tcBorders/>
            <w:vAlign w:val="center"/>
          </w:tcPr>
          <w:p>
            <w:pPr>
              <w:pStyle w:val="TableContents"/>
              <w:bidi w:val="0"/>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(671</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OPERATING ACTIVITIES</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12,407</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100"/>
              <w:jc w:val="righ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Proceeds from issuance of 2032 Notes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13,950</w:t>
            </w:r>
          </w:p>
        </w:tc>
        <w:tc>
          <w:tcPr>
            <w:tcW w:w="515" w:type="dxa"/>
            <w:tcBorders/>
            <w:vAlign w:val="center"/>
          </w:tcPr>
          <w:p>
            <w:pPr>
              <w:pStyle w:val="TableContents"/>
              <w:bidi w:val="0"/>
              <w:spacing w:before="0" w:after="0"/>
              <w:ind w:left="0" w:right="0" w:firstLine="100"/>
              <w:jc w:val="lef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Repayment of 2022 Notes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(22,833</w:t>
            </w:r>
          </w:p>
        </w:tc>
        <w:tc>
          <w:tcPr>
            <w:tcW w:w="515"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Repayment of 2022 Convertible Notes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(52,088</w:t>
            </w:r>
          </w:p>
        </w:tc>
        <w:tc>
          <w:tcPr>
            <w:tcW w:w="515"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Borrowings under KeyBank Credit Facility</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14,000</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49,096</w:t>
            </w:r>
          </w:p>
        </w:tc>
        <w:tc>
          <w:tcPr>
            <w:tcW w:w="515" w:type="dxa"/>
            <w:tcBorders/>
            <w:vAlign w:val="center"/>
          </w:tcPr>
          <w:p>
            <w:pPr>
              <w:pStyle w:val="TableContents"/>
              <w:bidi w:val="0"/>
              <w:spacing w:before="0" w:after="0"/>
              <w:ind w:left="0" w:right="0" w:firstLine="100"/>
              <w:jc w:val="lef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Repayments under KeyBank Credit Facility</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(13,501</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(8,500</w:t>
            </w:r>
          </w:p>
        </w:tc>
        <w:tc>
          <w:tcPr>
            <w:tcW w:w="515" w:type="dxa"/>
            <w:tcBorders/>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paid to shareholders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(1,079</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515" w:type="dxa"/>
            <w:tcBorders/>
            <w:vAlign w:val="center"/>
          </w:tcPr>
          <w:p>
            <w:pPr>
              <w:pStyle w:val="TableContents"/>
              <w:bidi w:val="0"/>
              <w:spacing w:before="0" w:after="0"/>
              <w:ind w:left="0" w:right="0" w:firstLine="100"/>
              <w:jc w:val="lef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515" w:type="dxa"/>
            <w:tcBorders/>
            <w:vAlign w:val="center"/>
          </w:tcPr>
          <w:p>
            <w:pPr>
              <w:pStyle w:val="TableContents"/>
              <w:bidi w:val="0"/>
              <w:spacing w:before="0" w:after="0"/>
              <w:ind w:left="0" w:right="0" w:firstLine="100"/>
              <w:jc w:val="lef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Deferred financing fees paid</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(1,599</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USED IN FINANCING ACTIVITIES</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(870</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(21,974</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8"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(9,567</w:t>
            </w:r>
          </w:p>
        </w:tc>
        <w:tc>
          <w:tcPr>
            <w:tcW w:w="5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6,793</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39,056</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6,287</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29,489</w:t>
            </w:r>
          </w:p>
        </w:tc>
        <w:tc>
          <w:tcPr>
            <w:tcW w:w="5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DISCLOSURE OF CASH FLOW INFORMATION</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100"/>
              <w:jc w:val="righ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Cash paid for interest</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3,809</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3,613</w:t>
            </w:r>
          </w:p>
        </w:tc>
        <w:tc>
          <w:tcPr>
            <w:tcW w:w="515" w:type="dxa"/>
            <w:tcBorders/>
            <w:vAlign w:val="center"/>
          </w:tcPr>
          <w:p>
            <w:pPr>
              <w:pStyle w:val="TableContents"/>
              <w:bidi w:val="0"/>
              <w:spacing w:before="0" w:after="0"/>
              <w:ind w:left="0" w:right="0" w:hanging="0"/>
              <w:jc w:val="left"/>
              <w:rPr/>
            </w:pPr>
            <w:r>
              <w:rPr/>
              <w:t> </w:t>
            </w:r>
          </w:p>
        </w:tc>
      </w:tr>
      <w:tr>
        <w:trPr/>
        <w:tc>
          <w:tcPr>
            <w:tcW w:w="70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DISCLOSURE OF NON-CASH INVESTING AND</w:t>
              <w:br/>
              <w:t>   FINANCING TRANSACTIONS</w:t>
            </w:r>
          </w:p>
        </w:tc>
        <w:tc>
          <w:tcPr>
            <w:tcW w:w="146"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049"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100"/>
              <w:jc w:val="right"/>
              <w:rPr/>
            </w:pPr>
            <w:r>
              <w:rPr/>
              <w:t> </w:t>
            </w:r>
          </w:p>
        </w:tc>
      </w:tr>
      <w:tr>
        <w:trPr/>
        <w:tc>
          <w:tcPr>
            <w:tcW w:w="7065"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paid through dividend reinvestment plan share issuances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03"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0" w:type="dxa"/>
            <w:tcBorders/>
            <w:vAlign w:val="center"/>
          </w:tcPr>
          <w:p>
            <w:pPr>
              <w:pStyle w:val="TableContents"/>
              <w:bidi w:val="0"/>
              <w:spacing w:before="0" w:after="0"/>
              <w:ind w:left="0" w:right="0" w:hanging="0"/>
              <w:jc w:val="right"/>
              <w:rPr/>
            </w:pPr>
            <w:r>
              <w:rPr/>
              <w:t>—</w:t>
            </w:r>
          </w:p>
        </w:tc>
        <w:tc>
          <w:tcPr>
            <w:tcW w:w="51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bookmarkStart w:id="8" w:name="schedule_of_investments"/>
      <w:bookmarkEnd w:id="8"/>
      <w:r>
        <w:rPr>
          <w:rFonts w:ascii="Times New Roman;serif" w:hAnsi="Times New Roman;serif"/>
          <w:b/>
          <w:sz w:val="16"/>
        </w:rPr>
        <w:t>CONSOLIDATED SCHEDULE OF INVESTMENTS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1210"/>
        <w:gridCol w:w="146"/>
        <w:gridCol w:w="710"/>
        <w:gridCol w:w="146"/>
        <w:gridCol w:w="960"/>
        <w:gridCol w:w="146"/>
        <w:gridCol w:w="465"/>
        <w:gridCol w:w="146"/>
        <w:gridCol w:w="609"/>
        <w:gridCol w:w="146"/>
        <w:gridCol w:w="172"/>
        <w:gridCol w:w="585"/>
        <w:gridCol w:w="146"/>
        <w:gridCol w:w="146"/>
        <w:gridCol w:w="146"/>
        <w:gridCol w:w="496"/>
        <w:gridCol w:w="151"/>
        <w:gridCol w:w="146"/>
        <w:gridCol w:w="166"/>
        <w:gridCol w:w="496"/>
        <w:gridCol w:w="151"/>
        <w:gridCol w:w="146"/>
        <w:gridCol w:w="665"/>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7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5692" w:type="dxa"/>
            <w:gridSpan w:val="9"/>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Investments in Non-Control, Non-Affiliate Portfolio Companies - 184.4%</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- 139.6%</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11.49%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+ 6.27%</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08/29/2029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Accurate Background,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11.50%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AIDC Intermediateco 2, LLC (Peak Technologies)</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11.47%</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+ 6.40%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07/22/2027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06/30/2023</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16.19%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 5.25% PIK</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01/01/2025</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+ 7.00%, 5.19% PIK</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10.72%</w:t>
            </w:r>
          </w:p>
        </w:tc>
        <w:tc>
          <w:tcPr>
            <w:tcW w:w="146" w:type="dxa"/>
            <w:tcBorders/>
            <w:vAlign w:val="center"/>
          </w:tcPr>
          <w:p>
            <w:pPr>
              <w:pStyle w:val="TableContents"/>
              <w:bidi w:val="0"/>
              <w:spacing w:before="0" w:after="0"/>
              <w:ind w:left="0" w:right="0" w:hanging="0"/>
              <w:jc w:val="righ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righ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BetaNXT,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10.99%</w:t>
            </w:r>
          </w:p>
        </w:tc>
        <w:tc>
          <w:tcPr>
            <w:tcW w:w="146" w:type="dxa"/>
            <w:tcBorders/>
            <w:vAlign w:val="center"/>
          </w:tcPr>
          <w:p>
            <w:pPr>
              <w:pStyle w:val="TableContents"/>
              <w:bidi w:val="0"/>
              <w:spacing w:before="0" w:after="0"/>
              <w:ind w:left="0" w:right="0" w:hanging="0"/>
              <w:jc w:val="righ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BetaNXT, Inc.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+ 4.25%</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10.95%</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CIMSense</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10.91%</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10.99%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11.13%</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Datalink,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11.95%</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Dodge Data &amp; Analytics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02/12/2029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Epic Staffing Group</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10.99%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06/28/2029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Florida Food Products,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10/18/2028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Fortis Payment Solutions</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10.59%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02/13/2026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Grindr Capital,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13.35%</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Heads Up Technologies</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10.89%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Hudson Hospital OpCo,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13.26%</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HUMC Opco,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13.26%</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Lochner,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11.82%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+ 6.75%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IJKG OpCo,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13.26%</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JO ET Holdings Limited</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18.25%</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 7.00% PIK</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12/15/2026</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12.67%</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05/01/2024</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(16)(18)</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7,261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Material Handling Systems,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10.41%</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06/08/2029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Money Transfer Acquisition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13.45%</w:t>
            </w:r>
          </w:p>
        </w:tc>
        <w:tc>
          <w:tcPr>
            <w:tcW w:w="146" w:type="dxa"/>
            <w:tcBorders/>
            <w:vAlign w:val="center"/>
          </w:tcPr>
          <w:p>
            <w:pPr>
              <w:pStyle w:val="TableContents"/>
              <w:bidi w:val="0"/>
              <w:spacing w:before="0" w:after="0"/>
              <w:ind w:left="0" w:right="0" w:hanging="0"/>
              <w:jc w:val="righ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+ 8.25%</w:t>
            </w:r>
          </w:p>
        </w:tc>
        <w:tc>
          <w:tcPr>
            <w:tcW w:w="146" w:type="dxa"/>
            <w:tcBorders/>
            <w:vAlign w:val="center"/>
          </w:tcPr>
          <w:p>
            <w:pPr>
              <w:pStyle w:val="TableContents"/>
              <w:bidi w:val="0"/>
              <w:spacing w:before="0" w:after="0"/>
              <w:ind w:left="0" w:right="0" w:hanging="0"/>
              <w:jc w:val="righ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righ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12/14/2027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BidCo US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Communication Services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04/11/2029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Patriot Pickle,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10.82%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+ 5.43%</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04/13/2027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Phynet Dermatology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11.87%</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08/16/2024</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Premier Imaging,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01/02/2025</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RN Enterprises,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Sequoia Healthcare Management,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Management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Shock Doctor,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10.59%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05/14/2024</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9.00%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09/20/2027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STG Logistics</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11.39%</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03/24/2028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Symplr Software,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9.65%</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Taoglas Group Holdings Limited</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12.24%</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Taoglas Group Holdings Limited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12.14%</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VBC Spine Opco LLC (DxTx Pain and Spine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13.40%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VBC Spine Opco LLC (DxTx Pain and Spine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 (Revolver)</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141,176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134,373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- 6.4%</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14.50% PIK</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3,772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13.77%</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08/28/2025</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Ivanti Software,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12.42%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+ 7.25%</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12/01/2028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7,719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6,189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 - 25.7%</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Eastport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14.04%</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+ 8.50%</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05/29/2028</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Tubular Textile Machinery, Inc.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Textile Equipment Manufacturer</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10/29/2027</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26,573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24,709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Collateralized Loan Obligations - 2.5%</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4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IV Ltd.</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25.76%</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07/17/2029</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V Ltd.</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28.22%</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07/17/2030</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Collateralized Loan Obligations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Preferred Stock and Units - 2.5%</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A</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B</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(6)(18)</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MicroHoldco, LLC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General Industrial</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Taylor Precision Products, Inc. - Series C</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Household Product Manufacturer</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76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A</w:t>
            </w:r>
          </w:p>
        </w:tc>
        <w:tc>
          <w:tcPr>
            <w:tcW w:w="146"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119"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12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Layout w:type="fixed"/>
        <w:tblCellMar>
          <w:top w:w="28" w:type="dxa"/>
          <w:left w:w="28" w:type="dxa"/>
          <w:bottom w:w="28" w:type="dxa"/>
          <w:right w:w="28" w:type="dxa"/>
        </w:tblCellMar>
      </w:tblPr>
      <w:tblGrid>
        <w:gridCol w:w="1783"/>
        <w:gridCol w:w="146"/>
        <w:gridCol w:w="1333"/>
        <w:gridCol w:w="146"/>
        <w:gridCol w:w="683"/>
        <w:gridCol w:w="146"/>
        <w:gridCol w:w="764"/>
        <w:gridCol w:w="146"/>
        <w:gridCol w:w="455"/>
        <w:gridCol w:w="146"/>
        <w:gridCol w:w="605"/>
        <w:gridCol w:w="146"/>
        <w:gridCol w:w="155"/>
        <w:gridCol w:w="687"/>
        <w:gridCol w:w="146"/>
        <w:gridCol w:w="146"/>
        <w:gridCol w:w="166"/>
        <w:gridCol w:w="496"/>
        <w:gridCol w:w="146"/>
        <w:gridCol w:w="146"/>
        <w:gridCol w:w="166"/>
        <w:gridCol w:w="496"/>
        <w:gridCol w:w="146"/>
        <w:gridCol w:w="146"/>
        <w:gridCol w:w="664"/>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- 7.6%</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Membership Unit Warrants</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 - Class A</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6,030,384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Aperture Dodge 18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2,038,970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 - Class A</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DxTx Pain and Spine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Freedom Electronics,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Electronic Machine Repair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 - Warrants</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409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 Non-Affiliate Portfolio Companies</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192,331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177,424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Investments in Affiliated Portfolio Companies - 30.3%^</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- 3.8%</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12.00%</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(First Out)</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10.17%</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+ 5.00%</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(Last Out)</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13.50%</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(10)(16)</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- 0.9%</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6.00%</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15.00% PIK</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09/12/2023</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Data Processing &amp; Digital Marketing</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Joint Ventures - 0.5%</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 - Series A</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(12)(15)</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Joint Ventures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Preferred Stock and Units - 7.1%</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A-1</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A</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8.00% PIK</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6.00% PIK</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- 18.0%</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A</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1,253,198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B</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1,085,073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B-1</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M-1</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(6)(12)</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3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27,396,364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Affiliated Portfolio Companies^</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left"/>
              <w:rPr/>
            </w:pPr>
            <w:r>
              <w:rPr/>
              <w:t> </w:t>
            </w:r>
          </w:p>
        </w:tc>
      </w:tr>
      <w:tr>
        <w:trPr/>
        <w:tc>
          <w:tcPr>
            <w:tcW w:w="326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- 214.7%</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219,167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206,589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 </w:t>
      </w:r>
      <w:r>
        <w:rPr>
          <w:rFonts w:ascii="Times New Roman;serif" w:hAnsi="Times New Roman;serif"/>
          <w:b w:val="false"/>
          <w:sz w:val="12"/>
        </w:rPr>
        <w:t>As defined in the Investment Company Act of 1940, as amended (the “1940 Act</w:t>
      </w:r>
      <w:r>
        <w:rPr>
          <w:rFonts w:ascii="Times New Roman" w:hAnsi="Times New Roman"/>
          <w:sz w:val="20"/>
        </w:rPr>
        <w:t>”</w:t>
      </w:r>
      <w:r>
        <w:rPr>
          <w:rFonts w:ascii="Times New Roman;serif" w:hAnsi="Times New Roman;serif"/>
          <w:b w:val="false"/>
          <w:sz w:val="12"/>
        </w:rPr>
        <w:t>), the investment is deemed to be an “affiliated person”</w:t>
      </w:r>
      <w:r>
        <w:rPr>
          <w:rFonts w:ascii="Times New Roman" w:hAnsi="Times New Roman"/>
          <w:sz w:val="20"/>
        </w:rPr>
        <w:t xml:space="preserve"> </w:t>
      </w:r>
      <w:r>
        <w:rPr>
          <w:rFonts w:ascii="Times New Roman;serif" w:hAnsi="Times New Roman;serif"/>
          <w:b w:val="false"/>
          <w:sz w:val="12"/>
        </w:rPr>
        <w:t>of the Company because the Company owns, either directly or indirectly, 5% or more of the portfolio company's outstanding voting securities.</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spacing w:before="0" w:after="0"/>
        <w:jc w:val="both"/>
        <w:rPr>
          <w:rFonts w:ascii="Times New Roman" w:hAnsi="Times New Roman"/>
          <w:sz w:val="20"/>
        </w:rPr>
      </w:pPr>
      <w:r>
        <w:rPr>
          <w:rFonts w:ascii="Times New Roman;serif" w:hAnsi="Times New Roman;serif"/>
          <w:b w:val="false"/>
          <w:sz w:val="12"/>
        </w:rPr>
        <w:t>(+) Represents the actual interest rate for partially or fully funded debt in effect as of the reporting date. Variable rate loans bear interest at a rate that may be determined by the larger of the floor of the reference to either LIBOR (“L</w:t>
      </w:r>
      <w:r>
        <w:rPr>
          <w:rFonts w:ascii="Times New Roman" w:hAnsi="Times New Roman"/>
          <w:sz w:val="20"/>
        </w:rPr>
        <w:t>”</w:t>
      </w:r>
      <w:r>
        <w:rPr>
          <w:rFonts w:ascii="Times New Roman;serif" w:hAnsi="Times New Roman;serif"/>
          <w:b w:val="false"/>
          <w:sz w:val="12"/>
        </w:rPr>
        <w:t>), SOFR or alternate base rate (commonly known as the U.S. Prime Rate (“P”), unless otherwise noted) at the borrower's option, which reset periodically based on the terms of the credit agreement. L loans are typically indexed to 6 month, 3 month, or 1 month L rates. SOFR loans are typically indexed to 6 month, 3 month, or 1 month SOFR rates. As of June 30, 2023, rates for the 6 month, 3 month, and 1 month L are 5.76%, 5.55%, and 5.22%, respectively. As of June 30, 2023, rates for the 12 months, 6 month, 3 month and 1 month SOFR are 5.40%, 5.39%, 5.27%, and 5.14%, respectively. As of June 30, 2023, P was 8.25%. For investments with multiple reference rates or alternate base rates, the interest rate shown is the weighted average interest rate in effect at June 30, 2023.</w:t>
      </w:r>
    </w:p>
    <w:p>
      <w:pPr>
        <w:pStyle w:val="TextBody"/>
        <w:bidi w:val="0"/>
        <w:spacing w:before="0" w:after="0"/>
        <w:jc w:val="both"/>
        <w:rPr>
          <w:rFonts w:ascii="Times New Roman" w:hAnsi="Times New Roman"/>
          <w:sz w:val="20"/>
        </w:rPr>
      </w:pPr>
      <w:r>
        <w:rPr>
          <w:rFonts w:ascii="Times New Roman;serif" w:hAnsi="Times New Roman;serif"/>
          <w:b w:val="false"/>
          <w:sz w:val="12"/>
        </w:rPr>
        <w:t>(++) Par amount is presented for debt investments, while the number of shares or units owned is presented for equity investments.</w:t>
      </w:r>
      <w:r>
        <w:rPr>
          <w:rFonts w:ascii="Times New Roman" w:hAnsi="Times New Roman"/>
          <w:sz w:val="20"/>
        </w:rPr>
        <w:t xml:space="preserve"> </w:t>
      </w:r>
    </w:p>
    <w:p>
      <w:pPr>
        <w:pStyle w:val="TextBody"/>
        <w:bidi w:val="0"/>
        <w:spacing w:before="0" w:after="0"/>
        <w:jc w:val="both"/>
        <w:rPr>
          <w:rFonts w:ascii="Times New Roman" w:hAnsi="Times New Roman"/>
          <w:b w:val="false"/>
          <w:sz w:val="12"/>
        </w:rPr>
      </w:pPr>
      <w:r>
        <w:rPr>
          <w:rFonts w:ascii="Times New Roman" w:hAnsi="Times New Roman"/>
          <w:b w:val="false"/>
          <w:sz w:val="12"/>
        </w:rPr>
        <w:t>(1)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All investments valued using unobservable inputs (Level 3), unless otherwise noted.</w:t>
      </w:r>
    </w:p>
    <w:p>
      <w:pPr>
        <w:pStyle w:val="TextBody"/>
        <w:bidi w:val="0"/>
        <w:spacing w:before="0" w:after="0"/>
        <w:jc w:val="both"/>
        <w:rPr>
          <w:rFonts w:ascii="Times New Roman" w:hAnsi="Times New Roman"/>
          <w:b w:val="false"/>
          <w:sz w:val="12"/>
        </w:rPr>
      </w:pPr>
      <w:r>
        <w:rPr>
          <w:rFonts w:ascii="Times New Roman" w:hAnsi="Times New Roman"/>
          <w:b w:val="false"/>
          <w:sz w:val="12"/>
        </w:rPr>
        <w:t>(2)</w:t>
      </w:r>
    </w:p>
    <w:p>
      <w:pPr>
        <w:pStyle w:val="TextBody"/>
        <w:bidi w:val="0"/>
        <w:spacing w:before="0" w:after="0"/>
        <w:jc w:val="both"/>
        <w:rPr/>
      </w:pPr>
      <w:r>
        <w:rPr>
          <w:rFonts w:ascii="Times New Roman;serif" w:hAnsi="Times New Roman;serif"/>
          <w:b w:val="false"/>
          <w:sz w:val="12"/>
        </w:rPr>
        <w:t>The fair value of each of the Company’s investments is determined in good faith using significant unobservable inputs by the Investment Adviser in its role as “valuation designee” in accordance with Rule 2a-5 under the 1940 Act, pursuant to valuation policies and procedures that have been approved by the Company’s board of directors (the “Board</w:t>
      </w:r>
      <w:r>
        <w:rPr/>
        <w:t>”</w:t>
      </w:r>
      <w:r>
        <w:rPr>
          <w:rFonts w:ascii="Times New Roman;serif" w:hAnsi="Times New Roman;serif"/>
          <w:b w:val="false"/>
          <w:sz w:val="12"/>
        </w:rPr>
        <w:t xml:space="preserve">). </w:t>
      </w:r>
    </w:p>
    <w:p>
      <w:pPr>
        <w:pStyle w:val="TextBody"/>
        <w:bidi w:val="0"/>
        <w:spacing w:before="0" w:after="0"/>
        <w:jc w:val="both"/>
        <w:rPr>
          <w:rFonts w:ascii="Times New Roman" w:hAnsi="Times New Roman"/>
          <w:b w:val="false"/>
          <w:sz w:val="12"/>
        </w:rPr>
      </w:pPr>
      <w:r>
        <w:rPr>
          <w:rFonts w:ascii="Times New Roman" w:hAnsi="Times New Roman"/>
          <w:b w:val="false"/>
          <w:sz w:val="12"/>
        </w:rPr>
        <w:t>(3)</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b w:val="false"/>
          <w:sz w:val="12"/>
        </w:rPr>
      </w:pPr>
      <w:r>
        <w:rPr>
          <w:rFonts w:ascii="Times New Roman" w:hAnsi="Times New Roman"/>
          <w:b w:val="false"/>
          <w:sz w:val="12"/>
        </w:rPr>
        <w:t>(4)</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Percentages are based on net assets as of June 30, 2023.</w:t>
      </w:r>
    </w:p>
    <w:p>
      <w:pPr>
        <w:pStyle w:val="TextBody"/>
        <w:bidi w:val="0"/>
        <w:spacing w:before="0" w:after="0"/>
        <w:jc w:val="both"/>
        <w:rPr>
          <w:rFonts w:ascii="Times New Roman" w:hAnsi="Times New Roman"/>
          <w:b w:val="false"/>
          <w:sz w:val="12"/>
        </w:rPr>
      </w:pPr>
      <w:r>
        <w:rPr>
          <w:rFonts w:ascii="Times New Roman" w:hAnsi="Times New Roman"/>
          <w:b w:val="false"/>
          <w:sz w:val="12"/>
        </w:rPr>
        <w:t>(5)</w:t>
      </w:r>
    </w:p>
    <w:p>
      <w:pPr>
        <w:pStyle w:val="TextBody"/>
        <w:bidi w:val="0"/>
        <w:spacing w:before="0" w:after="0"/>
        <w:jc w:val="both"/>
        <w:rPr/>
      </w:pPr>
      <w:r>
        <w:rPr>
          <w:rFonts w:ascii="Times New Roman;serif" w:hAnsi="Times New Roman;serif"/>
          <w:b w:val="false"/>
          <w:sz w:val="12"/>
        </w:rPr>
        <w:t>The Company generally acquires its investments in private transactions exempt from registration under the Securities Act of 1933, as amended (the “Securities Act</w:t>
      </w:r>
      <w:r>
        <w:rPr/>
        <w:t>”</w:t>
      </w:r>
      <w:r>
        <w:rPr>
          <w:rFonts w:ascii="Times New Roman;serif" w:hAnsi="Times New Roman;serif"/>
          <w:b w:val="false"/>
          <w:sz w:val="12"/>
        </w:rPr>
        <w:t>). These investments are generally subject to certain limitations on resale, and may be deemed to be “restricted securities”</w:t>
      </w:r>
      <w:r>
        <w:rPr/>
        <w:t xml:space="preserve"> </w:t>
      </w:r>
      <w:r>
        <w:rPr>
          <w:rFonts w:ascii="Times New Roman;serif" w:hAnsi="Times New Roman;serif"/>
          <w:b w:val="false"/>
          <w:sz w:val="12"/>
        </w:rPr>
        <w:t>under the Securities Act.</w:t>
      </w:r>
    </w:p>
    <w:p>
      <w:pPr>
        <w:pStyle w:val="TextBody"/>
        <w:bidi w:val="0"/>
        <w:spacing w:before="0" w:after="0"/>
        <w:jc w:val="both"/>
        <w:rPr>
          <w:rFonts w:ascii="Times New Roman" w:hAnsi="Times New Roman"/>
          <w:b w:val="false"/>
          <w:sz w:val="12"/>
        </w:rPr>
      </w:pPr>
      <w:r>
        <w:rPr>
          <w:rFonts w:ascii="Times New Roman" w:hAnsi="Times New Roman"/>
          <w:b w:val="false"/>
          <w:sz w:val="12"/>
        </w:rPr>
        <w:t>(6)</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Investment is held through our Taxable Subsidiary (See Note 1).</w:t>
      </w:r>
    </w:p>
    <w:p>
      <w:pPr>
        <w:pStyle w:val="TextBody"/>
        <w:bidi w:val="0"/>
        <w:spacing w:before="0" w:after="0"/>
        <w:jc w:val="both"/>
        <w:rPr>
          <w:rFonts w:ascii="Times New Roman" w:hAnsi="Times New Roman"/>
          <w:b w:val="false"/>
          <w:sz w:val="12"/>
        </w:rPr>
      </w:pPr>
      <w:r>
        <w:rPr>
          <w:rFonts w:ascii="Times New Roman" w:hAnsi="Times New Roman"/>
          <w:b w:val="false"/>
          <w:sz w:val="12"/>
        </w:rPr>
        <w:t>(7)</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Non-accrual investment.</w:t>
      </w:r>
    </w:p>
    <w:p>
      <w:pPr>
        <w:pStyle w:val="TextBody"/>
        <w:bidi w:val="0"/>
        <w:spacing w:before="0" w:after="0"/>
        <w:jc w:val="both"/>
        <w:rPr>
          <w:rFonts w:ascii="Times New Roman" w:hAnsi="Times New Roman"/>
          <w:b w:val="false"/>
          <w:sz w:val="12"/>
        </w:rPr>
      </w:pPr>
      <w:r>
        <w:rPr>
          <w:rFonts w:ascii="Times New Roman" w:hAnsi="Times New Roman"/>
          <w:b w:val="false"/>
          <w:sz w:val="12"/>
        </w:rPr>
        <w:t>(8)</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 xml:space="preserve">1.0% of interest rate payable in cash. The remainder of interest rate payable is either in cash or paid-in-kind at borrower's election. </w:t>
      </w:r>
    </w:p>
    <w:p>
      <w:pPr>
        <w:pStyle w:val="TextBody"/>
        <w:bidi w:val="0"/>
        <w:spacing w:before="0" w:after="0"/>
        <w:jc w:val="both"/>
        <w:rPr>
          <w:rFonts w:ascii="Times New Roman" w:hAnsi="Times New Roman"/>
          <w:b w:val="false"/>
          <w:sz w:val="12"/>
        </w:rPr>
      </w:pPr>
      <w:r>
        <w:rPr>
          <w:rFonts w:ascii="Times New Roman" w:hAnsi="Times New Roman"/>
          <w:b w:val="false"/>
          <w:sz w:val="12"/>
        </w:rPr>
        <w:t>(9)</w:t>
      </w:r>
    </w:p>
    <w:p>
      <w:pPr>
        <w:pStyle w:val="TextBody"/>
        <w:bidi w:val="0"/>
        <w:spacing w:before="0" w:after="0"/>
        <w:jc w:val="both"/>
        <w:rPr/>
      </w:pPr>
      <w:r>
        <w:rPr>
          <w:rFonts w:ascii="Times New Roman;serif" w:hAnsi="Times New Roman;serif"/>
          <w:b w:val="false"/>
          <w:sz w:val="12"/>
        </w:rPr>
        <w:t>15.0% of interest rate payable in cash or paid-in-kind at borrower's election.</w:t>
      </w:r>
      <w:r>
        <w:rPr/>
        <w:t xml:space="preserve"> </w:t>
      </w:r>
    </w:p>
    <w:p>
      <w:pPr>
        <w:pStyle w:val="TextBody"/>
        <w:bidi w:val="0"/>
        <w:spacing w:before="0" w:after="0"/>
        <w:jc w:val="both"/>
        <w:rPr>
          <w:rFonts w:ascii="Times New Roman" w:hAnsi="Times New Roman"/>
          <w:b w:val="false"/>
          <w:sz w:val="12"/>
        </w:rPr>
      </w:pPr>
      <w:r>
        <w:rPr>
          <w:rFonts w:ascii="Times New Roman" w:hAnsi="Times New Roman"/>
          <w:b w:val="false"/>
          <w:sz w:val="12"/>
        </w:rPr>
        <w:t>(10)</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cash rate equals the approximate current yield on our last-out portion of the unitranche facility.</w:t>
      </w:r>
    </w:p>
    <w:p>
      <w:pPr>
        <w:pStyle w:val="TextBody"/>
        <w:bidi w:val="0"/>
        <w:spacing w:before="0" w:after="0"/>
        <w:jc w:val="both"/>
        <w:rPr>
          <w:rFonts w:ascii="Times New Roman" w:hAnsi="Times New Roman"/>
          <w:b w:val="false"/>
          <w:sz w:val="12"/>
        </w:rPr>
      </w:pPr>
      <w:r>
        <w:rPr>
          <w:rFonts w:ascii="Times New Roman" w:hAnsi="Times New Roman"/>
          <w:b w:val="false"/>
          <w:sz w:val="12"/>
        </w:rPr>
        <w:t>(11)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val="false"/>
          <w:sz w:val="12"/>
        </w:rPr>
      </w:pPr>
      <w:r>
        <w:rPr>
          <w:rFonts w:ascii="Times New Roman" w:hAnsi="Times New Roman"/>
          <w:b w:val="false"/>
          <w:sz w:val="12"/>
        </w:rPr>
        <w:t>(12)</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Company has an unfunded loan or investment commitment to the portfolio company at June 30, 2023. (See Note 2).</w:t>
      </w:r>
    </w:p>
    <w:p>
      <w:pPr>
        <w:pStyle w:val="TextBody"/>
        <w:bidi w:val="0"/>
        <w:spacing w:before="0" w:after="0"/>
        <w:jc w:val="both"/>
        <w:rPr>
          <w:rFonts w:ascii="Times New Roman" w:hAnsi="Times New Roman"/>
          <w:b w:val="false"/>
          <w:sz w:val="12"/>
        </w:rPr>
      </w:pPr>
      <w:r>
        <w:rPr>
          <w:rFonts w:ascii="Times New Roman" w:hAnsi="Times New Roman"/>
          <w:b w:val="false"/>
          <w:sz w:val="12"/>
        </w:rPr>
        <w:t>(13)</w:t>
      </w:r>
    </w:p>
    <w:p>
      <w:pPr>
        <w:pStyle w:val="TextBody"/>
        <w:bidi w:val="0"/>
        <w:spacing w:before="0" w:after="0"/>
        <w:jc w:val="both"/>
        <w:rPr/>
      </w:pPr>
      <w:r>
        <w:rPr>
          <w:rFonts w:ascii="Times New Roman;serif" w:hAnsi="Times New Roman;serif"/>
          <w:b w:val="false"/>
          <w:sz w:val="12"/>
        </w:rPr>
        <w:t>Collateralized loan obligations (“CLO</w:t>
      </w:r>
      <w:r>
        <w:rPr/>
        <w:t xml:space="preserve">” </w:t>
      </w:r>
      <w:r>
        <w:rPr>
          <w:rFonts w:ascii="Times New Roman;serif" w:hAnsi="Times New Roman;serif"/>
          <w:b w:val="false"/>
          <w:sz w:val="12"/>
        </w:rPr>
        <w:t>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val="false"/>
          <w:sz w:val="12"/>
        </w:rPr>
      </w:pPr>
      <w:r>
        <w:rPr>
          <w:rFonts w:ascii="Times New Roman" w:hAnsi="Times New Roman"/>
          <w:b w:val="false"/>
          <w:sz w:val="12"/>
        </w:rPr>
        <w:t>(14)</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equity investment is income producing, based on rate disclosed.</w:t>
      </w:r>
    </w:p>
    <w:p>
      <w:pPr>
        <w:pStyle w:val="TextBody"/>
        <w:bidi w:val="0"/>
        <w:spacing w:before="0" w:after="0"/>
        <w:jc w:val="both"/>
        <w:rPr>
          <w:rFonts w:ascii="Times New Roman" w:hAnsi="Times New Roman"/>
          <w:b w:val="false"/>
          <w:sz w:val="12"/>
        </w:rPr>
      </w:pPr>
      <w:r>
        <w:rPr>
          <w:rFonts w:ascii="Times New Roman" w:hAnsi="Times New Roman"/>
          <w:b w:val="false"/>
          <w:sz w:val="12"/>
        </w:rPr>
        <w:t>(15)</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investment is treated as a non-qualifying asset under Section 55(a) of the 1940 Act. Under the 1940 Act, we may not acquire any non-qualifying asset unless, at the time the acquisition is made, qualifying assets represent at least 70% of our total assets. As of June 30, 2023, qualifying assets represent 98.7% of the Company’s total assets and non-qualifying assets represent 1.3% of the Company’s total assets.</w:t>
      </w:r>
    </w:p>
    <w:p>
      <w:pPr>
        <w:pStyle w:val="TextBody"/>
        <w:bidi w:val="0"/>
        <w:spacing w:before="0" w:after="0"/>
        <w:jc w:val="both"/>
        <w:rPr>
          <w:rFonts w:ascii="Times New Roman" w:hAnsi="Times New Roman"/>
          <w:b w:val="false"/>
          <w:sz w:val="12"/>
        </w:rPr>
      </w:pPr>
      <w:r>
        <w:rPr>
          <w:rFonts w:ascii="Times New Roman" w:hAnsi="Times New Roman"/>
          <w:b w:val="false"/>
          <w:sz w:val="12"/>
        </w:rPr>
        <w:t>(16)</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b w:val="false"/>
          <w:sz w:val="12"/>
        </w:rPr>
      </w:pPr>
      <w:r>
        <w:rPr>
          <w:rFonts w:ascii="Times New Roman" w:hAnsi="Times New Roman"/>
          <w:b w:val="false"/>
          <w:sz w:val="12"/>
        </w:rPr>
        <w:t>(17)</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negative cost is the result of the capitalized discount being greater than the principal amount outstanding on the loan.</w:t>
      </w:r>
    </w:p>
    <w:p>
      <w:pPr>
        <w:pStyle w:val="TextBody"/>
        <w:bidi w:val="0"/>
        <w:spacing w:before="0" w:after="0"/>
        <w:jc w:val="both"/>
        <w:rPr>
          <w:rFonts w:ascii="Times New Roman" w:hAnsi="Times New Roman"/>
          <w:b w:val="false"/>
          <w:sz w:val="12"/>
        </w:rPr>
      </w:pPr>
      <w:r>
        <w:rPr>
          <w:rFonts w:ascii="Times New Roman" w:hAnsi="Times New Roman"/>
          <w:b w:val="false"/>
          <w:sz w:val="12"/>
        </w:rPr>
        <w:t>(18)</w:t>
      </w:r>
    </w:p>
    <w:p>
      <w:pPr>
        <w:pStyle w:val="TextBody"/>
        <w:bidi w:val="0"/>
        <w:jc w:val="both"/>
        <w:rPr/>
      </w:pPr>
      <w:r>
        <w:rPr>
          <w:rFonts w:ascii="Times New Roman;serif" w:hAnsi="Times New Roman;serif"/>
          <w:b w:val="false"/>
          <w:sz w:val="12"/>
        </w:rPr>
        <w:t>Classified as Level 2 investment.</w:t>
        <w:br/>
        <w:br/>
      </w:r>
      <w:r>
        <w:rPr/>
        <w:t> </w:t>
      </w:r>
    </w:p>
    <w:p>
      <w:pPr>
        <w:pStyle w:val="TextBody"/>
        <w:bidi w:val="0"/>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bidi w:val="0"/>
        <w:spacing w:before="0" w:after="0"/>
        <w:jc w:val="center"/>
        <w:rPr>
          <w:rFonts w:ascii="Times New Roman;serif" w:hAnsi="Times New Roman;serif"/>
          <w:b/>
          <w:sz w:val="16"/>
        </w:rPr>
      </w:pPr>
      <w:r>
        <w:rPr>
          <w:rFonts w:ascii="Times New Roman;serif" w:hAnsi="Times New Roman;serif"/>
          <w:b/>
          <w:sz w:val="16"/>
        </w:rPr>
        <w:t>December 31, 2022</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525"/>
        <w:gridCol w:w="146"/>
        <w:gridCol w:w="1201"/>
        <w:gridCol w:w="146"/>
        <w:gridCol w:w="704"/>
        <w:gridCol w:w="146"/>
        <w:gridCol w:w="951"/>
        <w:gridCol w:w="146"/>
        <w:gridCol w:w="463"/>
        <w:gridCol w:w="146"/>
        <w:gridCol w:w="608"/>
        <w:gridCol w:w="146"/>
        <w:gridCol w:w="192"/>
        <w:gridCol w:w="575"/>
        <w:gridCol w:w="146"/>
        <w:gridCol w:w="146"/>
        <w:gridCol w:w="166"/>
        <w:gridCol w:w="496"/>
        <w:gridCol w:w="386"/>
        <w:gridCol w:w="146"/>
        <w:gridCol w:w="166"/>
        <w:gridCol w:w="496"/>
        <w:gridCol w:w="151"/>
        <w:gridCol w:w="146"/>
        <w:gridCol w:w="665"/>
      </w:tblGrid>
      <w:tr>
        <w:trPr/>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5428" w:type="dxa"/>
            <w:gridSpan w:val="9"/>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Investments in Non-Control, Non-Affiliate Portfolio Companies - 186.6%</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- 137.7%</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10.83%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08/29/2029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Accurate Background,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4,131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AIDC Intermediateco 2, LLC (Peak Technologies)</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10.44%</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+ 6.40%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07/22/2027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12/18/2022</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15.38%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+ 4.75%, 6.25% PIK</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01/01/2025</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2,486</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11.27%</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+ 7.00%, 4.27% PIK</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9.88%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9.88%</w:t>
            </w:r>
          </w:p>
        </w:tc>
        <w:tc>
          <w:tcPr>
            <w:tcW w:w="146" w:type="dxa"/>
            <w:tcBorders/>
            <w:vAlign w:val="center"/>
          </w:tcPr>
          <w:p>
            <w:pPr>
              <w:pStyle w:val="TableContents"/>
              <w:bidi w:val="0"/>
              <w:spacing w:before="0" w:after="0"/>
              <w:ind w:left="0" w:right="0" w:hanging="0"/>
              <w:jc w:val="righ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vAlign w:val="center"/>
          </w:tcPr>
          <w:p>
            <w:pPr>
              <w:pStyle w:val="TableContents"/>
              <w:bidi w:val="0"/>
              <w:spacing w:before="0" w:after="0"/>
              <w:ind w:left="0" w:right="0" w:hanging="0"/>
              <w:jc w:val="righ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righ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8.87%</w:t>
            </w:r>
          </w:p>
        </w:tc>
        <w:tc>
          <w:tcPr>
            <w:tcW w:w="146" w:type="dxa"/>
            <w:tcBorders/>
            <w:vAlign w:val="center"/>
          </w:tcPr>
          <w:p>
            <w:pPr>
              <w:pStyle w:val="TableContents"/>
              <w:bidi w:val="0"/>
              <w:spacing w:before="0" w:after="0"/>
              <w:ind w:left="0" w:right="0" w:hanging="0"/>
              <w:jc w:val="righ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vAlign w:val="center"/>
          </w:tcPr>
          <w:p>
            <w:pPr>
              <w:pStyle w:val="TableContents"/>
              <w:bidi w:val="0"/>
              <w:spacing w:before="0" w:after="0"/>
              <w:ind w:left="0" w:right="0" w:hanging="0"/>
              <w:jc w:val="righ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+ 4.25%</w:t>
            </w:r>
          </w:p>
        </w:tc>
        <w:tc>
          <w:tcPr>
            <w:tcW w:w="146" w:type="dxa"/>
            <w:tcBorders/>
            <w:vAlign w:val="center"/>
          </w:tcPr>
          <w:p>
            <w:pPr>
              <w:pStyle w:val="TableContents"/>
              <w:bidi w:val="0"/>
              <w:spacing w:before="0" w:after="0"/>
              <w:ind w:left="0" w:right="0" w:hanging="0"/>
              <w:jc w:val="righ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CIMSense</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9.92%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10.48%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5,771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Datalink,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11.48%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+ 6.75%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5,843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11.53%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Dodge Data &amp; Analytics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9.79%</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02/12/2029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Epic Staffing Group</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10.40%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06/28/2029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Florida Food Products,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10/18/2028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Fortis Payment Solutions</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9.93%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02/13/2026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Grindr Capital,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12.52%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Heads Up Technologies</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Hudson Hospital OpCo,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HUMC Opco,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3,967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IJKG OpCo,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JO ET Holdings Limited</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17.53%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 7.00% PIK</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12/15/2026</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11.62%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05/01/2024</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7,855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7,368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10.43%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2,806</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Marble Point Credit Management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10.75%</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08/11/2028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Marble Point Credit Management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08/11/2028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Material Handling Systems,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06/08/2029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Money Transfer Acquisition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12.67%</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+ 8.25%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12/14/2027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6,861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BidCo US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Communication Services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8.82%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04/11/2029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Patriot Pickle,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10.16%</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+ 5.43%</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04/13/2027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Premier Imaging,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01/02/2025</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2,566</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RN Enterprises,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10.78%</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Sequoia Healthcare Management,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Management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Shock Doctor,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9.37%</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05/14/2024</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9.00%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09/20/2027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STG Logistics</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03/24/2028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Symplr Software,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8.69%</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 (Revolver)</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136,961</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130,810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- 5.9%</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14.50% PIK</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12.94%</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+ 8.50%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08/28/2025</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Ivanti Software,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12.01%</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+ 7.25%</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12/01/2028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2,987</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7,401</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 - 27.2%</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Eastport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13.17%</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+ 8.50%</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12.50% PIK</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05/29/2028</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Tubular Textile Machinery, Inc.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Textile Equipment Manufacturer</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10/29/2027</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26,571</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Collateralized Loan Obligations - 5.2%</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IV Ltd.</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24.43%</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07/17/2029</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V Ltd.</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2.16%</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07/17/2030</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4,462</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Collateralized Loan Obligations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6,185</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Preferred Stock and Units - 2.3%</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A</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1,276</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B</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MicroHoldco, LLC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General Industrial</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Taylor Precision Products, Inc. - Series C</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Household Product Manufacturer</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2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A</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72"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6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7,752</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bl>
    <w:p>
      <w:pPr>
        <w:pStyle w:val="TextBody"/>
        <w:bidi w:val="0"/>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bidi w:val="0"/>
        <w:spacing w:before="0" w:after="0"/>
        <w:jc w:val="center"/>
        <w:rPr>
          <w:rFonts w:ascii="Times New Roman;serif" w:hAnsi="Times New Roman;serif"/>
          <w:b/>
          <w:sz w:val="16"/>
        </w:rPr>
      </w:pPr>
      <w:r>
        <w:rPr>
          <w:rFonts w:ascii="Times New Roman;serif" w:hAnsi="Times New Roman;serif"/>
          <w:b/>
          <w:sz w:val="16"/>
        </w:rPr>
        <w:t>December 31,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58"/>
        <w:gridCol w:w="146"/>
        <w:gridCol w:w="1186"/>
        <w:gridCol w:w="146"/>
        <w:gridCol w:w="640"/>
        <w:gridCol w:w="146"/>
        <w:gridCol w:w="736"/>
        <w:gridCol w:w="146"/>
        <w:gridCol w:w="437"/>
        <w:gridCol w:w="146"/>
        <w:gridCol w:w="600"/>
        <w:gridCol w:w="146"/>
        <w:gridCol w:w="152"/>
        <w:gridCol w:w="675"/>
        <w:gridCol w:w="386"/>
        <w:gridCol w:w="146"/>
        <w:gridCol w:w="166"/>
        <w:gridCol w:w="496"/>
        <w:gridCol w:w="386"/>
        <w:gridCol w:w="146"/>
        <w:gridCol w:w="166"/>
        <w:gridCol w:w="496"/>
        <w:gridCol w:w="146"/>
        <w:gridCol w:w="146"/>
        <w:gridCol w:w="665"/>
      </w:tblGrid>
      <w:tr>
        <w:trPr/>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- 8.3%</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righ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firstLine="240"/>
              <w:jc w:val="righ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20,092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Membership Unit Warrants</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49,295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 - Class A</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6,030,384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3,198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Aperture Dodge 18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2,033,247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 - Class A</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217,013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286</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Freedom Electronics,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Electronic Machine Repair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181,818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 - Warrants</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6,565</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3676"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 Non-Affiliate Portfolio Companies</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191,435</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177,268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Investments in Affiliated Portfolio Companies - 27.7%^</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- 6.4%</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12.00%</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(First Out)</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9.12%</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 + 5.00%</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(Last Out)</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12.45%</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(10)(16)</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6,086</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- 1.0%</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6.00%</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15.00% PIK</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09/12/2023</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Data Processing &amp; Digital Marketing</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Joint Ventures - 0.4%</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 - Series A</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(12)(15)</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Joint Ventures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Preferred Stock and Units - 8.7%</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A-1</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3,477</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A</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8.00% PIK</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6.00% PIK</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6,716</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- 11.2%</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A</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1,253,198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B</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1,085,073</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B-1</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M-1</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(6)(12)</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6,088,000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6,088</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5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15,068,000</w:t>
            </w:r>
          </w:p>
        </w:tc>
        <w:tc>
          <w:tcPr>
            <w:tcW w:w="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6,958</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14,983</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Affiliated Portfolio Companies^</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29,081</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2890" w:type="dxa"/>
            <w:gridSpan w:val="3"/>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- 214.3%</w:t>
            </w:r>
          </w:p>
        </w:tc>
        <w:tc>
          <w:tcPr>
            <w:tcW w:w="14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220,516</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firstLine="240"/>
              <w:jc w:val="left"/>
              <w:rPr/>
            </w:pPr>
            <w:r>
              <w:rPr/>
              <w:t> </w:t>
            </w:r>
          </w:p>
        </w:tc>
        <w:tc>
          <w:tcPr>
            <w:tcW w:w="146" w:type="dxa"/>
            <w:tcBorders/>
            <w:vAlign w:val="center"/>
          </w:tcPr>
          <w:p>
            <w:pPr>
              <w:pStyle w:val="TableContents"/>
              <w:bidi w:val="0"/>
              <w:spacing w:before="0" w:after="0"/>
              <w:ind w:left="24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 </w:t>
      </w:r>
      <w:r>
        <w:rPr>
          <w:rFonts w:ascii="Times New Roman;serif" w:hAnsi="Times New Roman;serif"/>
          <w:b w:val="false"/>
          <w:sz w:val="12"/>
        </w:rPr>
        <w:t>As defined in the 1940 Act, the investment is deemed to be an "affiliated person" of the Company because the Company owns, either directly or indirectly, 5% or more of the portfolio company's outstanding voting securities.</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 Represents the actual interest rate for partially or fully funded debt in effect as of the reporting date. Variable rate loans bear interest at a rate that may be determined by the larger of the floor of the reference to either LIBOR ("L"), SOFR, or alternate base rate (unless otherwise noted) at the borrower's option, which reset periodically based on the terms of the credit agreement. L loans are typically indexed to 6 month, 3 month, or 1 month L rates. SOFR loans are typically indexed to 6 month, 3 month, or 1 month SOFR rates. As of December 31, 2022, rates for the 6 month, 3 month, and 1 month L are 5.14%, 4.77% and 4.39%, respectively. As of December 31, 2022, rates for the 6 month, 3 month, and 1 month SOFR are 4.78%, 4.59% and 4.36%, respectively. For investments with multiple reference rates or alternate base rates, the interest rate shown is the weighted average interest rate in effect at December 31, 2022.</w:t>
      </w:r>
    </w:p>
    <w:p>
      <w:pPr>
        <w:pStyle w:val="TextBody"/>
        <w:bidi w:val="0"/>
        <w:spacing w:before="0" w:after="0"/>
        <w:jc w:val="both"/>
        <w:rPr>
          <w:rFonts w:ascii="Times New Roman" w:hAnsi="Times New Roman"/>
          <w:sz w:val="20"/>
        </w:rPr>
      </w:pPr>
      <w:r>
        <w:rPr>
          <w:rFonts w:ascii="Times New Roman;serif" w:hAnsi="Times New Roman;serif"/>
          <w:b w:val="false"/>
          <w:sz w:val="12"/>
        </w:rPr>
        <w:t>(++) Par amount is presented for debt investments, while the number of shares or units owned is presented for equity investments.</w:t>
      </w:r>
      <w:r>
        <w:rPr>
          <w:rFonts w:ascii="Times New Roman" w:hAnsi="Times New Roman"/>
          <w:sz w:val="20"/>
        </w:rPr>
        <w:t xml:space="preserve"> </w:t>
      </w:r>
    </w:p>
    <w:p>
      <w:pPr>
        <w:pStyle w:val="TextBody"/>
        <w:bidi w:val="0"/>
        <w:spacing w:before="0" w:after="0"/>
        <w:jc w:val="both"/>
        <w:rPr>
          <w:rFonts w:ascii="Times New Roman" w:hAnsi="Times New Roman"/>
          <w:b w:val="false"/>
          <w:sz w:val="12"/>
        </w:rPr>
      </w:pPr>
      <w:r>
        <w:rPr>
          <w:rFonts w:ascii="Times New Roman" w:hAnsi="Times New Roman"/>
          <w:b w:val="false"/>
          <w:sz w:val="12"/>
        </w:rPr>
        <w:t>(1)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All investments valued using unobservable inputs (Level 3), unless otherwise noted.</w:t>
      </w:r>
    </w:p>
    <w:p>
      <w:pPr>
        <w:pStyle w:val="TextBody"/>
        <w:bidi w:val="0"/>
        <w:spacing w:before="0" w:after="0"/>
        <w:jc w:val="both"/>
        <w:rPr>
          <w:rFonts w:ascii="Times New Roman" w:hAnsi="Times New Roman"/>
          <w:b w:val="false"/>
          <w:sz w:val="12"/>
        </w:rPr>
      </w:pPr>
      <w:r>
        <w:rPr>
          <w:rFonts w:ascii="Times New Roman" w:hAnsi="Times New Roman"/>
          <w:b w:val="false"/>
          <w:sz w:val="12"/>
        </w:rPr>
        <w:t>(2)</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0" w:after="0"/>
        <w:jc w:val="both"/>
        <w:rPr>
          <w:rFonts w:ascii="Times New Roman" w:hAnsi="Times New Roman"/>
          <w:b w:val="false"/>
          <w:sz w:val="12"/>
        </w:rPr>
      </w:pPr>
      <w:r>
        <w:rPr>
          <w:rFonts w:ascii="Times New Roman" w:hAnsi="Times New Roman"/>
          <w:b w:val="false"/>
          <w:sz w:val="12"/>
        </w:rPr>
        <w:t>(3)</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b w:val="false"/>
          <w:sz w:val="12"/>
        </w:rPr>
      </w:pPr>
      <w:r>
        <w:rPr>
          <w:rFonts w:ascii="Times New Roman" w:hAnsi="Times New Roman"/>
          <w:b w:val="false"/>
          <w:sz w:val="12"/>
        </w:rPr>
        <w:t>(4)</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Percentages are based on net assets as of December 31, 2022.</w:t>
      </w:r>
    </w:p>
    <w:p>
      <w:pPr>
        <w:pStyle w:val="TextBody"/>
        <w:bidi w:val="0"/>
        <w:spacing w:before="0" w:after="0"/>
        <w:jc w:val="both"/>
        <w:rPr>
          <w:rFonts w:ascii="Times New Roman" w:hAnsi="Times New Roman"/>
          <w:b w:val="false"/>
          <w:sz w:val="12"/>
        </w:rPr>
      </w:pPr>
      <w:r>
        <w:rPr>
          <w:rFonts w:ascii="Times New Roman" w:hAnsi="Times New Roman"/>
          <w:b w:val="false"/>
          <w:sz w:val="12"/>
        </w:rPr>
        <w:t>(5)</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bidi w:val="0"/>
        <w:spacing w:before="0" w:after="0"/>
        <w:jc w:val="both"/>
        <w:rPr>
          <w:rFonts w:ascii="Times New Roman" w:hAnsi="Times New Roman"/>
          <w:b w:val="false"/>
          <w:sz w:val="12"/>
        </w:rPr>
      </w:pPr>
      <w:r>
        <w:rPr>
          <w:rFonts w:ascii="Times New Roman" w:hAnsi="Times New Roman"/>
          <w:b w:val="false"/>
          <w:sz w:val="12"/>
        </w:rPr>
        <w:t>(6)</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Investment is held through our Taxable Subsidiary (See Note 1).</w:t>
      </w:r>
    </w:p>
    <w:p>
      <w:pPr>
        <w:pStyle w:val="TextBody"/>
        <w:bidi w:val="0"/>
        <w:spacing w:before="0" w:after="0"/>
        <w:jc w:val="both"/>
        <w:rPr>
          <w:rFonts w:ascii="Times New Roman" w:hAnsi="Times New Roman"/>
          <w:b w:val="false"/>
          <w:sz w:val="12"/>
        </w:rPr>
      </w:pPr>
      <w:r>
        <w:rPr>
          <w:rFonts w:ascii="Times New Roman" w:hAnsi="Times New Roman"/>
          <w:b w:val="false"/>
          <w:sz w:val="12"/>
        </w:rPr>
        <w:t>(7)</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Non-accrual investment.</w:t>
      </w:r>
    </w:p>
    <w:p>
      <w:pPr>
        <w:pStyle w:val="TextBody"/>
        <w:bidi w:val="0"/>
        <w:spacing w:before="0" w:after="0"/>
        <w:jc w:val="both"/>
        <w:rPr>
          <w:rFonts w:ascii="Times New Roman" w:hAnsi="Times New Roman"/>
          <w:b w:val="false"/>
          <w:sz w:val="12"/>
        </w:rPr>
      </w:pPr>
      <w:r>
        <w:rPr>
          <w:rFonts w:ascii="Times New Roman" w:hAnsi="Times New Roman"/>
          <w:b w:val="false"/>
          <w:sz w:val="12"/>
        </w:rPr>
        <w:t>(8)</w:t>
      </w:r>
    </w:p>
    <w:p>
      <w:pPr>
        <w:pStyle w:val="TextBody"/>
        <w:bidi w:val="0"/>
        <w:spacing w:before="0" w:after="0"/>
        <w:jc w:val="both"/>
        <w:rPr/>
      </w:pPr>
      <w:r>
        <w:rPr>
          <w:rFonts w:ascii="Times New Roman;serif" w:hAnsi="Times New Roman;serif"/>
          <w:b w:val="false"/>
          <w:sz w:val="12"/>
        </w:rPr>
        <w:t>1.0% interest rate payable in cash. 9.0% interest rate payable in cash or paid-in-kind at borrower's election.</w:t>
      </w:r>
      <w:r>
        <w:rPr/>
        <w:t xml:space="preserve"> </w:t>
      </w:r>
    </w:p>
    <w:p>
      <w:pPr>
        <w:pStyle w:val="TextBody"/>
        <w:bidi w:val="0"/>
        <w:spacing w:before="0" w:after="0"/>
        <w:jc w:val="both"/>
        <w:rPr>
          <w:rFonts w:ascii="Times New Roman" w:hAnsi="Times New Roman"/>
          <w:b w:val="false"/>
          <w:sz w:val="12"/>
        </w:rPr>
      </w:pPr>
      <w:r>
        <w:rPr>
          <w:rFonts w:ascii="Times New Roman" w:hAnsi="Times New Roman"/>
          <w:b w:val="false"/>
          <w:sz w:val="12"/>
        </w:rPr>
        <w:t>(9)</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15.0% interest rate payable in cash or paid-in-kind at borrower's election.</w:t>
      </w:r>
    </w:p>
    <w:p>
      <w:pPr>
        <w:pStyle w:val="TextBody"/>
        <w:bidi w:val="0"/>
        <w:spacing w:before="0" w:after="0"/>
        <w:jc w:val="both"/>
        <w:rPr>
          <w:rFonts w:ascii="Times New Roman" w:hAnsi="Times New Roman"/>
          <w:b w:val="false"/>
          <w:sz w:val="12"/>
        </w:rPr>
      </w:pPr>
      <w:r>
        <w:rPr>
          <w:rFonts w:ascii="Times New Roman" w:hAnsi="Times New Roman"/>
          <w:b w:val="false"/>
          <w:sz w:val="12"/>
        </w:rPr>
        <w:t>(10)</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cash rate equals the approximate current yield on our last-out portion of the unitranche facility.</w:t>
      </w:r>
    </w:p>
    <w:p>
      <w:pPr>
        <w:pStyle w:val="TextBody"/>
        <w:bidi w:val="0"/>
        <w:spacing w:before="0" w:after="0"/>
        <w:jc w:val="both"/>
        <w:rPr>
          <w:rFonts w:ascii="Times New Roman" w:hAnsi="Times New Roman"/>
          <w:b w:val="false"/>
          <w:sz w:val="12"/>
        </w:rPr>
      </w:pPr>
      <w:r>
        <w:rPr>
          <w:rFonts w:ascii="Times New Roman" w:hAnsi="Times New Roman"/>
          <w:b w:val="false"/>
          <w:sz w:val="12"/>
        </w:rPr>
        <w:t>(11)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val="false"/>
          <w:sz w:val="12"/>
        </w:rPr>
      </w:pPr>
      <w:r>
        <w:rPr>
          <w:rFonts w:ascii="Times New Roman" w:hAnsi="Times New Roman"/>
          <w:b w:val="false"/>
          <w:sz w:val="12"/>
        </w:rPr>
        <w:t>(12)</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Company has an unfunded loan or investment commitment to the portfolio company at December 31, 2022. (See Note 2).</w:t>
      </w:r>
    </w:p>
    <w:p>
      <w:pPr>
        <w:pStyle w:val="TextBody"/>
        <w:bidi w:val="0"/>
        <w:spacing w:before="0" w:after="0"/>
        <w:jc w:val="both"/>
        <w:rPr>
          <w:rFonts w:ascii="Times New Roman" w:hAnsi="Times New Roman"/>
          <w:b w:val="false"/>
          <w:sz w:val="12"/>
        </w:rPr>
      </w:pPr>
      <w:r>
        <w:rPr>
          <w:rFonts w:ascii="Times New Roman" w:hAnsi="Times New Roman"/>
          <w:b w:val="false"/>
          <w:sz w:val="12"/>
        </w:rPr>
        <w:t>(13)</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val="false"/>
          <w:sz w:val="12"/>
        </w:rPr>
      </w:pPr>
      <w:r>
        <w:rPr>
          <w:rFonts w:ascii="Times New Roman" w:hAnsi="Times New Roman"/>
          <w:b w:val="false"/>
          <w:sz w:val="12"/>
        </w:rPr>
        <w:t>(14)</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equity investment is income producing, based on rate disclosed.</w:t>
      </w:r>
    </w:p>
    <w:p>
      <w:pPr>
        <w:pStyle w:val="TextBody"/>
        <w:bidi w:val="0"/>
        <w:spacing w:before="0" w:after="0"/>
        <w:jc w:val="both"/>
        <w:rPr>
          <w:rFonts w:ascii="Times New Roman" w:hAnsi="Times New Roman"/>
          <w:b w:val="false"/>
          <w:sz w:val="12"/>
        </w:rPr>
      </w:pPr>
      <w:r>
        <w:rPr>
          <w:rFonts w:ascii="Times New Roman" w:hAnsi="Times New Roman"/>
          <w:b w:val="false"/>
          <w:sz w:val="12"/>
        </w:rPr>
        <w:t>(15)</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97.5% of the Company’s total assets and non-qualifying assets represent 2.5% of the Company’s total assets.</w:t>
      </w:r>
    </w:p>
    <w:p>
      <w:pPr>
        <w:pStyle w:val="TextBody"/>
        <w:bidi w:val="0"/>
        <w:spacing w:before="0" w:after="0"/>
        <w:jc w:val="both"/>
        <w:rPr>
          <w:rFonts w:ascii="Times New Roman" w:hAnsi="Times New Roman"/>
          <w:b w:val="false"/>
          <w:sz w:val="12"/>
        </w:rPr>
      </w:pPr>
      <w:r>
        <w:rPr>
          <w:rFonts w:ascii="Times New Roman" w:hAnsi="Times New Roman"/>
          <w:b w:val="false"/>
          <w:sz w:val="12"/>
        </w:rPr>
        <w:t>(16)</w:t>
      </w:r>
    </w:p>
    <w:p>
      <w:pPr>
        <w:pStyle w:val="TextBody"/>
        <w:bidi w:val="0"/>
        <w:jc w:val="both"/>
        <w:rPr>
          <w:rFonts w:ascii="Times New Roman;serif" w:hAnsi="Times New Roman;serif"/>
          <w:b w:val="false"/>
          <w:sz w:val="12"/>
        </w:rPr>
      </w:pPr>
      <w:r>
        <w:rPr>
          <w:rFonts w:ascii="Times New Roman;serif" w:hAnsi="Times New Roman;serif"/>
          <w:b w:val="false"/>
          <w:sz w:val="12"/>
        </w:rPr>
        <w:t>All or a portion of this security is pledged as collateral under the KeyBank Credit Facility and held through the Company's wholly-owned subsidiary Capitala Business Lending, LLC.</w:t>
      </w:r>
    </w:p>
    <w:p>
      <w:pPr>
        <w:pStyle w:val="TextBody"/>
        <w:bidi w:val="0"/>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bookmarkStart w:id="9" w:name="notes_to_consolidated_financial"/>
      <w:bookmarkEnd w:id="9"/>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center"/>
        <w:rPr/>
      </w:pPr>
      <w:r>
        <w:rPr/>
        <w:t> </w:t>
      </w:r>
    </w:p>
    <w:p>
      <w:pPr>
        <w:pStyle w:val="TextBody"/>
        <w:bidi w:val="0"/>
        <w:spacing w:before="0" w:after="120"/>
        <w:jc w:val="left"/>
        <w:rPr>
          <w:rFonts w:ascii="Times New Roman;serif" w:hAnsi="Times New Roman;serif"/>
          <w:b/>
          <w:sz w:val="16"/>
        </w:rPr>
      </w:pPr>
      <w:r>
        <w:rPr>
          <w:rFonts w:ascii="Times New Roman;serif" w:hAnsi="Times New Roman;serif"/>
          <w:b/>
          <w:sz w:val="16"/>
        </w:rPr>
        <w:t>Note 1. Organization</w:t>
      </w:r>
    </w:p>
    <w:p>
      <w:pPr>
        <w:pStyle w:val="TextBody"/>
        <w:bidi w:val="0"/>
        <w:spacing w:before="120" w:after="0"/>
        <w:jc w:val="both"/>
        <w:rPr>
          <w:rFonts w:ascii="Times New Roman" w:hAnsi="Times New Roman"/>
          <w:sz w:val="20"/>
        </w:rPr>
      </w:pPr>
      <w:r>
        <w:rPr>
          <w:rFonts w:ascii="Times New Roman;serif" w:hAnsi="Times New Roman;serif"/>
          <w:b w:val="false"/>
          <w:sz w:val="16"/>
        </w:rPr>
        <w:t>Logan Ridge Finance Corporation (“Logan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Adviser”),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bidi w:val="0"/>
        <w:spacing w:before="120" w:after="0"/>
        <w:jc w:val="both"/>
        <w:rPr>
          <w:rFonts w:ascii="Times New Roman" w:hAnsi="Times New Roman"/>
          <w:sz w:val="20"/>
        </w:rPr>
      </w:pPr>
      <w:r>
        <w:rPr>
          <w:rFonts w:ascii="Times New Roman;serif" w:hAnsi="Times New Roman;serif"/>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sz w:val="20"/>
        </w:rPr>
        <w:t xml:space="preserve"> </w:t>
      </w:r>
      <w:r>
        <w:rPr>
          <w:rFonts w:ascii="Times New Roman;serif" w:hAnsi="Times New Roman;serif"/>
          <w:b w:val="false"/>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sz w:val="20"/>
        </w:rPr>
        <w:t xml:space="preserve"> </w:t>
      </w:r>
      <w:r>
        <w:rPr>
          <w:rFonts w:ascii="Times New Roman;serif" w:hAnsi="Times New Roman;serif"/>
          <w:b w:val="false"/>
          <w:sz w:val="16"/>
        </w:rPr>
        <w:t>shares of the Company’s common stock at a price of $20.00</w:t>
      </w:r>
      <w:r>
        <w:rPr>
          <w:rFonts w:ascii="Times New Roman" w:hAnsi="Times New Roman"/>
          <w:sz w:val="20"/>
        </w:rPr>
        <w:t xml:space="preserve"> </w:t>
      </w:r>
      <w:r>
        <w:rPr>
          <w:rFonts w:ascii="Times New Roman;serif" w:hAnsi="Times New Roman;serif"/>
          <w:b w:val="false"/>
          <w:sz w:val="16"/>
        </w:rPr>
        <w:t>per share, resulting in net proceeds to the Company of $74.25</w:t>
      </w:r>
      <w:r>
        <w:rPr>
          <w:rFonts w:ascii="Times New Roman" w:hAnsi="Times New Roman"/>
          <w:sz w:val="20"/>
        </w:rPr>
        <w:t xml:space="preserve"> </w:t>
      </w:r>
      <w:r>
        <w:rPr>
          <w:rFonts w:ascii="Times New Roman;serif" w:hAnsi="Times New Roman;serif"/>
          <w:b w:val="false"/>
          <w:sz w:val="16"/>
        </w:rPr>
        <w:t>million, after deducting underwriting fees and commissions totaling $4.0</w:t>
      </w:r>
      <w:r>
        <w:rPr>
          <w:rFonts w:ascii="Times New Roman" w:hAnsi="Times New Roman"/>
          <w:sz w:val="20"/>
        </w:rPr>
        <w:t xml:space="preserve"> </w:t>
      </w:r>
      <w:r>
        <w:rPr>
          <w:rFonts w:ascii="Times New Roman;serif" w:hAnsi="Times New Roman;serif"/>
          <w:b w:val="false"/>
          <w:sz w:val="16"/>
        </w:rPr>
        <w:t>million and offering expenses totaling $1.75</w:t>
      </w:r>
      <w:r>
        <w:rPr>
          <w:rFonts w:ascii="Times New Roman" w:hAnsi="Times New Roman"/>
          <w:sz w:val="20"/>
        </w:rPr>
        <w:t xml:space="preserve"> </w:t>
      </w:r>
      <w:r>
        <w:rPr>
          <w:rFonts w:ascii="Times New Roman;serif" w:hAnsi="Times New Roman;serif"/>
          <w:b w:val="false"/>
          <w:sz w:val="16"/>
        </w:rPr>
        <w:t>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Accordingly, as of June 30, 2023 and December 31, 2022, there were no</w:t>
      </w:r>
      <w:r>
        <w:rPr>
          <w:rFonts w:ascii="Times New Roman" w:hAnsi="Times New Roman"/>
          <w:sz w:val="20"/>
        </w:rPr>
        <w:t xml:space="preserve"> </w:t>
      </w:r>
      <w:r>
        <w:rPr>
          <w:rFonts w:ascii="Times New Roman;serif" w:hAnsi="Times New Roman;serif"/>
          <w:b w:val="false"/>
          <w:sz w:val="16"/>
        </w:rPr>
        <w:t>SBA-guaranteed debentures outstanding.</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Logan Ridge Finance Corporation.</w:t>
      </w:r>
    </w:p>
    <w:p>
      <w:pPr>
        <w:pStyle w:val="TextBody"/>
        <w:bidi w:val="0"/>
        <w:spacing w:before="120" w:after="120"/>
        <w:jc w:val="both"/>
        <w:rPr>
          <w:rFonts w:ascii="Times New Roman;serif" w:hAnsi="Times New Roman;serif"/>
          <w:b/>
          <w:sz w:val="16"/>
        </w:rPr>
      </w:pPr>
      <w:r>
        <w:rPr>
          <w:rFonts w:ascii="Times New Roman;serif" w:hAnsi="Times New Roman;serif"/>
          <w:b/>
          <w:sz w:val="16"/>
        </w:rPr>
        <w:t>Definitive Agreement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 Unless earlier terminated in accordance with its terms, the Investment Advisory Agreement will remain in effect from year to year if approved annually by the Board or by a majority of our outstanding voting securities, including, in either case, by a majority of our directors who are not “interest persons” as such term is defined in Section 2(a)(19) of the 1940 Act (“Independent Directors”). The Board most recently approved the renewal of the Investment Advisory Agreement at a meeting on May 9, 2023.</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0"/>
        <w:jc w:val="both"/>
        <w:rPr>
          <w:rFonts w:ascii="Times New Roman" w:hAnsi="Times New Roman"/>
          <w:sz w:val="20"/>
        </w:rPr>
      </w:pPr>
      <w:r>
        <w:rPr>
          <w:rFonts w:ascii="Times New Roman;serif" w:hAnsi="Times New Roman;serif"/>
          <w:b w:val="false"/>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bidi w:val="0"/>
        <w:spacing w:before="120" w:after="0"/>
        <w:jc w:val="both"/>
        <w:rPr>
          <w:rFonts w:ascii="Times New Roman" w:hAnsi="Times New Roman"/>
          <w:sz w:val="20"/>
        </w:rPr>
      </w:pPr>
      <w:r>
        <w:rPr>
          <w:rFonts w:ascii="Times New Roman;serif" w:hAnsi="Times New Roman;serif"/>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2. Summary of Significant Accounting Policies</w:t>
      </w:r>
    </w:p>
    <w:p>
      <w:pPr>
        <w:pStyle w:val="TextBody"/>
        <w:bidi w:val="0"/>
        <w:spacing w:before="0" w:after="120"/>
        <w:jc w:val="left"/>
        <w:rPr>
          <w:rFonts w:ascii="Times New Roman;serif" w:hAnsi="Times New Roman;serif"/>
          <w:b/>
          <w:sz w:val="16"/>
        </w:rPr>
      </w:pPr>
      <w:r>
        <w:rPr>
          <w:rFonts w:ascii="Times New Roman;serif" w:hAnsi="Times New Roman;serif"/>
          <w:b/>
          <w:sz w:val="16"/>
        </w:rPr>
        <w:t>Basis of Presentation</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Company is considered an investment company as defined in Accounting Standards Codification (“ASC”) Topic 946 — Financial Services — Investment Companies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Company’s financial statements as of June 30, 2023 and December 31, 2022 and for the periods ended June 30,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U.S. Securities and Exchange Commission (“SEC”) on March 9, 2023.</w:t>
      </w:r>
    </w:p>
    <w:p>
      <w:pPr>
        <w:pStyle w:val="TextBody"/>
        <w:bidi w:val="0"/>
        <w:spacing w:before="120" w:after="120"/>
        <w:jc w:val="left"/>
        <w:rPr>
          <w:rFonts w:ascii="Times New Roman;serif" w:hAnsi="Times New Roman;serif"/>
          <w:b/>
          <w:sz w:val="16"/>
        </w:rPr>
      </w:pPr>
      <w:r>
        <w:rPr>
          <w:rFonts w:ascii="Times New Roman;serif" w:hAnsi="Times New Roman;serif"/>
          <w:b/>
          <w:sz w:val="16"/>
        </w:rPr>
        <w:t>Use of Estimates in the Preparation of Financial Statements</w:t>
      </w:r>
    </w:p>
    <w:p>
      <w:pPr>
        <w:pStyle w:val="TextBody"/>
        <w:bidi w:val="0"/>
        <w:spacing w:before="0" w:after="0"/>
        <w:jc w:val="both"/>
        <w:rPr>
          <w:rFonts w:ascii="Times New Roman" w:hAnsi="Times New Roman"/>
          <w:sz w:val="20"/>
        </w:rPr>
      </w:pPr>
      <w:r>
        <w:rPr>
          <w:rFonts w:ascii="Times New Roman;serif" w:hAnsi="Times New Roman;serif"/>
          <w:b w:val="false"/>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Consolidation</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w:t>
        <w:br/>
      </w:r>
      <w:r>
        <w:rPr>
          <w:rFonts w:ascii="Times New Roman" w:hAnsi="Times New Roman"/>
          <w:sz w:val="20"/>
        </w:rPr>
        <w:t> </w:t>
      </w:r>
    </w:p>
    <w:p>
      <w:pPr>
        <w:pStyle w:val="TextBody"/>
        <w:bidi w:val="0"/>
        <w:spacing w:before="120" w:after="120"/>
        <w:jc w:val="both"/>
        <w:rPr>
          <w:rFonts w:ascii="Times New Roman;serif" w:hAnsi="Times New Roman;serif"/>
          <w:b/>
          <w:sz w:val="16"/>
        </w:rPr>
      </w:pPr>
      <w:r>
        <w:rPr>
          <w:rFonts w:ascii="Times New Roman;serif" w:hAnsi="Times New Roman;serif"/>
          <w:b/>
          <w:sz w:val="16"/>
        </w:rPr>
        <w:t>Cash and Cash Equivalents</w:t>
      </w:r>
    </w:p>
    <w:p>
      <w:pPr>
        <w:pStyle w:val="TextBody"/>
        <w:bidi w:val="0"/>
        <w:spacing w:before="0" w:after="0"/>
        <w:jc w:val="both"/>
        <w:rPr>
          <w:rFonts w:ascii="Times New Roman" w:hAnsi="Times New Roman"/>
          <w:sz w:val="20"/>
        </w:rPr>
      </w:pPr>
      <w:r>
        <w:rPr>
          <w:rFonts w:ascii="Times New Roman;serif" w:hAnsi="Times New Roman;serif"/>
          <w:b w:val="false"/>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Investment Classification</w:t>
      </w:r>
    </w:p>
    <w:p>
      <w:pPr>
        <w:pStyle w:val="TextBody"/>
        <w:bidi w:val="0"/>
        <w:spacing w:before="0" w:after="0"/>
        <w:jc w:val="both"/>
        <w:rPr>
          <w:rFonts w:ascii="Times New Roman" w:hAnsi="Times New Roman"/>
          <w:sz w:val="20"/>
        </w:rPr>
      </w:pPr>
      <w:r>
        <w:rPr>
          <w:rFonts w:ascii="Times New Roman;serif" w:hAnsi="Times New Roman;serif"/>
          <w:b w:val="false"/>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Valuation of Investments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Investment Adviser undertakes a multi-step valuation process, which includes, among other procedures, the following: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xml:space="preserve">Preliminary valuations are reviewed and discussed with management of the Investment Adviser and investment professionals;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16"/>
        </w:rPr>
      </w:pPr>
      <w:r>
        <w:rPr>
          <w:rFonts w:ascii="Times New Roman;serif" w:hAnsi="Times New Roman;serif"/>
          <w:b w:val="false"/>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1: Unadjusted quoted prices in active markets for identical assets or liabilities that are accessible to the Company.</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3: Significant inputs that are unobservable for an asset or liability.</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sz w:val="20"/>
        </w:rPr>
      </w:pPr>
      <w:r>
        <w:rPr>
          <w:rFonts w:ascii="Times New Roman;serif" w:hAnsi="Times New Roman;serif"/>
          <w:b w:val="false"/>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br/>
      </w:r>
      <w:r>
        <w:rPr>
          <w:rFonts w:ascii="Times New Roman" w:hAnsi="Times New Roman"/>
          <w:sz w:val="20"/>
        </w:rPr>
        <w:t> </w:t>
      </w:r>
    </w:p>
    <w:p>
      <w:pPr>
        <w:pStyle w:val="TextBody"/>
        <w:bidi w:val="0"/>
        <w:spacing w:before="120" w:after="120"/>
        <w:jc w:val="both"/>
        <w:rPr>
          <w:rFonts w:ascii="Times New Roman;serif" w:hAnsi="Times New Roman;serif"/>
          <w:b w:val="false"/>
          <w:i/>
          <w:sz w:val="16"/>
        </w:rPr>
      </w:pPr>
      <w:r>
        <w:rPr>
          <w:rFonts w:ascii="Times New Roman;serif" w:hAnsi="Times New Roman;serif"/>
          <w:b w:val="false"/>
          <w:i/>
          <w:sz w:val="16"/>
        </w:rPr>
        <w:t>Enterprise Value Waterfall Approach</w:t>
      </w:r>
    </w:p>
    <w:p>
      <w:pPr>
        <w:pStyle w:val="TextBody"/>
        <w:bidi w:val="0"/>
        <w:spacing w:before="0" w:after="0"/>
        <w:jc w:val="both"/>
        <w:rPr>
          <w:rFonts w:ascii="Times New Roman" w:hAnsi="Times New Roman"/>
          <w:sz w:val="20"/>
        </w:rPr>
      </w:pPr>
      <w:r>
        <w:rPr>
          <w:rFonts w:ascii="Times New Roman;serif" w:hAnsi="Times New Roman;serif"/>
          <w:b w:val="false"/>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i/>
          <w:sz w:val="16"/>
        </w:rPr>
        <w:t>Income Approach</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16"/>
        </w:rPr>
      </w:pPr>
      <w:r>
        <w:rPr>
          <w:rFonts w:ascii="Times New Roman;serif" w:hAnsi="Times New Roman;serif"/>
          <w:b w:val="false"/>
          <w:i/>
          <w:sz w:val="16"/>
        </w:rPr>
        <w:t>Asset Approach</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asset approach values an investment based on the value of the underlying collateral securing the investment.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left"/>
        <w:rPr>
          <w:rFonts w:ascii="Times New Roman;serif" w:hAnsi="Times New Roman;serif"/>
          <w:b/>
          <w:sz w:val="16"/>
        </w:rPr>
      </w:pPr>
      <w:r>
        <w:rPr>
          <w:rFonts w:ascii="Times New Roman;serif" w:hAnsi="Times New Roman;serif"/>
          <w:b/>
          <w:sz w:val="16"/>
        </w:rPr>
        <w:t>Revenue Recognition</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Company’s revenue recognition policies are as follows:</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Interest income and payment-in-kind (“PIK”) interest income: </w:t>
      </w:r>
      <w:r>
        <w:rPr>
          <w:rFonts w:ascii="Times New Roman;serif" w:hAnsi="Times New Roman;serif"/>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Non-accrual investments: </w:t>
      </w:r>
      <w:r>
        <w:rPr>
          <w:rFonts w:ascii="Times New Roman;serif" w:hAnsi="Times New Roman;serif"/>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June 30, 2023, we had debt investments in two</w:t>
      </w:r>
      <w:r>
        <w:rPr>
          <w:rFonts w:ascii="Times New Roman" w:hAnsi="Times New Roman"/>
          <w:sz w:val="20"/>
        </w:rPr>
        <w:t xml:space="preserve"> </w:t>
      </w:r>
      <w:r>
        <w:rPr>
          <w:rFonts w:ascii="Times New Roman;serif" w:hAnsi="Times New Roman;serif"/>
          <w:b w:val="false"/>
          <w:sz w:val="16"/>
        </w:rPr>
        <w:t>portfolio companies on non-accrual status with an aggregate amortized cost of $17.1</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an aggregate fair value of $11.1</w:t>
      </w:r>
      <w:r>
        <w:rPr>
          <w:rFonts w:ascii="Times New Roman" w:hAnsi="Times New Roman"/>
          <w:sz w:val="20"/>
        </w:rPr>
        <w:t xml:space="preserve"> </w:t>
      </w:r>
      <w:r>
        <w:rPr>
          <w:rFonts w:ascii="Times New Roman;serif" w:hAnsi="Times New Roman;serif"/>
          <w:b w:val="false"/>
          <w:sz w:val="16"/>
        </w:rPr>
        <w:t>million, which represented 7.8%</w:t>
      </w:r>
      <w:r>
        <w:rPr>
          <w:rFonts w:ascii="Times New Roman" w:hAnsi="Times New Roman"/>
          <w:sz w:val="20"/>
        </w:rPr>
        <w:t xml:space="preserve"> </w:t>
      </w:r>
      <w:r>
        <w:rPr>
          <w:rFonts w:ascii="Times New Roman;serif" w:hAnsi="Times New Roman;serif"/>
          <w:b w:val="false"/>
          <w:sz w:val="16"/>
        </w:rPr>
        <w:t>and 5.3% of the investment portfolio, respectively. As of December 31, 2022, we had a debt investment in one</w:t>
      </w:r>
      <w:r>
        <w:rPr>
          <w:rFonts w:ascii="Times New Roman" w:hAnsi="Times New Roman"/>
          <w:sz w:val="20"/>
        </w:rPr>
        <w:t xml:space="preserve"> </w:t>
      </w:r>
      <w:r>
        <w:rPr>
          <w:rFonts w:ascii="Times New Roman;serif" w:hAnsi="Times New Roman;serif"/>
          <w:b w:val="false"/>
          <w:sz w:val="16"/>
        </w:rPr>
        <w:t>portfolio company on non-accrual status with aggregate amortized cost of $11.9</w:t>
      </w:r>
      <w:r>
        <w:rPr>
          <w:rFonts w:ascii="Times New Roman" w:hAnsi="Times New Roman"/>
          <w:sz w:val="20"/>
        </w:rPr>
        <w:t xml:space="preserve"> </w:t>
      </w:r>
      <w:r>
        <w:rPr>
          <w:rFonts w:ascii="Times New Roman;serif" w:hAnsi="Times New Roman;serif"/>
          <w:b w:val="false"/>
          <w:sz w:val="16"/>
        </w:rPr>
        <w:t>million and an aggregate fair value of $9.7</w:t>
      </w:r>
      <w:r>
        <w:rPr>
          <w:rFonts w:ascii="Times New Roman" w:hAnsi="Times New Roman"/>
          <w:sz w:val="20"/>
        </w:rPr>
        <w:t xml:space="preserve"> </w:t>
      </w:r>
      <w:r>
        <w:rPr>
          <w:rFonts w:ascii="Times New Roman;serif" w:hAnsi="Times New Roman;serif"/>
          <w:b w:val="false"/>
          <w:sz w:val="16"/>
        </w:rPr>
        <w:t>million, which represented 5.4% and 4.8% of the investment portfolio, respectively.</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Gains and losses on investment sales: </w:t>
      </w:r>
      <w:r>
        <w:rPr>
          <w:rFonts w:ascii="Times New Roman;serif" w:hAnsi="Times New Roman;serif"/>
          <w:b w:val="false"/>
          <w:sz w:val="16"/>
        </w:rPr>
        <w:t>Realized gains and losses on investments are recognized using the specific identification method.</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Dividend income and payment-in-kind dividends: </w:t>
      </w:r>
      <w:r>
        <w:rPr>
          <w:rFonts w:ascii="Times New Roman;serif" w:hAnsi="Times New Roman;serif"/>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Original issue discount: </w:t>
      </w:r>
      <w:r>
        <w:rPr>
          <w:rFonts w:ascii="Times New Roman;serif" w:hAnsi="Times New Roman;serif"/>
          <w:b w:val="false"/>
          <w:sz w:val="16"/>
        </w:rPr>
        <w:t>Discounts received to par on loans purchased are capitalized and accreted into income over the life of the loan. Any remaining discount is accreted into income upon prepayment of the loan.</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Other income: </w:t>
      </w:r>
      <w:r>
        <w:rPr>
          <w:rFonts w:ascii="Times New Roman;serif" w:hAnsi="Times New Roman;serif"/>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120"/>
        <w:jc w:val="left"/>
        <w:rPr>
          <w:rFonts w:ascii="Times New Roman;serif" w:hAnsi="Times New Roman;serif"/>
          <w:b/>
          <w:sz w:val="16"/>
        </w:rPr>
      </w:pPr>
      <w:r>
        <w:rPr>
          <w:rFonts w:ascii="Times New Roman;serif" w:hAnsi="Times New Roman;serif"/>
          <w:b/>
          <w:sz w:val="16"/>
        </w:rPr>
        <w:t>General and Administrative Expenses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pStyle w:val="TextBody"/>
        <w:bidi w:val="0"/>
        <w:spacing w:before="120" w:after="120"/>
        <w:jc w:val="left"/>
        <w:rPr>
          <w:rFonts w:ascii="Times New Roman;serif" w:hAnsi="Times New Roman;serif"/>
          <w:b/>
          <w:sz w:val="16"/>
        </w:rPr>
      </w:pPr>
      <w:r>
        <w:rPr>
          <w:rFonts w:ascii="Times New Roman;serif" w:hAnsi="Times New Roman;serif"/>
          <w:b/>
          <w:sz w:val="16"/>
        </w:rPr>
        <w:t>Deferred Financing Fees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consolidated statements of assets and liabilities.</w:t>
      </w:r>
    </w:p>
    <w:p>
      <w:pPr>
        <w:pStyle w:val="TextBody"/>
        <w:bidi w:val="0"/>
        <w:spacing w:before="120" w:after="120"/>
        <w:jc w:val="both"/>
        <w:rPr>
          <w:rFonts w:ascii="Times New Roman" w:hAnsi="Times New Roman"/>
          <w:sz w:val="20"/>
        </w:rPr>
      </w:pPr>
      <w:r>
        <w:rPr>
          <w:rFonts w:ascii="Times New Roman;serif" w:hAnsi="Times New Roman;serif"/>
          <w:b/>
          <w:sz w:val="16"/>
        </w:rPr>
        <w:t>Earnings Per Share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left"/>
        <w:rPr>
          <w:rFonts w:ascii="Times New Roman;serif" w:hAnsi="Times New Roman;serif"/>
          <w:b/>
          <w:sz w:val="16"/>
        </w:rPr>
      </w:pPr>
      <w:r>
        <w:rPr>
          <w:rFonts w:ascii="Times New Roman;serif" w:hAnsi="Times New Roman;serif"/>
          <w:b/>
          <w:sz w:val="16"/>
        </w:rPr>
        <w:t>Commitments and Contingencies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and December 31, 2022, the Company had the following unfunded commitments to existing portfolio companies (dollars in thousands):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440"/>
        <w:gridCol w:w="2824"/>
        <w:gridCol w:w="274"/>
        <w:gridCol w:w="843"/>
        <w:gridCol w:w="146"/>
        <w:gridCol w:w="364"/>
        <w:gridCol w:w="1120"/>
        <w:gridCol w:w="194"/>
      </w:tblGrid>
      <w:tr>
        <w:trPr/>
        <w:tc>
          <w:tcPr>
            <w:tcW w:w="4440"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w:t>
            </w:r>
          </w:p>
        </w:tc>
        <w:tc>
          <w:tcPr>
            <w:tcW w:w="11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Accordion Partners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897</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Accordion Partners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BetaNXT, Inc.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Bradshaw International, Inc.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Critical Nurse Staffing,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Critical Nurse Staffing,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540</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Dentive,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541</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Dentive,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Epic Staffing Group</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Great Lakes Funding II LLC - Series A</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Joint Venture</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GreenPark Infrastructure, LLC - Series M-1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Common Stock and Membership Units</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Keg Logistics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436</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Marble Point Credit Management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1117"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vAlign w:val="center"/>
          </w:tcPr>
          <w:p>
            <w:pPr>
              <w:pStyle w:val="TableContents"/>
              <w:bidi w:val="0"/>
              <w:spacing w:before="0" w:after="0"/>
              <w:ind w:left="0" w:right="0" w:hanging="0"/>
              <w:jc w:val="righ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Premier Imaging,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PhyNet Dermatology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Taoglas Group Holdings Limited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418</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VBC Spine Opco, LLC (DxTx Pain and Spine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VBC Spine Opco, LLC (DxTx Pain and Spine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Wealth Enhancement Group,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Unfunded Commitments</w:t>
            </w:r>
          </w:p>
        </w:tc>
        <w:tc>
          <w:tcPr>
            <w:tcW w:w="2824"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13,787</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pBdr>
          <w:top w:val="single" w:sz="6"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Delayed-draw term loan.</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bidi w:val="0"/>
        <w:spacing w:before="120" w:after="0"/>
        <w:jc w:val="both"/>
        <w:rPr>
          <w:rFonts w:ascii="Times New Roman" w:hAnsi="Times New Roman"/>
          <w:sz w:val="20"/>
        </w:rPr>
      </w:pPr>
      <w:r>
        <w:rPr>
          <w:rFonts w:ascii="Times New Roman;serif" w:hAnsi="Times New Roman;serif"/>
          <w:b w:val="false"/>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In management’s opinion, no</w:t>
      </w:r>
      <w:r>
        <w:rPr>
          <w:rFonts w:ascii="Times New Roman" w:hAnsi="Times New Roman"/>
          <w:sz w:val="20"/>
        </w:rPr>
        <w:t xml:space="preserve"> </w:t>
      </w:r>
      <w:r>
        <w:rPr>
          <w:rFonts w:ascii="Times New Roman;serif" w:hAnsi="Times New Roman;serif"/>
          <w:b w:val="false"/>
          <w:sz w:val="16"/>
        </w:rPr>
        <w:t>direct losses with respect to litigation contingencies were probable as of June 30, 2023 and December 31, 2022.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bidi w:val="0"/>
        <w:spacing w:before="120" w:after="120"/>
        <w:jc w:val="left"/>
        <w:rPr>
          <w:rFonts w:ascii="Times New Roman;serif" w:hAnsi="Times New Roman;serif"/>
          <w:b/>
          <w:sz w:val="16"/>
        </w:rPr>
      </w:pPr>
      <w:r>
        <w:rPr>
          <w:rFonts w:ascii="Times New Roman;serif" w:hAnsi="Times New Roman;serif"/>
          <w:b/>
          <w:sz w:val="16"/>
        </w:rPr>
        <w:t>Income Taxes</w:t>
      </w:r>
    </w:p>
    <w:p>
      <w:pPr>
        <w:pStyle w:val="TextBody"/>
        <w:bidi w:val="0"/>
        <w:spacing w:before="0" w:after="0"/>
        <w:jc w:val="both"/>
        <w:rPr>
          <w:rFonts w:ascii="Times New Roman" w:hAnsi="Times New Roman"/>
          <w:sz w:val="20"/>
        </w:rPr>
      </w:pPr>
      <w:r>
        <w:rPr>
          <w:rFonts w:ascii="Times New Roman;serif" w:hAnsi="Times New Roman;serif"/>
          <w:b w:val="false"/>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bidi w:val="0"/>
        <w:spacing w:before="120" w:after="0"/>
        <w:jc w:val="both"/>
        <w:rPr>
          <w:rFonts w:ascii="Times New Roman" w:hAnsi="Times New Roman"/>
          <w:sz w:val="20"/>
        </w:rPr>
      </w:pPr>
      <w:r>
        <w:rPr>
          <w:rFonts w:ascii="Times New Roman;serif" w:hAnsi="Times New Roman;serif"/>
          <w:b w:val="false"/>
          <w:sz w:val="16"/>
        </w:rPr>
        <w:t>The tax years ended December 31, 2022, 2021, 2020 and 2019 remain subject to examination by U.S. federal, state, and local tax authorities.</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r>
        <w:rPr>
          <w:rFonts w:ascii="Times New Roman;serif" w:hAnsi="Times New Roman;serif"/>
          <w:b w:val="false"/>
          <w:sz w:val="16"/>
        </w:rPr>
        <w:t>material interest expense or penalties have been assessed for the three and six months ended June 30, 2023 and 2022. If the Company was required to recognize interest and penalties, if any, related to unrecognized tax benefits this would be recognized as income tax expense in the consolidated statements of operations.</w:t>
      </w:r>
    </w:p>
    <w:p>
      <w:pPr>
        <w:pStyle w:val="TextBody"/>
        <w:bidi w:val="0"/>
        <w:spacing w:before="120" w:after="0"/>
        <w:jc w:val="both"/>
        <w:rPr>
          <w:rFonts w:ascii="Times New Roman" w:hAnsi="Times New Roman"/>
          <w:sz w:val="20"/>
        </w:rPr>
      </w:pPr>
      <w:r>
        <w:rPr>
          <w:rFonts w:ascii="Times New Roman;serif" w:hAnsi="Times New Roman;serif"/>
          <w:b w:val="false"/>
          <w:sz w:val="16"/>
        </w:rPr>
        <w:t>For U.S. federal income tax purposes, as of June 30, 2023, the aggregate net unrealized depreciation for all securities was $13.6</w:t>
      </w:r>
      <w:r>
        <w:rPr>
          <w:rFonts w:ascii="Times New Roman" w:hAnsi="Times New Roman"/>
          <w:sz w:val="20"/>
        </w:rPr>
        <w:t xml:space="preserve"> </w:t>
      </w:r>
      <w:r>
        <w:rPr>
          <w:rFonts w:ascii="Times New Roman;serif" w:hAnsi="Times New Roman;serif"/>
          <w:b w:val="false"/>
          <w:sz w:val="16"/>
        </w:rPr>
        <w:t>million. As of June 30, 2023, gross unrealized appreciation was $13.3</w:t>
      </w:r>
      <w:r>
        <w:rPr>
          <w:rFonts w:ascii="Times New Roman" w:hAnsi="Times New Roman"/>
          <w:sz w:val="20"/>
        </w:rPr>
        <w:t xml:space="preserve"> </w:t>
      </w:r>
      <w:r>
        <w:rPr>
          <w:rFonts w:ascii="Times New Roman;serif" w:hAnsi="Times New Roman;serif"/>
          <w:b w:val="false"/>
          <w:sz w:val="16"/>
        </w:rPr>
        <w:t>million and gross unrealized depreciation was $26.9</w:t>
      </w:r>
      <w:r>
        <w:rPr>
          <w:rFonts w:ascii="Times New Roman" w:hAnsi="Times New Roman"/>
          <w:sz w:val="20"/>
        </w:rPr>
        <w:t xml:space="preserve"> </w:t>
      </w:r>
      <w:r>
        <w:rPr>
          <w:rFonts w:ascii="Times New Roman;serif" w:hAnsi="Times New Roman;serif"/>
          <w:b w:val="false"/>
          <w:sz w:val="16"/>
        </w:rPr>
        <w:t>million. The aggregate cost of securities for U.S. federal income tax purposes was $220.2</w:t>
      </w:r>
      <w:r>
        <w:rPr>
          <w:rFonts w:ascii="Times New Roman" w:hAnsi="Times New Roman"/>
          <w:sz w:val="20"/>
        </w:rPr>
        <w:t xml:space="preserve"> </w:t>
      </w:r>
      <w:r>
        <w:rPr>
          <w:rFonts w:ascii="Times New Roman;serif" w:hAnsi="Times New Roman;serif"/>
          <w:b w:val="false"/>
          <w:sz w:val="16"/>
        </w:rPr>
        <w:t>million as of June 30, 2023. For U.S. federal income tax purposes, as of December 31, 2022, the aggregate net unrealized depreciation for all securities was $18.3</w:t>
      </w:r>
      <w:r>
        <w:rPr>
          <w:rFonts w:ascii="Times New Roman" w:hAnsi="Times New Roman"/>
          <w:sz w:val="20"/>
        </w:rPr>
        <w:t xml:space="preserve"> </w:t>
      </w:r>
      <w:r>
        <w:rPr>
          <w:rFonts w:ascii="Times New Roman;serif" w:hAnsi="Times New Roman;serif"/>
          <w:b w:val="false"/>
          <w:sz w:val="16"/>
        </w:rPr>
        <w:t>million. As of December 31, 2022, gross unrealized appreciation was $13.1</w:t>
      </w:r>
      <w:r>
        <w:rPr>
          <w:rFonts w:ascii="Times New Roman" w:hAnsi="Times New Roman"/>
          <w:sz w:val="20"/>
        </w:rPr>
        <w:t xml:space="preserve"> </w:t>
      </w:r>
      <w:r>
        <w:rPr>
          <w:rFonts w:ascii="Times New Roman;serif" w:hAnsi="Times New Roman;serif"/>
          <w:b w:val="false"/>
          <w:sz w:val="16"/>
        </w:rPr>
        <w:t>million and gross unrealized depreciation was $31.4</w:t>
      </w:r>
      <w:r>
        <w:rPr>
          <w:rFonts w:ascii="Times New Roman" w:hAnsi="Times New Roman"/>
          <w:sz w:val="20"/>
        </w:rPr>
        <w:t xml:space="preserve"> </w:t>
      </w:r>
      <w:r>
        <w:rPr>
          <w:rFonts w:ascii="Times New Roman;serif" w:hAnsi="Times New Roman;serif"/>
          <w:b w:val="false"/>
          <w:sz w:val="16"/>
        </w:rPr>
        <w:t>million. The aggregate cost of securities for U.S. federal income tax purposes was $221.9</w:t>
      </w:r>
      <w:r>
        <w:rPr>
          <w:rFonts w:ascii="Times New Roman" w:hAnsi="Times New Roman"/>
          <w:sz w:val="20"/>
        </w:rPr>
        <w:t xml:space="preserve"> </w:t>
      </w:r>
      <w:r>
        <w:rPr>
          <w:rFonts w:ascii="Times New Roman;serif" w:hAnsi="Times New Roman;serif"/>
          <w:b w:val="false"/>
          <w:sz w:val="16"/>
        </w:rPr>
        <w:t>million as of December 31, 2022.</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Company’s Taxable Subsidiaries record deferred tax assets or liabilities related to temporary book versus tax differences on the income or loss generated by the underlying equity investments held by the Taxable Subsidiaries. As of both June 30, 2023 and December 31, 2022, the Company recorded a net deferred tax asset of zero. For both the three and six months ended June 30, 2023 and 2022, the Company recorded a tax provision of zero. As of June 30, 2023 and December 31,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6"/>
        </w:rPr>
        <w:t>the valuation allowance on the Company’s deferred tax asset was $3.9</w:t>
      </w:r>
      <w:r>
        <w:rPr>
          <w:rFonts w:ascii="Times New Roman" w:hAnsi="Times New Roman"/>
          <w:sz w:val="20"/>
        </w:rPr>
        <w:t xml:space="preserve"> </w:t>
      </w:r>
      <w:r>
        <w:rPr>
          <w:rFonts w:ascii="Times New Roman;serif" w:hAnsi="Times New Roman;serif"/>
          <w:b w:val="false"/>
          <w:sz w:val="16"/>
        </w:rPr>
        <w:t>million and $4.0</w:t>
      </w:r>
      <w:r>
        <w:rPr>
          <w:rFonts w:ascii="Times New Roman" w:hAnsi="Times New Roman"/>
          <w:sz w:val="20"/>
        </w:rPr>
        <w:t xml:space="preserve"> </w:t>
      </w:r>
      <w:r>
        <w:rPr>
          <w:rFonts w:ascii="Times New Roman;serif" w:hAnsi="Times New Roman;serif"/>
          <w:b w:val="false"/>
          <w:sz w:val="16"/>
        </w:rPr>
        <w:t>million, respectively. During both the three and six months ended June 30, 2023, the Company recognized a decrease in the valuation allowance of $0.1</w:t>
      </w:r>
      <w:r>
        <w:rPr>
          <w:rFonts w:ascii="Times New Roman" w:hAnsi="Times New Roman"/>
          <w:sz w:val="20"/>
        </w:rPr>
        <w:t xml:space="preserve"> </w:t>
      </w:r>
      <w:r>
        <w:rPr>
          <w:rFonts w:ascii="Times New Roman;serif" w:hAnsi="Times New Roman;serif"/>
          <w:b w:val="false"/>
          <w:sz w:val="16"/>
        </w:rPr>
        <w:t>million. During both the three and six months ended June 30, 2022, the Company recognized an increase in the valuation allowance of $0.4</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120" w:after="0"/>
        <w:jc w:val="both"/>
        <w:rPr>
          <w:rFonts w:ascii="Times New Roman" w:hAnsi="Times New Roman"/>
          <w:sz w:val="20"/>
        </w:rPr>
      </w:pPr>
      <w:r>
        <w:rPr>
          <w:rFonts w:ascii="Times New Roman;serif" w:hAnsi="Times New Roman;serif"/>
          <w:b w:val="false"/>
          <w:sz w:val="16"/>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 xml:space="preserve">ASC Topic 740 — </w:t>
      </w:r>
      <w:r>
        <w:rPr>
          <w:rFonts w:ascii="Times New Roman;serif" w:hAnsi="Times New Roman;serif"/>
          <w:b w:val="false"/>
          <w:i/>
          <w:sz w:val="16"/>
        </w:rPr>
        <w:t>Income Taxes</w:t>
      </w:r>
      <w:r>
        <w:rPr>
          <w:rFonts w:ascii="Times New Roman" w:hAnsi="Times New Roman"/>
          <w:sz w:val="20"/>
        </w:rPr>
        <w:t xml:space="preserve"> </w:t>
      </w:r>
      <w:r>
        <w:rPr>
          <w:rFonts w:ascii="Times New Roman;serif" w:hAnsi="Times New Roman;serif"/>
          <w:b w:val="false"/>
          <w:sz w:val="16"/>
        </w:rPr>
        <w:t>(“ASC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2023 and December 31, 2022, there were no</w:t>
      </w:r>
      <w:r>
        <w:rPr>
          <w:rFonts w:ascii="Times New Roman" w:hAnsi="Times New Roman"/>
          <w:sz w:val="20"/>
        </w:rPr>
        <w:t xml:space="preserve"> </w:t>
      </w:r>
      <w:r>
        <w:rPr>
          <w:rFonts w:ascii="Times New Roman;serif" w:hAnsi="Times New Roman;serif"/>
          <w:b w:val="false"/>
          <w:sz w:val="16"/>
        </w:rPr>
        <w:t>uncertain tax positions.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120"/>
        <w:jc w:val="left"/>
        <w:rPr>
          <w:rFonts w:ascii="Times New Roman;serif" w:hAnsi="Times New Roman;serif"/>
          <w:b/>
          <w:sz w:val="16"/>
        </w:rPr>
      </w:pPr>
      <w:r>
        <w:rPr>
          <w:rFonts w:ascii="Times New Roman;serif" w:hAnsi="Times New Roman;serif"/>
          <w:b/>
          <w:sz w:val="16"/>
        </w:rPr>
        <w:t>Distributions</w:t>
      </w:r>
    </w:p>
    <w:p>
      <w:pPr>
        <w:pStyle w:val="TextBody"/>
        <w:bidi w:val="0"/>
        <w:spacing w:before="0" w:after="0"/>
        <w:jc w:val="both"/>
        <w:rPr>
          <w:rFonts w:ascii="Times New Roman" w:hAnsi="Times New Roman"/>
          <w:sz w:val="20"/>
        </w:rPr>
      </w:pPr>
      <w:r>
        <w:rPr>
          <w:rFonts w:ascii="Times New Roman;serif" w:hAnsi="Times New Roman;serif"/>
          <w:b w:val="false"/>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bidi w:val="0"/>
        <w:spacing w:before="120" w:after="120"/>
        <w:jc w:val="left"/>
        <w:rPr>
          <w:rFonts w:ascii="Times New Roman" w:hAnsi="Times New Roman"/>
          <w:sz w:val="20"/>
        </w:rPr>
      </w:pPr>
      <w:r>
        <w:rPr>
          <w:rFonts w:ascii="Times New Roman;serif" w:hAnsi="Times New Roman;serif"/>
          <w:b/>
          <w:sz w:val="16"/>
        </w:rPr>
        <w:t>Company Investment Risk, Concentration of Credit Risk and Liquidity Risk</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Investment Adviser may attempt to minimize this risk by maintaining low debt-to-liquidation values with each debt investment and the collateral underlying the debt investment.</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sz w:val="20"/>
        </w:rPr>
        <w:t xml:space="preserve"> </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3. Investments and Fair Value Measurements</w:t>
      </w:r>
    </w:p>
    <w:p>
      <w:pPr>
        <w:pStyle w:val="TextBody"/>
        <w:bidi w:val="0"/>
        <w:spacing w:before="0" w:after="0"/>
        <w:jc w:val="both"/>
        <w:rPr>
          <w:rFonts w:ascii="Times New Roman" w:hAnsi="Times New Roman"/>
          <w:sz w:val="20"/>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sz w:val="20"/>
        </w:rPr>
        <w:t xml:space="preserve"> </w:t>
      </w:r>
      <w:r>
        <w:rPr>
          <w:rFonts w:ascii="Times New Roman;serif" w:hAnsi="Times New Roman;serif"/>
          <w:b w:val="false"/>
          <w:sz w:val="16"/>
        </w:rPr>
        <w:t>As of June 30, 2023, our portfolio consisted of investments in 62</w:t>
      </w:r>
      <w:r>
        <w:rPr>
          <w:rFonts w:ascii="Times New Roman" w:hAnsi="Times New Roman"/>
          <w:sz w:val="20"/>
        </w:rPr>
        <w:t xml:space="preserve"> </w:t>
      </w:r>
      <w:r>
        <w:rPr>
          <w:rFonts w:ascii="Times New Roman;serif" w:hAnsi="Times New Roman;serif"/>
          <w:b w:val="false"/>
          <w:sz w:val="16"/>
        </w:rPr>
        <w:t>portfolio companies with a fair value of approximately $206.6</w:t>
      </w:r>
      <w:r>
        <w:rPr>
          <w:rFonts w:ascii="Times New Roman" w:hAnsi="Times New Roman"/>
          <w:sz w:val="20"/>
        </w:rPr>
        <w:t xml:space="preserve"> </w:t>
      </w:r>
      <w:r>
        <w:rPr>
          <w:rFonts w:ascii="Times New Roman;serif" w:hAnsi="Times New Roman;serif"/>
          <w:b w:val="false"/>
          <w:sz w:val="16"/>
        </w:rPr>
        <w:t>million. As of December 31, 2022, our portfolio consisted of investments in 59</w:t>
      </w:r>
      <w:r>
        <w:rPr>
          <w:rFonts w:ascii="Times New Roman" w:hAnsi="Times New Roman"/>
          <w:sz w:val="20"/>
        </w:rPr>
        <w:t xml:space="preserve"> </w:t>
      </w:r>
      <w:r>
        <w:rPr>
          <w:rFonts w:ascii="Times New Roman;serif" w:hAnsi="Times New Roman;serif"/>
          <w:b w:val="false"/>
          <w:sz w:val="16"/>
        </w:rPr>
        <w:t>portfolio companies with a fair value of approximately $203.6</w:t>
      </w:r>
      <w:r>
        <w:rPr>
          <w:rFonts w:ascii="Times New Roman" w:hAnsi="Times New Roman"/>
          <w:sz w:val="20"/>
        </w:rPr>
        <w:t xml:space="preserve"> </w:t>
      </w:r>
      <w:r>
        <w:rPr>
          <w:rFonts w:ascii="Times New Roman;serif" w:hAnsi="Times New Roman;serif"/>
          <w:b w:val="false"/>
          <w:sz w:val="16"/>
        </w:rPr>
        <w:t>million.</w:t>
      </w:r>
    </w:p>
    <w:p>
      <w:pPr>
        <w:pStyle w:val="TextBody"/>
        <w:bidi w:val="0"/>
        <w:spacing w:before="120" w:after="0"/>
        <w:jc w:val="both"/>
        <w:rPr>
          <w:rFonts w:ascii="Times New Roman" w:hAnsi="Times New Roman"/>
          <w:sz w:val="20"/>
        </w:rPr>
      </w:pPr>
      <w:r>
        <w:rPr>
          <w:rFonts w:ascii="Times New Roman;serif" w:hAnsi="Times New Roman;serif"/>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2023,</w:t>
      </w:r>
      <w:r>
        <w:rPr>
          <w:rFonts w:ascii="Times New Roman" w:hAnsi="Times New Roman"/>
          <w:sz w:val="20"/>
        </w:rPr>
        <w:t xml:space="preserve"> </w:t>
      </w:r>
      <w:r>
        <w:rPr>
          <w:rFonts w:ascii="Times New Roman;serif" w:hAnsi="Times New Roman;serif"/>
          <w:b w:val="false"/>
          <w:sz w:val="16"/>
        </w:rPr>
        <w:t>0.6% 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16"/>
        </w:rPr>
        <w:t>During the three months ended June 30, 2023, we made approximately $4.8</w:t>
      </w:r>
      <w:r>
        <w:rPr>
          <w:rFonts w:ascii="Times New Roman" w:hAnsi="Times New Roman"/>
          <w:sz w:val="20"/>
        </w:rPr>
        <w:t xml:space="preserve"> </w:t>
      </w:r>
      <w:r>
        <w:rPr>
          <w:rFonts w:ascii="Times New Roman;serif" w:hAnsi="Times New Roman;serif"/>
          <w:b w:val="false"/>
          <w:sz w:val="16"/>
        </w:rPr>
        <w:t>million of investments and had approximately $4.4</w:t>
      </w:r>
      <w:r>
        <w:rPr>
          <w:rFonts w:ascii="Times New Roman" w:hAnsi="Times New Roman"/>
          <w:sz w:val="20"/>
        </w:rPr>
        <w:t xml:space="preserve"> </w:t>
      </w:r>
      <w:r>
        <w:rPr>
          <w:rFonts w:ascii="Times New Roman;serif" w:hAnsi="Times New Roman;serif"/>
          <w:b w:val="false"/>
          <w:sz w:val="16"/>
        </w:rPr>
        <w:t>million in repayments and sales, resulting in net deployment of approximately $0.4</w:t>
      </w:r>
      <w:r>
        <w:rPr>
          <w:rFonts w:ascii="Times New Roman" w:hAnsi="Times New Roman"/>
          <w:sz w:val="20"/>
        </w:rPr>
        <w:t xml:space="preserve"> </w:t>
      </w:r>
      <w:r>
        <w:rPr>
          <w:rFonts w:ascii="Times New Roman;serif" w:hAnsi="Times New Roman;serif"/>
          <w:b w:val="false"/>
          <w:sz w:val="16"/>
        </w:rPr>
        <w:t>million for the period. During the three months ended June 30, 2022, the Company made approximately $30.7</w:t>
      </w:r>
      <w:r>
        <w:rPr>
          <w:rFonts w:ascii="Times New Roman" w:hAnsi="Times New Roman"/>
          <w:sz w:val="20"/>
        </w:rPr>
        <w:t xml:space="preserve"> </w:t>
      </w:r>
      <w:r>
        <w:rPr>
          <w:rFonts w:ascii="Times New Roman;serif" w:hAnsi="Times New Roman;serif"/>
          <w:b w:val="false"/>
          <w:sz w:val="16"/>
        </w:rPr>
        <w:t>million of investments and had approximately $58.3</w:t>
      </w:r>
      <w:r>
        <w:rPr>
          <w:rFonts w:ascii="Times New Roman" w:hAnsi="Times New Roman"/>
          <w:sz w:val="20"/>
        </w:rPr>
        <w:t xml:space="preserve"> </w:t>
      </w:r>
      <w:r>
        <w:rPr>
          <w:rFonts w:ascii="Times New Roman;serif" w:hAnsi="Times New Roman;serif"/>
          <w:b w:val="false"/>
          <w:sz w:val="16"/>
        </w:rPr>
        <w:t>million in repayments and sales, resulting in net repayments and sales of approximately $27.6</w:t>
      </w:r>
      <w:r>
        <w:rPr>
          <w:rFonts w:ascii="Times New Roman" w:hAnsi="Times New Roman"/>
          <w:sz w:val="20"/>
        </w:rPr>
        <w:t xml:space="preserve"> </w:t>
      </w:r>
      <w:r>
        <w:rPr>
          <w:rFonts w:ascii="Times New Roman;serif" w:hAnsi="Times New Roman;serif"/>
          <w:b w:val="false"/>
          <w:sz w:val="16"/>
        </w:rPr>
        <w:t>million for the period.</w:t>
      </w:r>
    </w:p>
    <w:p>
      <w:pPr>
        <w:pStyle w:val="TextBody"/>
        <w:bidi w:val="0"/>
        <w:spacing w:before="120" w:after="120"/>
        <w:jc w:val="both"/>
        <w:rPr>
          <w:rFonts w:ascii="Times New Roman" w:hAnsi="Times New Roman"/>
          <w:sz w:val="20"/>
        </w:rPr>
      </w:pPr>
      <w:r>
        <w:rPr>
          <w:rFonts w:ascii="Times New Roman;serif" w:hAnsi="Times New Roman;serif"/>
          <w:b w:val="false"/>
          <w:sz w:val="16"/>
        </w:rPr>
        <w:t>During the six months ended June 30, 2023, we made approximately $12.2</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of investments and had approximately $11.2</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in repayments and sales, resulting in net deployment of approximately $1.0</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for the period. During the six months ended June 30, 2022, the Company made approximately $47.1</w:t>
      </w:r>
      <w:r>
        <w:rPr>
          <w:rFonts w:ascii="Times New Roman" w:hAnsi="Times New Roman"/>
          <w:sz w:val="20"/>
        </w:rPr>
        <w:t xml:space="preserve"> </w:t>
      </w:r>
      <w:r>
        <w:rPr>
          <w:rFonts w:ascii="Times New Roman;serif" w:hAnsi="Times New Roman;serif"/>
          <w:b w:val="false"/>
          <w:sz w:val="16"/>
        </w:rPr>
        <w:t>million of investments and had approximately $66.7</w:t>
      </w:r>
      <w:r>
        <w:rPr>
          <w:rFonts w:ascii="Times New Roman" w:hAnsi="Times New Roman"/>
          <w:sz w:val="20"/>
        </w:rPr>
        <w:t xml:space="preserve"> </w:t>
      </w:r>
      <w:r>
        <w:rPr>
          <w:rFonts w:ascii="Times New Roman;serif" w:hAnsi="Times New Roman;serif"/>
          <w:b w:val="false"/>
          <w:sz w:val="16"/>
        </w:rPr>
        <w:t>million in repayments and sales, resulting in net repayments and sales of approximately $19.6</w:t>
      </w:r>
      <w:r>
        <w:rPr>
          <w:rFonts w:ascii="Times New Roman" w:hAnsi="Times New Roman"/>
          <w:sz w:val="20"/>
        </w:rPr>
        <w:t xml:space="preserve"> </w:t>
      </w:r>
      <w:r>
        <w:rPr>
          <w:rFonts w:ascii="Times New Roman;serif" w:hAnsi="Times New Roman;serif"/>
          <w:b w:val="false"/>
          <w:sz w:val="16"/>
        </w:rPr>
        <w:t>million for the period.</w:t>
      </w:r>
    </w:p>
    <w:p>
      <w:pPr>
        <w:pStyle w:val="TextBody"/>
        <w:bidi w:val="0"/>
        <w:spacing w:before="0" w:after="0"/>
        <w:jc w:val="both"/>
        <w:rPr>
          <w:rFonts w:ascii="Times New Roman" w:hAnsi="Times New Roman"/>
          <w:sz w:val="20"/>
        </w:rPr>
      </w:pPr>
      <w:r>
        <w:rPr>
          <w:rFonts w:ascii="Times New Roman;serif" w:hAnsi="Times New Roman;serif"/>
          <w:b w:val="false"/>
          <w:sz w:val="16"/>
        </w:rPr>
        <w:t>As of June 30, 2023, the Company’s Investment Adviser approved the fair value of the Company’s investment portfolio of approximately $206.6</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in good faith in accordance with the Company’s valuation procedures. The Company’s Investment Adviser approved the fair value of the Company’s investment portfolio as of June 30, 2023 with input from third-party valuation firms and the Investment Adviser, as valuation designee, based on information known or knowable as of the valuation date, including trailing and forward looking data.</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composition of our investments as of June 30, 2023,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219,167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composition of our investments as of December 31, 2022,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220,516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tbl>
      <w:tblPr>
        <w:tblW w:w="9879" w:type="dxa"/>
        <w:jc w:val="left"/>
        <w:tblInd w:w="0" w:type="dxa"/>
        <w:tblLayout w:type="fixed"/>
        <w:tblCellMar>
          <w:top w:w="28" w:type="dxa"/>
          <w:left w:w="28" w:type="dxa"/>
          <w:bottom w:w="28" w:type="dxa"/>
          <w:right w:w="28" w:type="dxa"/>
        </w:tblCellMar>
      </w:tblPr>
      <w:tblGrid>
        <w:gridCol w:w="124"/>
        <w:gridCol w:w="109"/>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4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1 — Valuations based on quoted prices in active markets for identical assets or liabilities that the Company has the ability to access.</w:t>
            </w:r>
          </w:p>
        </w:tc>
      </w:tr>
    </w:tbl>
    <w:tbl>
      <w:tblPr>
        <w:tblW w:w="9474" w:type="dxa"/>
        <w:jc w:val="left"/>
        <w:tblInd w:w="0" w:type="dxa"/>
        <w:tblLayout w:type="fixed"/>
        <w:tblCellMar>
          <w:top w:w="28" w:type="dxa"/>
          <w:left w:w="28" w:type="dxa"/>
          <w:bottom w:w="28" w:type="dxa"/>
          <w:right w:w="28" w:type="dxa"/>
        </w:tblCellMar>
      </w:tblPr>
      <w:tblGrid>
        <w:gridCol w:w="124"/>
        <w:gridCol w:w="109"/>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2 — Valuations based on inputs other than quoted prices in active markets, which are either directly or indirectly observable.</w:t>
            </w:r>
          </w:p>
        </w:tc>
      </w:tr>
    </w:tbl>
    <w:tbl>
      <w:tblPr>
        <w:tblW w:w="8289" w:type="dxa"/>
        <w:jc w:val="left"/>
        <w:tblInd w:w="0" w:type="dxa"/>
        <w:tblLayout w:type="fixed"/>
        <w:tblCellMar>
          <w:top w:w="28" w:type="dxa"/>
          <w:left w:w="28" w:type="dxa"/>
          <w:bottom w:w="28" w:type="dxa"/>
          <w:right w:w="28" w:type="dxa"/>
        </w:tblCellMar>
      </w:tblPr>
      <w:tblGrid>
        <w:gridCol w:w="124"/>
        <w:gridCol w:w="109"/>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3 — Valuations based on inputs that are unobservable and significant to the overall fair value measurement.</w:t>
            </w:r>
          </w:p>
        </w:tc>
      </w:tr>
    </w:tbl>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 estimating the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presents the fair value measurements of investments, by major class, as of June 30, 2023, according to the fair value hierarchy (dollars in thousands):</w:t>
      </w:r>
    </w:p>
    <w:tbl>
      <w:tblPr>
        <w:tblW w:w="7499"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196"/>
        <w:gridCol w:w="511"/>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85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138,045</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7,102</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24,709</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33,833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197,887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following table presents fair value measurements of investments, by major class, as of December 31, 2022,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77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NAV</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203,189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following table provides a reconciliation of the beginning and ending balances for investments that use Level 3 inputs for the six months ended June 30, 2023 (dollars in thousands):</w:t>
      </w:r>
    </w:p>
    <w:tbl>
      <w:tblPr>
        <w:tblW w:w="10205" w:type="dxa"/>
        <w:jc w:val="left"/>
        <w:tblInd w:w="0" w:type="dxa"/>
        <w:tblLayout w:type="fixed"/>
        <w:tblCellMar>
          <w:top w:w="28" w:type="dxa"/>
          <w:left w:w="28" w:type="dxa"/>
          <w:bottom w:w="28" w:type="dxa"/>
          <w:right w:w="28" w:type="dxa"/>
        </w:tblCellMar>
      </w:tblPr>
      <w:tblGrid>
        <w:gridCol w:w="2353"/>
        <w:gridCol w:w="146"/>
        <w:gridCol w:w="196"/>
        <w:gridCol w:w="691"/>
        <w:gridCol w:w="166"/>
        <w:gridCol w:w="146"/>
        <w:gridCol w:w="218"/>
        <w:gridCol w:w="568"/>
        <w:gridCol w:w="146"/>
        <w:gridCol w:w="146"/>
        <w:gridCol w:w="265"/>
        <w:gridCol w:w="816"/>
        <w:gridCol w:w="166"/>
        <w:gridCol w:w="146"/>
        <w:gridCol w:w="386"/>
        <w:gridCol w:w="1129"/>
        <w:gridCol w:w="166"/>
        <w:gridCol w:w="146"/>
        <w:gridCol w:w="196"/>
        <w:gridCol w:w="601"/>
        <w:gridCol w:w="166"/>
        <w:gridCol w:w="146"/>
        <w:gridCol w:w="196"/>
        <w:gridCol w:w="691"/>
        <w:gridCol w:w="2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Lien</w:t>
              <w:br/>
              <w:t>Debt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Lien</w:t>
              <w:br/>
              <w:t>Debt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Subordinated</w:t>
              <w:br/>
              <w:t>Debt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Collateralized Loan Obligations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203,189</w:t>
            </w:r>
          </w:p>
        </w:tc>
        <w:tc>
          <w:tcPr>
            <w:tcW w:w="213" w:type="dxa"/>
            <w:tcBorders/>
            <w:vAlign w:val="center"/>
          </w:tcPr>
          <w:p>
            <w:pPr>
              <w:pStyle w:val="TableContents"/>
              <w:bidi w:val="0"/>
              <w:spacing w:before="0" w:after="0"/>
              <w:ind w:left="0" w:right="0" w:hanging="0"/>
              <w:jc w:val="left"/>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Repayments/sales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(11,241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12,180</w:t>
            </w:r>
          </w:p>
        </w:tc>
        <w:tc>
          <w:tcPr>
            <w:tcW w:w="213" w:type="dxa"/>
            <w:tcBorders/>
            <w:vAlign w:val="center"/>
          </w:tcPr>
          <w:p>
            <w:pPr>
              <w:pStyle w:val="TableContents"/>
              <w:bidi w:val="0"/>
              <w:spacing w:before="0" w:after="0"/>
              <w:ind w:left="0" w:right="0" w:hanging="0"/>
              <w:jc w:val="left"/>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dividends accrued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783</w:t>
            </w:r>
          </w:p>
        </w:tc>
        <w:tc>
          <w:tcPr>
            <w:tcW w:w="213" w:type="dxa"/>
            <w:tcBorders/>
            <w:vAlign w:val="center"/>
          </w:tcPr>
          <w:p>
            <w:pPr>
              <w:pStyle w:val="TableContents"/>
              <w:bidi w:val="0"/>
              <w:spacing w:before="0" w:after="0"/>
              <w:ind w:left="0" w:right="0" w:hanging="0"/>
              <w:jc w:val="left"/>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w:t>
            </w:r>
          </w:p>
        </w:tc>
        <w:tc>
          <w:tcPr>
            <w:tcW w:w="213" w:type="dxa"/>
            <w:tcBorders/>
            <w:vAlign w:val="center"/>
          </w:tcPr>
          <w:p>
            <w:pPr>
              <w:pStyle w:val="TableContents"/>
              <w:bidi w:val="0"/>
              <w:spacing w:before="0" w:after="0"/>
              <w:ind w:left="0" w:right="0" w:hanging="0"/>
              <w:jc w:val="left"/>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4,350</w:t>
            </w:r>
          </w:p>
        </w:tc>
        <w:tc>
          <w:tcPr>
            <w:tcW w:w="213" w:type="dxa"/>
            <w:tcBorders/>
            <w:vAlign w:val="center"/>
          </w:tcPr>
          <w:p>
            <w:pPr>
              <w:pStyle w:val="TableContents"/>
              <w:bidi w:val="0"/>
              <w:spacing w:before="0" w:after="0"/>
              <w:ind w:left="0" w:right="0" w:hanging="0"/>
              <w:jc w:val="left"/>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Transfers out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7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197,887</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following table provides a reconciliation of the beginning and ending balances for investments that use Level 3 inputs for the six months ended June 30, 2022 (dollars in thousands):</w:t>
      </w:r>
    </w:p>
    <w:tbl>
      <w:tblPr>
        <w:tblW w:w="10205" w:type="dxa"/>
        <w:jc w:val="left"/>
        <w:tblInd w:w="0" w:type="dxa"/>
        <w:tblLayout w:type="fixed"/>
        <w:tblCellMar>
          <w:top w:w="28" w:type="dxa"/>
          <w:left w:w="28" w:type="dxa"/>
          <w:bottom w:w="28" w:type="dxa"/>
          <w:right w:w="28" w:type="dxa"/>
        </w:tblCellMar>
      </w:tblPr>
      <w:tblGrid>
        <w:gridCol w:w="2242"/>
        <w:gridCol w:w="146"/>
        <w:gridCol w:w="196"/>
        <w:gridCol w:w="661"/>
        <w:gridCol w:w="166"/>
        <w:gridCol w:w="146"/>
        <w:gridCol w:w="203"/>
        <w:gridCol w:w="685"/>
        <w:gridCol w:w="166"/>
        <w:gridCol w:w="146"/>
        <w:gridCol w:w="265"/>
        <w:gridCol w:w="816"/>
        <w:gridCol w:w="166"/>
        <w:gridCol w:w="146"/>
        <w:gridCol w:w="408"/>
        <w:gridCol w:w="1066"/>
        <w:gridCol w:w="166"/>
        <w:gridCol w:w="146"/>
        <w:gridCol w:w="196"/>
        <w:gridCol w:w="661"/>
        <w:gridCol w:w="166"/>
        <w:gridCol w:w="146"/>
        <w:gridCol w:w="196"/>
        <w:gridCol w:w="691"/>
        <w:gridCol w:w="213"/>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Lien</w:t>
              <w:br/>
              <w:t>Debt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Lien</w:t>
              <w:br/>
              <w:t>Debt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Subordinated</w:t>
              <w:br/>
              <w:t>Debt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Collateralized Loan Obligations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198,189</w:t>
            </w:r>
          </w:p>
        </w:tc>
        <w:tc>
          <w:tcPr>
            <w:tcW w:w="213" w:type="dxa"/>
            <w:tcBorders/>
            <w:vAlign w:val="center"/>
          </w:tcPr>
          <w:p>
            <w:pPr>
              <w:pStyle w:val="TableContents"/>
              <w:bidi w:val="0"/>
              <w:spacing w:before="0" w:after="0"/>
              <w:ind w:left="0" w:right="0" w:hanging="0"/>
              <w:jc w:val="left"/>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Repayments/sales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(66,669</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47,075</w:t>
            </w:r>
          </w:p>
        </w:tc>
        <w:tc>
          <w:tcPr>
            <w:tcW w:w="213" w:type="dxa"/>
            <w:tcBorders/>
            <w:vAlign w:val="center"/>
          </w:tcPr>
          <w:p>
            <w:pPr>
              <w:pStyle w:val="TableContents"/>
              <w:bidi w:val="0"/>
              <w:spacing w:before="0" w:after="0"/>
              <w:ind w:left="0" w:right="0" w:hanging="0"/>
              <w:jc w:val="left"/>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dividends accrued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w:t>
            </w:r>
          </w:p>
        </w:tc>
        <w:tc>
          <w:tcPr>
            <w:tcW w:w="213" w:type="dxa"/>
            <w:tcBorders/>
            <w:vAlign w:val="center"/>
          </w:tcPr>
          <w:p>
            <w:pPr>
              <w:pStyle w:val="TableContents"/>
              <w:bidi w:val="0"/>
              <w:spacing w:before="0" w:after="0"/>
              <w:ind w:left="0" w:right="0" w:hanging="0"/>
              <w:jc w:val="left"/>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731</w:t>
            </w:r>
          </w:p>
        </w:tc>
        <w:tc>
          <w:tcPr>
            <w:tcW w:w="213" w:type="dxa"/>
            <w:tcBorders/>
            <w:vAlign w:val="center"/>
          </w:tcPr>
          <w:p>
            <w:pPr>
              <w:pStyle w:val="TableContents"/>
              <w:bidi w:val="0"/>
              <w:spacing w:before="0" w:after="0"/>
              <w:ind w:left="0" w:right="0" w:hanging="0"/>
              <w:jc w:val="left"/>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213" w:type="dxa"/>
            <w:tcBorders/>
            <w:vAlign w:val="center"/>
          </w:tcPr>
          <w:p>
            <w:pPr>
              <w:pStyle w:val="TableContents"/>
              <w:bidi w:val="0"/>
              <w:spacing w:before="0" w:after="0"/>
              <w:ind w:left="0" w:right="0" w:hanging="0"/>
              <w:jc w:val="left"/>
              <w:rPr/>
            </w:pPr>
            <w:r>
              <w:rPr/>
              <w:t> </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97,460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175,853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16"/>
        </w:rPr>
        <w:t>The net change in unrealized appreciation on investments held was $4.5</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$6.2</w:t>
      </w:r>
      <w:r>
        <w:rPr>
          <w:rFonts w:ascii="Times New Roman" w:hAnsi="Times New Roman"/>
          <w:sz w:val="20"/>
        </w:rPr>
        <w:t xml:space="preserve"> </w:t>
      </w:r>
      <w:r>
        <w:rPr>
          <w:rFonts w:ascii="Times New Roman;serif" w:hAnsi="Times New Roman;serif"/>
          <w:b w:val="false"/>
          <w:sz w:val="16"/>
        </w:rPr>
        <w:t>million for the six months ended June 30, 2023 and 2022, respectively, and is included in net change in unrealized appreciation (depreciation) on investments on the consolidated statements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valuation techniques and significant unobservable inputs used in recurring Level 3 fair value measurements of assets as of June 30, 2023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(in millions)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Valuation </w:t>
              <w:b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b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 (Weighted Average)</w:t>
            </w:r>
            <w:r>
              <w:rPr>
                <w:rFonts w:ascii="Times New Roman;serif" w:hAnsi="Times New Roman;serif"/>
                <w:b/>
                <w:sz w:val="11"/>
              </w:rPr>
              <w:t>(2)</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6.3% – 30.0% (12.6%)</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0.5x</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2.4% – 18.7% (16.5%)</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4.7x</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5.8% – 11.2% (10.1%)</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7.0x</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Discount Margin</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23.6% – 25.2% (24.7%)</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Price</w:t>
              <w:br/>
              <w:t>Time to Exit (Years)</w:t>
              <w:br/>
              <w:t>Volatility</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$103.5</w:t>
              <w:br/>
              <w:t>2.0</w:t>
              <w:br/>
              <w:t>35.0%</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Enterprise Market Value and Asset</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0.3x – 17.3x (6.4x)</w:t>
            </w:r>
          </w:p>
        </w:tc>
      </w:tr>
      <w:tr>
        <w:trPr/>
        <w:tc>
          <w:tcPr>
            <w:tcW w:w="22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0.5x – 1.2x (1.2x)</w:t>
            </w:r>
          </w:p>
        </w:tc>
      </w:tr>
      <w:tr>
        <w:trPr/>
        <w:tc>
          <w:tcPr>
            <w:tcW w:w="229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spacing w:before="0" w:after="0"/>
        <w:jc w:val="both"/>
        <w:rPr>
          <w:rFonts w:ascii="Times New Roman;serif" w:hAnsi="Times New Roman;serif"/>
          <w:sz w:val="16"/>
        </w:rPr>
      </w:pPr>
      <w:r>
        <w:rPr>
          <w:rFonts w:ascii="Times New Roman;serif" w:hAnsi="Times New Roman;serif"/>
          <w:b w:val="false"/>
          <w:sz w:val="14"/>
        </w:rPr>
        <w:t>$1.0</w:t>
      </w:r>
      <w:r>
        <w:rPr>
          <w:rFonts w:ascii="Times New Roman;serif" w:hAnsi="Times New Roman;serif"/>
          <w:sz w:val="16"/>
        </w:rPr>
        <w:t xml:space="preserve"> </w:t>
      </w:r>
      <w:r>
        <w:rPr>
          <w:rFonts w:ascii="Times New Roman;serif" w:hAnsi="Times New Roman;serif"/>
          <w:b w:val="false"/>
          <w:sz w:val="14"/>
        </w:rPr>
        <w:t>million</w:t>
      </w:r>
      <w:r>
        <w:rPr>
          <w:rFonts w:ascii="Times New Roman;serif" w:hAnsi="Times New Roman;serif"/>
          <w:sz w:val="16"/>
        </w:rPr>
        <w:t xml:space="preserve"> </w:t>
      </w:r>
      <w:r>
        <w:rPr>
          <w:rFonts w:ascii="Times New Roman;serif" w:hAnsi="Times New Roman;serif"/>
          <w:b w:val="false"/>
          <w:sz w:val="14"/>
        </w:rPr>
        <w:t>in equity was valued using the asset approach.</w:t>
      </w:r>
    </w:p>
    <w:p>
      <w:pPr>
        <w:pStyle w:val="TextBody"/>
        <w:bidi w:val="0"/>
        <w:spacing w:before="0" w:after="0"/>
        <w:jc w:val="both"/>
        <w:rPr>
          <w:rFonts w:ascii="Times New Roman" w:hAnsi="Times New Roman"/>
          <w:b w:val="false"/>
          <w:sz w:val="14"/>
        </w:rPr>
      </w:pPr>
      <w:r>
        <w:rPr>
          <w:rFonts w:ascii="Times New Roman" w:hAnsi="Times New Roman"/>
          <w:b w:val="false"/>
          <w:sz w:val="14"/>
        </w:rPr>
        <w:t>(2)</w:t>
      </w:r>
    </w:p>
    <w:p>
      <w:pPr>
        <w:pStyle w:val="TextBody"/>
        <w:bidi w:val="0"/>
        <w:jc w:val="both"/>
        <w:rPr>
          <w:rFonts w:ascii="Times New Roman;serif" w:hAnsi="Times New Roman;serif"/>
          <w:b w:val="false"/>
          <w:sz w:val="14"/>
        </w:rPr>
      </w:pPr>
      <w:r>
        <w:rPr>
          <w:rFonts w:ascii="Times New Roman;serif" w:hAnsi="Times New Roman;serif"/>
          <w:b w:val="false"/>
          <w:sz w:val="14"/>
        </w:rPr>
        <w:t>The weighted averages disclosed in the table above were weighted by their relative fair value.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valuation techniques and significant unobservable inputs used in recurring Level 3 fair value measurements of assets as of December 31, 2022 were as follows:</w:t>
      </w:r>
    </w:p>
    <w:tbl>
      <w:tblPr>
        <w:tblW w:w="10169" w:type="dxa"/>
        <w:jc w:val="left"/>
        <w:tblInd w:w="0" w:type="dxa"/>
        <w:tblLayout w:type="fixed"/>
        <w:tblCellMar>
          <w:top w:w="28" w:type="dxa"/>
          <w:left w:w="28" w:type="dxa"/>
          <w:bottom w:w="28" w:type="dxa"/>
          <w:right w:w="28" w:type="dxa"/>
        </w:tblCellMar>
      </w:tblPr>
      <w:tblGrid>
        <w:gridCol w:w="2221"/>
        <w:gridCol w:w="146"/>
        <w:gridCol w:w="266"/>
        <w:gridCol w:w="694"/>
        <w:gridCol w:w="146"/>
        <w:gridCol w:w="146"/>
        <w:gridCol w:w="2626"/>
        <w:gridCol w:w="146"/>
        <w:gridCol w:w="1786"/>
        <w:gridCol w:w="146"/>
        <w:gridCol w:w="184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(in millions)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Valuation </w:t>
              <w:b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b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 (Weighted Average)</w:t>
            </w:r>
            <w:r>
              <w:rPr>
                <w:rFonts w:ascii="Times New Roman;serif" w:hAnsi="Times New Roman;serif"/>
                <w:b/>
                <w:sz w:val="11"/>
              </w:rPr>
              <w:t>(2)</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6.0% – 30.0% (12.2%)</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0.4x</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1.6% – 18.7% (16.1%)</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4.7x</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5.9% – 18.9% (10.4%)</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Discount Margin</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21.5% – 24.8% (23.6%)</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Price</w:t>
              <w:br/>
              <w:t>Time to Exit (Years)</w:t>
              <w:br/>
              <w:t>Volatility</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$115.8</w:t>
              <w:br/>
              <w:t>2.0</w:t>
              <w:br/>
              <w:t>35.0%</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Enterprise Market Value and Asset</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3.3x – 15.8x (6.4x)</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0.3x – 1.0x (0.9x)</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spacing w:before="0" w:after="0"/>
        <w:jc w:val="both"/>
        <w:rPr>
          <w:rFonts w:ascii="Times New Roman;serif" w:hAnsi="Times New Roman;serif"/>
          <w:sz w:val="16"/>
        </w:rPr>
      </w:pPr>
      <w:r>
        <w:rPr>
          <w:rFonts w:ascii="Times New Roman;serif" w:hAnsi="Times New Roman;serif"/>
          <w:b w:val="false"/>
          <w:sz w:val="14"/>
        </w:rPr>
        <w:t>$1.0</w:t>
      </w:r>
      <w:r>
        <w:rPr>
          <w:rFonts w:ascii="Times New Roman;serif" w:hAnsi="Times New Roman;serif"/>
          <w:sz w:val="16"/>
        </w:rPr>
        <w:t xml:space="preserve"> </w:t>
      </w:r>
      <w:r>
        <w:rPr>
          <w:rFonts w:ascii="Times New Roman;serif" w:hAnsi="Times New Roman;serif"/>
          <w:b w:val="false"/>
          <w:sz w:val="14"/>
        </w:rPr>
        <w:t>million in equity was valued using the asset approach.</w:t>
      </w:r>
    </w:p>
    <w:p>
      <w:pPr>
        <w:pStyle w:val="TextBody"/>
        <w:bidi w:val="0"/>
        <w:spacing w:before="0" w:after="0"/>
        <w:jc w:val="both"/>
        <w:rPr>
          <w:rFonts w:ascii="Times New Roman" w:hAnsi="Times New Roman"/>
          <w:b w:val="false"/>
          <w:sz w:val="14"/>
        </w:rPr>
      </w:pPr>
      <w:r>
        <w:rPr>
          <w:rFonts w:ascii="Times New Roman" w:hAnsi="Times New Roman"/>
          <w:b w:val="false"/>
          <w:sz w:val="14"/>
        </w:rPr>
        <w:t>(2)</w:t>
      </w:r>
    </w:p>
    <w:p>
      <w:pPr>
        <w:pStyle w:val="TextBody"/>
        <w:bidi w:val="0"/>
        <w:jc w:val="both"/>
        <w:rPr>
          <w:rFonts w:ascii="Times New Roman;serif" w:hAnsi="Times New Roman;serif"/>
          <w:b w:val="false"/>
          <w:sz w:val="14"/>
        </w:rPr>
      </w:pPr>
      <w:r>
        <w:rPr>
          <w:rFonts w:ascii="Times New Roman;serif" w:hAnsi="Times New Roman;serif"/>
          <w:b w:val="false"/>
          <w:sz w:val="14"/>
        </w:rPr>
        <w:t>The weighted averages disclosed in the table above were weighted by their relative fair value.</w:t>
      </w:r>
    </w:p>
    <w:p>
      <w:pPr>
        <w:pStyle w:val="TextBody"/>
        <w:bidi w:val="0"/>
        <w:spacing w:before="120" w:after="0"/>
        <w:jc w:val="both"/>
        <w:rPr>
          <w:rFonts w:ascii="Times New Roman" w:hAnsi="Times New Roman"/>
          <w:sz w:val="20"/>
        </w:rPr>
      </w:pPr>
      <w:r>
        <w:rPr>
          <w:rFonts w:ascii="Times New Roman;serif" w:hAnsi="Times New Roman;serif"/>
          <w:b w:val="false"/>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sz w:val="20"/>
        </w:rPr>
        <w:t xml:space="preserve"> </w:t>
      </w:r>
    </w:p>
    <w:p>
      <w:pPr>
        <w:pStyle w:val="TextBody"/>
        <w:bidi w:val="0"/>
        <w:spacing w:before="120" w:after="0"/>
        <w:jc w:val="both"/>
        <w:rPr>
          <w:rFonts w:ascii="Times New Roman;serif" w:hAnsi="Times New Roman;serif"/>
          <w:b/>
          <w:i/>
          <w:sz w:val="16"/>
        </w:rPr>
      </w:pPr>
      <w:r>
        <w:rPr>
          <w:rFonts w:ascii="Times New Roman;serif" w:hAnsi="Times New Roman;serif"/>
          <w:b/>
          <w:i/>
          <w:sz w:val="16"/>
        </w:rPr>
        <w:t>Great Lakes Funding II LLC</w:t>
      </w:r>
    </w:p>
    <w:p>
      <w:pPr>
        <w:pStyle w:val="TextBody"/>
        <w:bidi w:val="0"/>
        <w:spacing w:before="120" w:after="0"/>
        <w:jc w:val="both"/>
        <w:rPr>
          <w:rFonts w:ascii="Times New Roman" w:hAnsi="Times New Roman"/>
          <w:sz w:val="20"/>
        </w:rPr>
      </w:pPr>
      <w:r>
        <w:rPr>
          <w:rFonts w:ascii="Times New Roman;serif" w:hAnsi="Times New Roman;serif"/>
          <w:b w:val="false"/>
          <w:sz w:val="16"/>
        </w:rPr>
        <w:t>In August 2022, the Company invested in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fair value of the Company’s investment in the Great Lakes II Joint Venture at June 30, 2023 and December 31, 2022</w:t>
      </w:r>
      <w:r>
        <w:rPr>
          <w:rFonts w:ascii="Times New Roman" w:hAnsi="Times New Roman"/>
          <w:sz w:val="20"/>
        </w:rPr>
        <w:t xml:space="preserve"> </w:t>
      </w:r>
      <w:r>
        <w:rPr>
          <w:rFonts w:ascii="Times New Roman;serif" w:hAnsi="Times New Roman;serif"/>
          <w:b w:val="false"/>
          <w:sz w:val="16"/>
        </w:rPr>
        <w:t>was $0.5</w:t>
      </w:r>
      <w:r>
        <w:rPr>
          <w:rFonts w:ascii="Times New Roman" w:hAnsi="Times New Roman"/>
          <w:sz w:val="20"/>
        </w:rPr>
        <w:t xml:space="preserve"> </w:t>
      </w:r>
      <w:r>
        <w:rPr>
          <w:rFonts w:ascii="Times New Roman;serif" w:hAnsi="Times New Roman;serif"/>
          <w:b w:val="false"/>
          <w:sz w:val="16"/>
        </w:rPr>
        <w:t>million and $0.4</w:t>
      </w:r>
      <w:r>
        <w:rPr>
          <w:rFonts w:ascii="Times New Roman" w:hAnsi="Times New Roman"/>
          <w:sz w:val="20"/>
        </w:rPr>
        <w:t xml:space="preserve"> </w:t>
      </w:r>
      <w:r>
        <w:rPr>
          <w:rFonts w:ascii="Times New Roman;serif" w:hAnsi="Times New Roman;serif"/>
          <w:b w:val="false"/>
          <w:sz w:val="16"/>
        </w:rPr>
        <w:t>million, respectively.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the Company has an unfunded commitment to the Great Lakes II Joint Venture of less</w:t>
      </w:r>
      <w:r>
        <w:rPr>
          <w:rFonts w:ascii="Times New Roman" w:hAnsi="Times New Roman"/>
          <w:sz w:val="20"/>
        </w:rPr>
        <w:t xml:space="preserve"> </w:t>
      </w:r>
      <w:r>
        <w:rPr>
          <w:rFonts w:ascii="Times New Roman;serif" w:hAnsi="Times New Roman;serif"/>
          <w:b w:val="false"/>
          <w:sz w:val="16"/>
        </w:rPr>
        <w:t>than $0.1</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4. Transactions With Affiliated Companies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During the six months ended June 30, 2023,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26"/>
        <w:gridCol w:w="146"/>
        <w:gridCol w:w="1256"/>
        <w:gridCol w:w="182"/>
        <w:gridCol w:w="416"/>
        <w:gridCol w:w="146"/>
        <w:gridCol w:w="146"/>
        <w:gridCol w:w="248"/>
        <w:gridCol w:w="521"/>
        <w:gridCol w:w="146"/>
        <w:gridCol w:w="146"/>
        <w:gridCol w:w="185"/>
        <w:gridCol w:w="488"/>
        <w:gridCol w:w="146"/>
        <w:gridCol w:w="146"/>
        <w:gridCol w:w="207"/>
        <w:gridCol w:w="434"/>
        <w:gridCol w:w="146"/>
        <w:gridCol w:w="146"/>
        <w:gridCol w:w="206"/>
        <w:gridCol w:w="525"/>
        <w:gridCol w:w="151"/>
        <w:gridCol w:w="146"/>
        <w:gridCol w:w="192"/>
        <w:gridCol w:w="402"/>
        <w:gridCol w:w="146"/>
        <w:gridCol w:w="146"/>
        <w:gridCol w:w="278"/>
        <w:gridCol w:w="634"/>
        <w:gridCol w:w="151"/>
        <w:gridCol w:w="146"/>
        <w:gridCol w:w="167"/>
        <w:gridCol w:w="438"/>
        <w:gridCol w:w="200"/>
      </w:tblGrid>
      <w:tr>
        <w:trP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Company</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Type of Investment</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Principal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Amount of Interest, Fees or Dividends Credited to Income</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2022</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Gross Additions</w:t>
            </w:r>
            <w:r>
              <w:rPr>
                <w:rFonts w:ascii="Times New Roman;serif" w:hAnsi="Times New Roman;serif"/>
                <w:b/>
                <w:sz w:val="8"/>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Gross Reductions</w:t>
            </w:r>
            <w:r>
              <w:rPr>
                <w:rFonts w:ascii="Times New Roman;serif" w:hAnsi="Times New Roman;serif"/>
                <w:b/>
                <w:sz w:val="8"/>
              </w:rPr>
              <w:t>(3)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Realized Gain/(Loss)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Unrealized Appreciation (Depreciation)</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June 30,</w:t>
              <w:br/>
              <w:t>2023</w:t>
              <w:br/>
              <w:t>Fair Value</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28" w:type="dxa"/>
            <w:gridSpan w:val="3"/>
            <w:tcBorders/>
            <w:vAlign w:val="center"/>
          </w:tcPr>
          <w:p>
            <w:pPr>
              <w:pStyle w:val="TableContents"/>
              <w:bidi w:val="0"/>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Affiliate investments</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5"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Class A (1,253,198</w:t>
            </w:r>
            <w:r>
              <w:rPr>
                <w:rFonts w:ascii="Times New Roman" w:hAnsi="Times New Roman"/>
                <w:sz w:val="20"/>
              </w:rPr>
              <w:t> </w:t>
            </w:r>
            <w:r>
              <w:rPr>
                <w:rFonts w:ascii="Times New Roman;serif" w:hAnsi="Times New Roman;serif"/>
                <w:b w:val="false"/>
                <w:sz w:val="12"/>
              </w:rPr>
              <w:t>shares)</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2,889</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Class B (1,085,073</w:t>
            </w:r>
            <w:r>
              <w:rPr>
                <w:rFonts w:ascii="Times New Roman" w:hAnsi="Times New Roman"/>
                <w:sz w:val="20"/>
              </w:rPr>
              <w:t> </w:t>
            </w:r>
            <w:r>
              <w:rPr>
                <w:rFonts w:ascii="Times New Roman;serif" w:hAnsi="Times New Roman;serif"/>
                <w:b w:val="false"/>
                <w:sz w:val="12"/>
              </w:rPr>
              <w:t>shares)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2,265</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5,154</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A-1 Preferred Stock (1,998</w:t>
            </w:r>
            <w:r>
              <w:rPr>
                <w:rFonts w:ascii="Times New Roman" w:hAnsi="Times New Roman"/>
                <w:sz w:val="20"/>
              </w:rPr>
              <w:t> </w:t>
            </w:r>
            <w:r>
              <w:rPr>
                <w:rFonts w:ascii="Times New Roman;serif" w:hAnsi="Times New Roman;serif"/>
                <w:b w:val="false"/>
                <w:sz w:val="12"/>
              </w:rPr>
              <w:t>shares)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3,471</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B-1 Common Stock (200,000</w:t>
            </w:r>
            <w:r>
              <w:rPr>
                <w:rFonts w:ascii="Times New Roman" w:hAnsi="Times New Roman"/>
                <w:sz w:val="20"/>
              </w:rPr>
              <w:t> </w:t>
            </w:r>
            <w:r>
              <w:rPr>
                <w:rFonts w:ascii="Times New Roman;serif" w:hAnsi="Times New Roman;serif"/>
                <w:b w:val="false"/>
                <w:sz w:val="12"/>
              </w:rPr>
              <w:t>shares)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1,498</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Series A</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A (400</w:t>
            </w:r>
            <w:r>
              <w:rPr>
                <w:rFonts w:ascii="Times New Roman" w:hAnsi="Times New Roman"/>
                <w:sz w:val="20"/>
              </w:rPr>
              <w:t> </w:t>
            </w:r>
            <w:r>
              <w:rPr>
                <w:rFonts w:ascii="Times New Roman;serif" w:hAnsi="Times New Roman;serif"/>
                <w:b w:val="false"/>
                <w:sz w:val="12"/>
              </w:rPr>
              <w:t>Units)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M-1 (200</w:t>
            </w:r>
            <w:r>
              <w:rPr>
                <w:rFonts w:ascii="Times New Roman" w:hAnsi="Times New Roman"/>
                <w:sz w:val="20"/>
              </w:rPr>
              <w:t> </w:t>
            </w:r>
            <w:r>
              <w:rPr>
                <w:rFonts w:ascii="Times New Roman;serif" w:hAnsi="Times New Roman;serif"/>
                <w:b w:val="false"/>
                <w:sz w:val="12"/>
              </w:rPr>
              <w:t>Units)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(12.00% Cash, Due 4/1/22)</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(6.00% Cash, Due 4/1/22)</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MMI Holdings, LLC</w:t>
            </w:r>
            <w:r>
              <w:rPr>
                <w:rFonts w:ascii="Times New Roman;serif" w:hAnsi="Times New Roman;serif"/>
                <w:b w:val="false"/>
                <w:sz w:val="8"/>
              </w:rPr>
              <w:t>(5)</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Preferred Units (1,000</w:t>
            </w:r>
            <w:r>
              <w:rPr>
                <w:rFonts w:ascii="Times New Roman" w:hAnsi="Times New Roman"/>
                <w:sz w:val="20"/>
              </w:rPr>
              <w:t> </w:t>
            </w:r>
            <w:r>
              <w:rPr>
                <w:rFonts w:ascii="Times New Roman;serif" w:hAnsi="Times New Roman;serif"/>
                <w:b w:val="false"/>
                <w:sz w:val="12"/>
              </w:rPr>
              <w:t>units, 8.00% PIK Dividend)</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747</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Membership Units (45</w:t>
            </w:r>
            <w:r>
              <w:rPr>
                <w:rFonts w:ascii="Times New Roman" w:hAnsi="Times New Roman"/>
                <w:sz w:val="20"/>
              </w:rPr>
              <w:t> </w:t>
            </w:r>
            <w:r>
              <w:rPr>
                <w:rFonts w:ascii="Times New Roman;serif" w:hAnsi="Times New Roman;serif"/>
                <w:b w:val="false"/>
                <w:sz w:val="12"/>
              </w:rPr>
              <w:t>units)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3,747</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Membership Units (6,088,000</w:t>
            </w:r>
            <w:r>
              <w:rPr>
                <w:rFonts w:ascii="Times New Roman" w:hAnsi="Times New Roman"/>
                <w:sz w:val="20"/>
              </w:rPr>
              <w:t> </w:t>
            </w:r>
            <w:r>
              <w:rPr>
                <w:rFonts w:ascii="Times New Roman;serif" w:hAnsi="Times New Roman;serif"/>
                <w:b w:val="false"/>
                <w:sz w:val="12"/>
              </w:rPr>
              <w:t>units)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10,078</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10,078</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(10.17% Cash (1 month LIBOR + 5.00%), 1.50% Floor), Due 1/4/24)</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(13.50% Cash, Due 1/4/24)</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RAM Payment, LLC</w:t>
            </w:r>
            <w:r>
              <w:rPr>
                <w:rFonts w:ascii="Times New Roman;serif" w:hAnsi="Times New Roman;serif"/>
                <w:b w:val="false"/>
                <w:sz w:val="8"/>
              </w:rPr>
              <w:t>(5)</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Preferred Units (86,000</w:t>
            </w:r>
            <w:r>
              <w:rPr>
                <w:rFonts w:ascii="Times New Roman" w:hAnsi="Times New Roman"/>
                <w:sz w:val="20"/>
              </w:rPr>
              <w:t> </w:t>
            </w:r>
            <w:r>
              <w:rPr>
                <w:rFonts w:ascii="Times New Roman;serif" w:hAnsi="Times New Roman;serif"/>
                <w:b w:val="false"/>
                <w:sz w:val="12"/>
              </w:rPr>
              <w:t>units, 6.00% PIK Dividend)</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2,375</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3,447</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(15.00% PIK, Due 9/12/23)</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0" w:type="dxa"/>
            <w:tcBorders/>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(27,396,364</w:t>
            </w:r>
            <w:r>
              <w:rPr>
                <w:rFonts w:ascii="Times New Roman" w:hAnsi="Times New Roman"/>
                <w:sz w:val="20"/>
              </w:rPr>
              <w:t> </w:t>
            </w:r>
            <w:r>
              <w:rPr>
                <w:rFonts w:ascii="Times New Roman;serif" w:hAnsi="Times New Roman;serif"/>
                <w:b w:val="false"/>
                <w:sz w:val="12"/>
              </w:rPr>
              <w:t>shares)</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82"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28" w:type="dxa"/>
            <w:gridSpan w:val="3"/>
            <w:tcBorders/>
            <w:vAlign w:val="center"/>
          </w:tcPr>
          <w:p>
            <w:pPr>
              <w:pStyle w:val="TableContents"/>
              <w:bidi w:val="0"/>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Affiliate investments</w:t>
            </w:r>
          </w:p>
        </w:tc>
        <w:tc>
          <w:tcPr>
            <w:tcW w:w="59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29,165</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val="false"/>
          <w:sz w:val="14"/>
        </w:rPr>
      </w:pPr>
      <w:r>
        <w:rPr>
          <w:rFonts w:ascii="Times New Roman" w:hAnsi="Times New Roman"/>
          <w:b w:val="false"/>
          <w:sz w:val="14"/>
        </w:rPr>
        <w:t>(2)</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val="false"/>
          <w:sz w:val="14"/>
        </w:rPr>
      </w:pPr>
      <w:r>
        <w:rPr>
          <w:rFonts w:ascii="Times New Roman" w:hAnsi="Times New Roman"/>
          <w:b w:val="false"/>
          <w:sz w:val="14"/>
        </w:rPr>
        <w:t>(3)</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val="false"/>
          <w:sz w:val="14"/>
        </w:rPr>
      </w:pPr>
      <w:r>
        <w:rPr>
          <w:rFonts w:ascii="Times New Roman" w:hAnsi="Times New Roman"/>
          <w:b w:val="false"/>
          <w:sz w:val="14"/>
        </w:rPr>
        <w:t>(4)</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b w:val="false"/>
          <w:sz w:val="14"/>
        </w:rPr>
      </w:pPr>
      <w:r>
        <w:rPr>
          <w:rFonts w:ascii="Times New Roman" w:hAnsi="Times New Roman"/>
          <w:b w:val="false"/>
          <w:sz w:val="14"/>
        </w:rPr>
        <w:t>(5)</w:t>
      </w:r>
    </w:p>
    <w:p>
      <w:pPr>
        <w:pStyle w:val="TextBody"/>
        <w:bidi w:val="0"/>
        <w:jc w:val="both"/>
        <w:rPr>
          <w:rFonts w:ascii="Times New Roman;serif" w:hAnsi="Times New Roman;serif"/>
          <w:b w:val="false"/>
          <w:sz w:val="14"/>
        </w:rPr>
      </w:pPr>
      <w:r>
        <w:rPr>
          <w:rFonts w:ascii="Times New Roman;serif" w:hAnsi="Times New Roman;serif"/>
          <w:b w:val="false"/>
          <w:sz w:val="14"/>
        </w:rPr>
        <w:t>The equity investment is income producing, based on rate disclosed.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During the year ended December 31, 2022,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02"/>
        <w:gridCol w:w="146"/>
        <w:gridCol w:w="1175"/>
        <w:gridCol w:w="146"/>
        <w:gridCol w:w="179"/>
        <w:gridCol w:w="409"/>
        <w:gridCol w:w="146"/>
        <w:gridCol w:w="146"/>
        <w:gridCol w:w="228"/>
        <w:gridCol w:w="480"/>
        <w:gridCol w:w="146"/>
        <w:gridCol w:w="146"/>
        <w:gridCol w:w="184"/>
        <w:gridCol w:w="485"/>
        <w:gridCol w:w="146"/>
        <w:gridCol w:w="146"/>
        <w:gridCol w:w="204"/>
        <w:gridCol w:w="428"/>
        <w:gridCol w:w="146"/>
        <w:gridCol w:w="146"/>
        <w:gridCol w:w="203"/>
        <w:gridCol w:w="518"/>
        <w:gridCol w:w="151"/>
        <w:gridCol w:w="146"/>
        <w:gridCol w:w="172"/>
        <w:gridCol w:w="438"/>
        <w:gridCol w:w="151"/>
        <w:gridCol w:w="146"/>
        <w:gridCol w:w="248"/>
        <w:gridCol w:w="632"/>
        <w:gridCol w:w="151"/>
        <w:gridCol w:w="146"/>
        <w:gridCol w:w="184"/>
        <w:gridCol w:w="485"/>
        <w:gridCol w:w="200"/>
      </w:tblGrid>
      <w:tr>
        <w:trPr/>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Company</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Type of 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Principal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Amount of Interest, Fees or Dividends Credited to Income</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 xml:space="preserve">2021 </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Gross Additions</w:t>
            </w:r>
            <w:r>
              <w:rPr>
                <w:rFonts w:ascii="Times New Roman;serif" w:hAnsi="Times New Roman;serif"/>
                <w:b/>
                <w:sz w:val="8"/>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Gross Reductions</w:t>
            </w:r>
            <w:r>
              <w:rPr>
                <w:rFonts w:ascii="Times New Roman;serif" w:hAnsi="Times New Roman;serif"/>
                <w:b/>
                <w:sz w:val="8"/>
              </w:rPr>
              <w:t>(3)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Realized Gain/(Loss)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Unrealized Appreciation (Depreciation)</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 xml:space="preserve">2022 </w:t>
              <w:br/>
              <w:t>Fair Value</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3" w:type="dxa"/>
            <w:gridSpan w:val="3"/>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i/>
                <w:sz w:val="12"/>
                <w:u w:val="single"/>
              </w:rPr>
              <w:t>Affiliate investments</w:t>
            </w:r>
            <w:r>
              <w:rPr>
                <w:rFonts w:ascii="Times New Roman;serif" w:hAnsi="Times New Roman;serif"/>
                <w:b/>
                <w:i/>
                <w:sz w:val="8"/>
                <w:u w:val="single"/>
              </w:rPr>
              <w:t>(6)</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Class B (1,085,073</w:t>
            </w:r>
            <w:r>
              <w:rPr>
                <w:rFonts w:ascii="Times New Roman" w:hAnsi="Times New Roman"/>
                <w:sz w:val="20"/>
              </w:rPr>
              <w:t> </w:t>
            </w:r>
            <w:r>
              <w:rPr>
                <w:rFonts w:ascii="Times New Roman;serif" w:hAnsi="Times New Roman;serif"/>
                <w:b w:val="false"/>
                <w:sz w:val="12"/>
              </w:rPr>
              <w:t>shares)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Class A (1,253,198</w:t>
            </w:r>
            <w:r>
              <w:rPr>
                <w:rFonts w:ascii="Times New Roman" w:hAnsi="Times New Roman"/>
                <w:sz w:val="20"/>
              </w:rPr>
              <w:t> </w:t>
            </w:r>
            <w:r>
              <w:rPr>
                <w:rFonts w:ascii="Times New Roman;serif" w:hAnsi="Times New Roman;serif"/>
                <w:b w:val="false"/>
                <w:sz w:val="12"/>
              </w:rPr>
              <w:t>shares)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A-1 Preferred Stock (1,998</w:t>
            </w:r>
            <w:r>
              <w:rPr>
                <w:rFonts w:ascii="Times New Roman" w:hAnsi="Times New Roman"/>
                <w:sz w:val="20"/>
              </w:rPr>
              <w:t> </w:t>
            </w:r>
            <w:r>
              <w:rPr>
                <w:rFonts w:ascii="Times New Roman;serif" w:hAnsi="Times New Roman;serif"/>
                <w:b w:val="false"/>
                <w:sz w:val="12"/>
              </w:rPr>
              <w:t>shares)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B-1 Common Stock (200,000</w:t>
            </w:r>
            <w:r>
              <w:rPr>
                <w:rFonts w:ascii="Times New Roman" w:hAnsi="Times New Roman"/>
                <w:sz w:val="20"/>
              </w:rPr>
              <w:t> </w:t>
            </w:r>
            <w:r>
              <w:rPr>
                <w:rFonts w:ascii="Times New Roman;serif" w:hAnsi="Times New Roman;serif"/>
                <w:b w:val="false"/>
                <w:sz w:val="12"/>
              </w:rPr>
              <w:t>shares)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Series A</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A (400</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Series M-1 (200</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LJS Partners,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Preferred Units (202,336</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LJS Partners,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Membership Units (2,593,234</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(5,940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 Lien Debt (12.0% Cash, Due</w:t>
            </w:r>
            <w:r>
              <w:rPr>
                <w:rFonts w:ascii="Times New Roman" w:hAnsi="Times New Roman"/>
                <w:sz w:val="20"/>
              </w:rPr>
              <w:t xml:space="preserve"> </w:t>
            </w:r>
            <w:r>
              <w:rPr>
                <w:rFonts w:ascii="Times New Roman;serif" w:hAnsi="Times New Roman;serif"/>
                <w:b w:val="false"/>
                <w:sz w:val="12"/>
              </w:rPr>
              <w:t>4/1/22)</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(6.0% Cash, Due 4/1/22)</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MMI Holdings, LLC</w:t>
            </w:r>
            <w:r>
              <w:rPr>
                <w:rFonts w:ascii="Times New Roman;serif" w:hAnsi="Times New Roman;serif"/>
                <w:b w:val="false"/>
                <w:sz w:val="8"/>
              </w:rPr>
              <w:t>(5)</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Preferred Units (1,000</w:t>
            </w:r>
            <w:r>
              <w:rPr>
                <w:rFonts w:ascii="Times New Roman" w:hAnsi="Times New Roman"/>
                <w:sz w:val="20"/>
              </w:rPr>
              <w:t> </w:t>
            </w:r>
            <w:r>
              <w:rPr>
                <w:rFonts w:ascii="Times New Roman;serif" w:hAnsi="Times New Roman;serif"/>
                <w:b w:val="false"/>
                <w:sz w:val="12"/>
              </w:rPr>
              <w:t>units, 8.0% PIK Dividend)</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Membership Units (45</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4,360</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Membership Units (6,088,000</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(6.5% Cash (1 month LIBOR + 5.0%), 1.5% Floor), Due 1/4/24)</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(12.45% Cash, Due 1/4/24)</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RAM Payment, LLC</w:t>
            </w:r>
            <w:r>
              <w:rPr>
                <w:rFonts w:ascii="Times New Roman;serif" w:hAnsi="Times New Roman;serif"/>
                <w:b w:val="false"/>
                <w:sz w:val="8"/>
              </w:rPr>
              <w:t>(5)</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Preferred Units (86,000</w:t>
            </w:r>
            <w:r>
              <w:rPr>
                <w:rFonts w:ascii="Times New Roman" w:hAnsi="Times New Roman"/>
                <w:sz w:val="20"/>
              </w:rPr>
              <w:t> </w:t>
            </w:r>
            <w:r>
              <w:rPr>
                <w:rFonts w:ascii="Times New Roman;serif" w:hAnsi="Times New Roman;serif"/>
                <w:b w:val="false"/>
                <w:sz w:val="12"/>
              </w:rPr>
              <w:t>units, 6.0% PIK Dividend)</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6,651</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(15.0% PIK, Due 9/12/23)</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Common Stock (15,068,000</w:t>
            </w:r>
            <w:r>
              <w:rPr>
                <w:rFonts w:ascii="Times New Roman" w:hAnsi="Times New Roman"/>
                <w:sz w:val="20"/>
              </w:rPr>
              <w:t> </w:t>
            </w:r>
            <w:r>
              <w:rPr>
                <w:rFonts w:ascii="Times New Roman;serif" w:hAnsi="Times New Roman;serif"/>
                <w:b w:val="false"/>
                <w:sz w:val="12"/>
              </w:rPr>
              <w:t>shares)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3" w:type="dxa"/>
            <w:gridSpan w:val="3"/>
            <w:tcBorders/>
            <w:vAlign w:val="center"/>
          </w:tcPr>
          <w:p>
            <w:pPr>
              <w:pStyle w:val="TableContents"/>
              <w:bidi w:val="0"/>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Affiliate investments</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3" w:type="dxa"/>
            <w:gridSpan w:val="3"/>
            <w:tcBorders/>
            <w:vAlign w:val="center"/>
          </w:tcPr>
          <w:p>
            <w:pPr>
              <w:pStyle w:val="TableContents"/>
              <w:bidi w:val="0"/>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Control investments</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(10.5% Cash (1 month LIBOR + 8.5%, 2.0% Floor), Due 3/31/22)</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Class A Preferred Units (9,041,810</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0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Membership Units (5,363,982</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3" w:type="dxa"/>
            <w:gridSpan w:val="3"/>
            <w:tcBorders/>
            <w:vAlign w:val="center"/>
          </w:tcPr>
          <w:p>
            <w:pPr>
              <w:pStyle w:val="TableContents"/>
              <w:bidi w:val="0"/>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Control investments</w:t>
            </w:r>
          </w:p>
        </w:tc>
        <w:tc>
          <w:tcPr>
            <w:tcW w:w="146" w:type="dxa"/>
            <w:tcBorders/>
            <w:vAlign w:val="center"/>
          </w:tcPr>
          <w:p>
            <w:pPr>
              <w:pStyle w:val="TableContents"/>
              <w:bidi w:val="0"/>
              <w:spacing w:before="0" w:after="0"/>
              <w:ind w:left="0" w:right="0" w:hanging="0"/>
              <w:jc w:val="left"/>
              <w:rPr/>
            </w:pPr>
            <w:r>
              <w:rPr/>
              <w:t> </w:t>
            </w:r>
          </w:p>
        </w:tc>
        <w:tc>
          <w:tcPr>
            <w:tcW w:w="58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val="false"/>
          <w:sz w:val="14"/>
        </w:rPr>
      </w:pPr>
      <w:r>
        <w:rPr>
          <w:rFonts w:ascii="Times New Roman" w:hAnsi="Times New Roman"/>
          <w:b w:val="false"/>
          <w:sz w:val="14"/>
        </w:rPr>
        <w:t>(2)</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val="false"/>
          <w:sz w:val="14"/>
        </w:rPr>
      </w:pPr>
      <w:r>
        <w:rPr>
          <w:rFonts w:ascii="Times New Roman" w:hAnsi="Times New Roman"/>
          <w:b w:val="false"/>
          <w:sz w:val="14"/>
        </w:rPr>
        <w:t>(3)</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val="false"/>
          <w:sz w:val="14"/>
        </w:rPr>
      </w:pPr>
      <w:r>
        <w:rPr>
          <w:rFonts w:ascii="Times New Roman" w:hAnsi="Times New Roman"/>
          <w:b w:val="false"/>
          <w:sz w:val="14"/>
        </w:rPr>
        <w:t>(4)</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b w:val="false"/>
          <w:sz w:val="14"/>
        </w:rPr>
      </w:pPr>
      <w:r>
        <w:rPr>
          <w:rFonts w:ascii="Times New Roman" w:hAnsi="Times New Roman"/>
          <w:b w:val="false"/>
          <w:sz w:val="14"/>
        </w:rPr>
        <w:t>(5)</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The equity investment is income producing, based on rate disclosed.</w:t>
      </w:r>
    </w:p>
    <w:p>
      <w:pPr>
        <w:pStyle w:val="TextBody"/>
        <w:bidi w:val="0"/>
        <w:spacing w:before="0" w:after="0"/>
        <w:jc w:val="both"/>
        <w:rPr>
          <w:rFonts w:ascii="Times New Roman" w:hAnsi="Times New Roman"/>
          <w:b w:val="false"/>
          <w:sz w:val="14"/>
        </w:rPr>
      </w:pPr>
      <w:r>
        <w:rPr>
          <w:rFonts w:ascii="Times New Roman" w:hAnsi="Times New Roman"/>
          <w:b w:val="false"/>
          <w:sz w:val="14"/>
        </w:rPr>
        <w:t>(6)</w:t>
      </w:r>
    </w:p>
    <w:p>
      <w:pPr>
        <w:pStyle w:val="TextBody"/>
        <w:bidi w:val="0"/>
        <w:jc w:val="both"/>
        <w:rPr>
          <w:rFonts w:ascii="Times New Roman;serif" w:hAnsi="Times New Roman;serif"/>
          <w:sz w:val="20"/>
        </w:rPr>
      </w:pPr>
      <w:r>
        <w:rPr>
          <w:rFonts w:ascii="Times New Roman;serif" w:hAnsi="Times New Roman;serif"/>
          <w:b w:val="false"/>
          <w:sz w:val="14"/>
        </w:rPr>
        <w:t>During the second quarter of 2022, Eastport Holdings, LLC completed a refinancing and recapitalization transaction. Logan Ridge received $16.5</w:t>
      </w:r>
      <w:r>
        <w:rPr>
          <w:rFonts w:ascii="Times New Roman;serif" w:hAnsi="Times New Roman;serif"/>
          <w:sz w:val="20"/>
        </w:rPr>
        <w:t xml:space="preserve"> </w:t>
      </w:r>
      <w:r>
        <w:rPr>
          <w:rFonts w:ascii="Times New Roman;serif" w:hAnsi="Times New Roman;serif"/>
          <w:b w:val="false"/>
          <w:sz w:val="14"/>
        </w:rPr>
        <w:t>million in cash and $19.3</w:t>
      </w:r>
      <w:r>
        <w:rPr>
          <w:rFonts w:ascii="Times New Roman;serif" w:hAnsi="Times New Roman;serif"/>
          <w:sz w:val="20"/>
        </w:rPr>
        <w:t xml:space="preserve"> </w:t>
      </w:r>
      <w:r>
        <w:rPr>
          <w:rFonts w:ascii="Times New Roman;serif" w:hAnsi="Times New Roman;serif"/>
          <w:b w:val="false"/>
          <w:sz w:val="14"/>
        </w:rPr>
        <w:t>million in principal of a new debt security in exchange for all of its previous debt and equity securities, which resulted in a realized gain of approximately $16.0</w:t>
      </w:r>
      <w:r>
        <w:rPr>
          <w:rFonts w:ascii="Times New Roman;serif" w:hAnsi="Times New Roman;serif"/>
          <w:sz w:val="20"/>
        </w:rPr>
        <w:t xml:space="preserve"> </w:t>
      </w:r>
      <w:r>
        <w:rPr>
          <w:rFonts w:ascii="Times New Roman;serif" w:hAnsi="Times New Roman;serif"/>
          <w:b w:val="false"/>
          <w:sz w:val="14"/>
        </w:rPr>
        <w:t>million on the Company's equity interest. As a result of this transaction, Eastport Holdings, LLC is no longer an affiliate of the Company.</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240" w:after="120"/>
        <w:jc w:val="left"/>
        <w:rPr>
          <w:rFonts w:ascii="Times New Roman;serif" w:hAnsi="Times New Roman;serif"/>
          <w:b/>
          <w:sz w:val="16"/>
        </w:rPr>
      </w:pPr>
      <w:r>
        <w:rPr>
          <w:rFonts w:ascii="Times New Roman;serif" w:hAnsi="Times New Roman;serif"/>
          <w:b/>
          <w:sz w:val="16"/>
        </w:rPr>
        <w:t>Note 5. Agreements and Related Party Transactions</w:t>
      </w:r>
    </w:p>
    <w:p>
      <w:pPr>
        <w:pStyle w:val="TextBody"/>
        <w:bidi w:val="0"/>
        <w:spacing w:before="240" w:after="120"/>
        <w:jc w:val="left"/>
        <w:rPr>
          <w:rFonts w:ascii="Times New Roman;serif" w:hAnsi="Times New Roman;serif"/>
          <w:b w:val="false"/>
          <w:i/>
          <w:sz w:val="16"/>
        </w:rPr>
      </w:pPr>
      <w:r>
        <w:rPr>
          <w:rFonts w:ascii="Times New Roman;serif" w:hAnsi="Times New Roman;serif"/>
          <w:b w:val="false"/>
          <w:i/>
          <w:sz w:val="16"/>
        </w:rPr>
        <w:t>Investment Advisory Agreement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On July 1, 2021, the Company entered into the Investment Advisory Agreement with the Investment Adviser, which was approved by the Company’s stockholders on May 27, 2021. Unless earlier terminated in accordance with its terms, the Investment Advisory Agreement will remain in effect from year to year if approved annually by the Board or by a majority of our Independent Directors. The Board most recently approved the renewal of the Investment Advisory Agreement ata meeting on May 9, 2023.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determines the composition of our portfolio, the nature and timing of the changes to our portfolio, and the manner of implementing such changes;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identifies, evaluates, and negotiates the structure of the investments we make (including performing due diligence on our prospective portfolio companies);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closes and monitors the investments we make; and</w:t>
      </w:r>
    </w:p>
    <w:p>
      <w:pPr>
        <w:pStyle w:val="TextBody"/>
        <w:bidi w:val="0"/>
        <w:spacing w:before="120" w:after="0"/>
        <w:jc w:val="both"/>
        <w:rPr>
          <w:rFonts w:ascii="Times New Roman" w:hAnsi="Times New Roman"/>
          <w:sz w:val="20"/>
        </w:rPr>
      </w:pPr>
      <w:r>
        <w:rPr>
          <w:rFonts w:ascii="Times New Roman;serif" w:hAnsi="Times New Roman;serif"/>
          <w:b w:val="false"/>
          <w:sz w:val="16"/>
        </w:rPr>
        <w:t> provides us with other investment advisory, research, and related services as we may from time to time require.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xml:space="preserve">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incentive fee consists of the following two parts:</w:t>
      </w:r>
    </w:p>
    <w:p>
      <w:pPr>
        <w:pStyle w:val="TextBody"/>
        <w:bidi w:val="0"/>
        <w:spacing w:before="120" w:after="0"/>
        <w:jc w:val="both"/>
        <w:rPr>
          <w:rFonts w:ascii="Times New Roman" w:hAnsi="Times New Roman"/>
          <w:sz w:val="20"/>
        </w:rPr>
      </w:pPr>
      <w:r>
        <w:rPr>
          <w:rFonts w:ascii="Times New Roman;serif" w:hAnsi="Times New Roman;serif"/>
          <w:b w:val="false"/>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no incentive fee in any calendar quarter in which the pre-incentive fee net investment income does not exceed the hurdle of 2.0%;</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such payment is payable under the Investment Advisory Agreement. As of June 30, 2023 and December 31, 2022, the Company did not have incentive fees payable to the Investment Adviser related to fees earned in prior years but deferred under the incentive fee deferral mechanism.</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As part of the Transaction, the Investment Adviser entered into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0"/>
        <w:jc w:val="both"/>
        <w:rPr>
          <w:rFonts w:ascii="Times New Roman" w:hAnsi="Times New Roman"/>
          <w:sz w:val="20"/>
        </w:rPr>
      </w:pPr>
      <w:r>
        <w:rPr>
          <w:rFonts w:ascii="Times New Roman;serif" w:hAnsi="Times New Roman;serif"/>
          <w:b w:val="false"/>
          <w:sz w:val="16"/>
        </w:rPr>
        <w:t>For the three months ended June 30, 2023 and 2022, the Company incurred $0.9</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$1.0</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in base management fees, respectively. The Company did not an earn incentive fee related to pre-incentive fee net investment income or capital gains for the three months ended June 30,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For the six months ended June 30, 2023 and 2022, the Company incurred $1.9</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$2.0</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in base management fees, respectively. The Company did not an earn incentive fee related to pre-incentive fee net investment income or capital gains for the six months ended June 30,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and December 31, 2022, the Company had $0.9</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$0.9</w:t>
      </w:r>
      <w:r>
        <w:rPr>
          <w:rFonts w:ascii="Times New Roman" w:hAnsi="Times New Roman"/>
          <w:sz w:val="20"/>
        </w:rPr>
        <w:t xml:space="preserve"> </w:t>
      </w:r>
      <w:r>
        <w:rPr>
          <w:rFonts w:ascii="Times New Roman;serif" w:hAnsi="Times New Roman;serif"/>
          <w:b w:val="false"/>
          <w:sz w:val="16"/>
        </w:rPr>
        <w:t>million, respectively, of management and incentive fees payable to the Investment Adviser. These amounts are reflected in the accompanying consolidated statements of assets and liabilities under the caption “Management and incentive fees payable.”</w:t>
      </w:r>
    </w:p>
    <w:p>
      <w:pPr>
        <w:pStyle w:val="TextBody"/>
        <w:bidi w:val="0"/>
        <w:spacing w:before="120" w:after="0"/>
        <w:jc w:val="both"/>
        <w:rPr>
          <w:rFonts w:ascii="Times New Roman;serif" w:hAnsi="Times New Roman;serif"/>
          <w:b w:val="false"/>
          <w:i/>
          <w:sz w:val="16"/>
        </w:rPr>
      </w:pPr>
      <w:r>
        <w:rPr>
          <w:rFonts w:ascii="Times New Roman;serif" w:hAnsi="Times New Roman;serif"/>
          <w:b w:val="false"/>
          <w:i/>
          <w:sz w:val="16"/>
        </w:rPr>
        <w:t>Administration Agreement</w:t>
      </w:r>
    </w:p>
    <w:p>
      <w:pPr>
        <w:pStyle w:val="TextBody"/>
        <w:bidi w:val="0"/>
        <w:spacing w:before="120" w:after="120"/>
        <w:jc w:val="both"/>
        <w:rPr>
          <w:rFonts w:ascii="Times New Roman" w:hAnsi="Times New Roman"/>
          <w:sz w:val="20"/>
        </w:rPr>
      </w:pPr>
      <w:r>
        <w:rPr>
          <w:rFonts w:ascii="Times New Roman;serif" w:hAnsi="Times New Roman;serif"/>
          <w:b w:val="false"/>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bidi w:val="0"/>
        <w:spacing w:before="120" w:after="0"/>
        <w:jc w:val="both"/>
        <w:rPr>
          <w:rFonts w:ascii="Times New Roman" w:hAnsi="Times New Roman"/>
          <w:sz w:val="20"/>
        </w:rPr>
      </w:pPr>
      <w:r>
        <w:rPr>
          <w:rFonts w:ascii="Times New Roman;serif" w:hAnsi="Times New Roman;serif"/>
          <w:b w:val="false"/>
          <w:sz w:val="16"/>
        </w:rPr>
        <w:t>For the three months ended June 30, 2023 and 2022, the Company accrued $0.2</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$0.1</w:t>
      </w:r>
      <w:r>
        <w:rPr>
          <w:rFonts w:ascii="Times New Roman" w:hAnsi="Times New Roman"/>
          <w:sz w:val="20"/>
        </w:rPr>
        <w:t xml:space="preserve"> </w:t>
      </w:r>
      <w:r>
        <w:rPr>
          <w:rFonts w:ascii="Times New Roman;serif" w:hAnsi="Times New Roman;serif"/>
          <w:b w:val="false"/>
          <w:sz w:val="16"/>
        </w:rPr>
        <w:t>million, respectively, for the Company’s allocable portion of the Administrator’s overhead.</w:t>
      </w:r>
    </w:p>
    <w:p>
      <w:pPr>
        <w:pStyle w:val="TextBody"/>
        <w:bidi w:val="0"/>
        <w:spacing w:before="120" w:after="0"/>
        <w:jc w:val="both"/>
        <w:rPr>
          <w:rFonts w:ascii="Times New Roman" w:hAnsi="Times New Roman"/>
          <w:sz w:val="20"/>
        </w:rPr>
      </w:pPr>
      <w:r>
        <w:rPr>
          <w:rFonts w:ascii="Times New Roman;serif" w:hAnsi="Times New Roman;serif"/>
          <w:b w:val="false"/>
          <w:sz w:val="16"/>
        </w:rPr>
        <w:t>For the six months ended June 30, 2023 and 2022, the Company accrued $0.5</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$0.3</w:t>
      </w:r>
      <w:r>
        <w:rPr>
          <w:rFonts w:ascii="Times New Roman" w:hAnsi="Times New Roman"/>
          <w:sz w:val="20"/>
        </w:rPr>
        <w:t xml:space="preserve"> </w:t>
      </w:r>
      <w:r>
        <w:rPr>
          <w:rFonts w:ascii="Times New Roman;serif" w:hAnsi="Times New Roman;serif"/>
          <w:b w:val="false"/>
          <w:sz w:val="16"/>
        </w:rPr>
        <w:t>million, respectively, for the Company’s allocable portion of the Administrator’s overhead.</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bidi w:val="0"/>
        <w:spacing w:before="120" w:after="0"/>
        <w:jc w:val="left"/>
        <w:rPr>
          <w:rFonts w:ascii="Times New Roman;serif" w:hAnsi="Times New Roman;serif"/>
          <w:b w:val="false"/>
          <w:i/>
          <w:sz w:val="16"/>
        </w:rPr>
      </w:pPr>
      <w:r>
        <w:rPr>
          <w:rFonts w:ascii="Times New Roman;serif" w:hAnsi="Times New Roman;serif"/>
          <w:b w:val="false"/>
          <w:i/>
          <w:sz w:val="16"/>
        </w:rPr>
        <w:t>Co-investment Exemptive Relief</w:t>
      </w:r>
    </w:p>
    <w:p>
      <w:pPr>
        <w:pStyle w:val="TextBody"/>
        <w:bidi w:val="0"/>
        <w:spacing w:before="120" w:after="120"/>
        <w:jc w:val="both"/>
        <w:rPr>
          <w:rFonts w:ascii="Times New Roman" w:hAnsi="Times New Roman"/>
          <w:sz w:val="20"/>
        </w:rPr>
      </w:pPr>
      <w:r>
        <w:rPr>
          <w:rFonts w:ascii="Times New Roman;serif" w:hAnsi="Times New Roman;serif"/>
          <w:b w:val="false"/>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120" w:after="120"/>
        <w:jc w:val="both"/>
        <w:rPr>
          <w:rFonts w:ascii="Times New Roman;serif" w:hAnsi="Times New Roman;serif"/>
          <w:b w:val="false"/>
          <w:i/>
          <w:sz w:val="16"/>
        </w:rPr>
      </w:pPr>
      <w:r>
        <w:rPr>
          <w:rFonts w:ascii="Times New Roman;serif" w:hAnsi="Times New Roman;serif"/>
          <w:b w:val="false"/>
          <w:i/>
          <w:sz w:val="16"/>
        </w:rPr>
        <w:t>Trade with Affiliated Funds</w:t>
      </w:r>
    </w:p>
    <w:p>
      <w:pPr>
        <w:pStyle w:val="TextBody"/>
        <w:bidi w:val="0"/>
        <w:spacing w:before="120" w:after="120"/>
        <w:jc w:val="both"/>
        <w:rPr>
          <w:rFonts w:ascii="Times New Roman" w:hAnsi="Times New Roman"/>
          <w:sz w:val="20"/>
        </w:rPr>
      </w:pPr>
      <w:r>
        <w:rPr>
          <w:rFonts w:ascii="Times New Roman;serif" w:hAnsi="Times New Roman;serif"/>
          <w:b w:val="false"/>
          <w:sz w:val="16"/>
        </w:rPr>
        <w:t>There were no transactions subject to Rule 17a-7 under the 1940 Act during the three and six months ended June 30, 2023. During both the three and six months ended June 30, 2022, the Company sold $7.9</w:t>
      </w:r>
      <w:r>
        <w:rPr>
          <w:rFonts w:ascii="Times New Roman" w:hAnsi="Times New Roman"/>
          <w:sz w:val="20"/>
        </w:rPr>
        <w:t xml:space="preserve"> </w:t>
      </w:r>
      <w:r>
        <w:rPr>
          <w:rFonts w:ascii="Times New Roman;serif" w:hAnsi="Times New Roman;serif"/>
          <w:b w:val="false"/>
          <w:sz w:val="16"/>
        </w:rPr>
        <w:t>million in total investments to an affiliated fund in accordance with, and pursuant to procedures adopted under, Rule 17a-7 of the 1940 Act. Realized losses on those sales for the same periods amounted to less than $0.1</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120" w:after="120"/>
        <w:jc w:val="both"/>
        <w:rPr>
          <w:rFonts w:ascii="Times New Roman;serif" w:hAnsi="Times New Roman;serif"/>
          <w:b w:val="false"/>
          <w:i/>
          <w:sz w:val="16"/>
        </w:rPr>
      </w:pPr>
      <w:r>
        <w:rPr>
          <w:rFonts w:ascii="Times New Roman;serif" w:hAnsi="Times New Roman;serif"/>
          <w:b w:val="false"/>
          <w:i/>
          <w:sz w:val="16"/>
        </w:rPr>
        <w:t>Potential Conflicts of Interest</w:t>
      </w:r>
    </w:p>
    <w:p>
      <w:pPr>
        <w:pStyle w:val="TextBody"/>
        <w:bidi w:val="0"/>
        <w:spacing w:before="120" w:after="120"/>
        <w:jc w:val="both"/>
        <w:rPr>
          <w:rFonts w:ascii="Times New Roman" w:hAnsi="Times New Roman"/>
          <w:sz w:val="20"/>
        </w:rPr>
      </w:pPr>
      <w:r>
        <w:rPr>
          <w:rFonts w:ascii="Times New Roman;serif" w:hAnsi="Times New Roman;serif"/>
          <w:b w:val="false"/>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16"/>
        </w:rPr>
        <w:t>best interest of the Company's stockholders. The Company's investment objectives may overlap with the investment objectives of such investment funds, accounts or other investment vehicles.</w:t>
      </w:r>
      <w:r>
        <w:rPr>
          <w:rFonts w:ascii="Times New Roman" w:hAnsi="Times New Roman"/>
          <w:sz w:val="20"/>
        </w:rPr>
        <w:t xml:space="preserve"> </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6. Borrowings</w:t>
      </w:r>
    </w:p>
    <w:p>
      <w:pPr>
        <w:pStyle w:val="TextBody"/>
        <w:bidi w:val="0"/>
        <w:spacing w:before="120" w:after="120"/>
        <w:jc w:val="left"/>
        <w:rPr>
          <w:rFonts w:ascii="Times New Roman" w:hAnsi="Times New Roman"/>
          <w:sz w:val="20"/>
        </w:rPr>
      </w:pPr>
      <w:r>
        <w:rPr>
          <w:rFonts w:ascii="Times New Roman;serif" w:hAnsi="Times New Roman;serif"/>
          <w:b/>
          <w:i/>
          <w:sz w:val="16"/>
        </w:rPr>
        <w:t>2022 Notes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On May 16, 2017, the Company issued $70.0</w:t>
      </w:r>
      <w:r>
        <w:rPr>
          <w:rFonts w:ascii="Times New Roman" w:hAnsi="Times New Roman"/>
          <w:sz w:val="20"/>
        </w:rPr>
        <w:t xml:space="preserve"> </w:t>
      </w:r>
      <w:r>
        <w:rPr>
          <w:rFonts w:ascii="Times New Roman;serif" w:hAnsi="Times New Roman;serif"/>
          <w:b w:val="false"/>
          <w:sz w:val="16"/>
        </w:rPr>
        <w:t>million in aggregate principal amount of 6.0% fixed-rate notes due May 31, 2022 (the “2022 Notes”). On May 25, 2017, the Company issued an additional $5.0</w:t>
      </w:r>
      <w:r>
        <w:rPr>
          <w:rFonts w:ascii="Times New Roman" w:hAnsi="Times New Roman"/>
          <w:sz w:val="20"/>
        </w:rPr>
        <w:t xml:space="preserve"> </w:t>
      </w:r>
      <w:r>
        <w:rPr>
          <w:rFonts w:ascii="Times New Roman;serif" w:hAnsi="Times New Roman;serif"/>
          <w:b w:val="false"/>
          <w:sz w:val="16"/>
        </w:rPr>
        <w:t>million in aggregate principal amount of the 2022 Notes pursuant to a partial exercise of the underwriters’ overallotment option. On November 1, 2021, the Company notified the Trustee for the Company's 2022 Notes, of the Company's election to redeem $50.0</w:t>
      </w:r>
      <w:r>
        <w:rPr>
          <w:rFonts w:ascii="Times New Roman" w:hAnsi="Times New Roman"/>
          <w:sz w:val="20"/>
        </w:rPr>
        <w:t xml:space="preserve"> </w:t>
      </w:r>
      <w:r>
        <w:rPr>
          <w:rFonts w:ascii="Times New Roman;serif" w:hAnsi="Times New Roman;serif"/>
          <w:b w:val="false"/>
          <w:sz w:val="16"/>
        </w:rPr>
        <w:t>million aggregate principal amount of the 2022 Notes outstanding. The redemption was completed on December 6, 2021. On May 31, 2022, the remaining 2022 Notes reached maturity, and the entire outstanding principal of the 2022 Notes became payable and was paid by the Company. Accordingly, as of June 30, 2023 and December 31, 2022, there were no</w:t>
      </w:r>
      <w:r>
        <w:rPr>
          <w:rFonts w:ascii="Times New Roman" w:hAnsi="Times New Roman"/>
          <w:sz w:val="20"/>
        </w:rPr>
        <w:t xml:space="preserve"> </w:t>
      </w:r>
      <w:r>
        <w:rPr>
          <w:rFonts w:ascii="Times New Roman;serif" w:hAnsi="Times New Roman;serif"/>
          <w:b w:val="false"/>
          <w:sz w:val="16"/>
        </w:rPr>
        <w:t>2022 Notes outstanding.</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2022 Notes were scheduled to mature on May 31, 2022</w:t>
      </w:r>
      <w:r>
        <w:rPr>
          <w:rFonts w:ascii="Times New Roman" w:hAnsi="Times New Roman"/>
          <w:sz w:val="20"/>
        </w:rPr>
        <w:t xml:space="preserve"> </w:t>
      </w:r>
      <w:r>
        <w:rPr>
          <w:rFonts w:ascii="Times New Roman;serif" w:hAnsi="Times New Roman;serif"/>
          <w:b w:val="false"/>
          <w:sz w:val="16"/>
        </w:rPr>
        <w:t>and could be redeemed in whole or in part at any time or from time to time at the Company’s option on or after May 31, 2019</w:t>
      </w:r>
      <w:r>
        <w:rPr>
          <w:rFonts w:ascii="Times New Roman" w:hAnsi="Times New Roman"/>
          <w:sz w:val="20"/>
        </w:rPr>
        <w:t xml:space="preserve"> </w:t>
      </w:r>
      <w:r>
        <w:rPr>
          <w:rFonts w:ascii="Times New Roman;serif" w:hAnsi="Times New Roman;serif"/>
          <w:b w:val="false"/>
          <w:sz w:val="16"/>
        </w:rPr>
        <w:t xml:space="preserve">at a redemption price equal to 100% of the outstanding principal, plus accrued and unpaid interest. Interest on the 2022 Notes was payable quarterly. The 2022 Notes were listed on the NASDAQ Global Select Market under the trading symbol </w:t>
      </w:r>
      <w:r>
        <w:rPr>
          <w:rFonts w:ascii="Times New Roman" w:hAnsi="Times New Roman"/>
          <w:sz w:val="20"/>
        </w:rPr>
        <w:t>“</w:t>
      </w:r>
      <w:r>
        <w:rPr>
          <w:rFonts w:ascii="Times New Roman;serif" w:hAnsi="Times New Roman;serif"/>
          <w:b w:val="false"/>
          <w:sz w:val="16"/>
        </w:rPr>
        <w:t>CPTAL” with a par value of $25.00</w:t>
      </w:r>
      <w:r>
        <w:rPr>
          <w:rFonts w:ascii="Times New Roman" w:hAnsi="Times New Roman"/>
          <w:sz w:val="20"/>
        </w:rPr>
        <w:t xml:space="preserve"> </w:t>
      </w:r>
      <w:r>
        <w:rPr>
          <w:rFonts w:ascii="Times New Roman;serif" w:hAnsi="Times New Roman;serif"/>
          <w:b w:val="false"/>
          <w:sz w:val="16"/>
        </w:rPr>
        <w:t>per share.</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2022 Notes for the three and six months ended June 30, 2023 and 2022 (dollars in thousands):</w:t>
      </w:r>
    </w:p>
    <w:tbl>
      <w:tblPr>
        <w:tblW w:w="9008" w:type="dxa"/>
        <w:jc w:val="left"/>
        <w:tblInd w:w="0" w:type="dxa"/>
        <w:tblLayout w:type="fixed"/>
        <w:tblCellMar>
          <w:top w:w="28" w:type="dxa"/>
          <w:left w:w="28" w:type="dxa"/>
          <w:bottom w:w="28" w:type="dxa"/>
          <w:right w:w="28" w:type="dxa"/>
        </w:tblCellMar>
      </w:tblPr>
      <w:tblGrid>
        <w:gridCol w:w="2686"/>
        <w:gridCol w:w="146"/>
        <w:gridCol w:w="942"/>
        <w:gridCol w:w="295"/>
        <w:gridCol w:w="396"/>
        <w:gridCol w:w="1216"/>
        <w:gridCol w:w="241"/>
        <w:gridCol w:w="146"/>
        <w:gridCol w:w="878"/>
        <w:gridCol w:w="275"/>
        <w:gridCol w:w="369"/>
        <w:gridCol w:w="1132"/>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609</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vAlign w:val="center"/>
          </w:tcPr>
          <w:p>
            <w:pPr>
              <w:pStyle w:val="TableContents"/>
              <w:bidi w:val="0"/>
              <w:spacing w:before="0" w:after="0"/>
              <w:ind w:left="0" w:right="0" w:hanging="0"/>
              <w:jc w:val="left"/>
              <w:rPr/>
            </w:pPr>
            <w:r>
              <w:rPr/>
              <w:t> </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654</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18,923</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left"/>
        <w:rPr>
          <w:rFonts w:ascii="Times New Roman" w:hAnsi="Times New Roman"/>
          <w:sz w:val="20"/>
        </w:rPr>
      </w:pPr>
      <w:r>
        <w:rPr>
          <w:rFonts w:ascii="Times New Roman;serif" w:hAnsi="Times New Roman;serif"/>
          <w:b/>
          <w:i/>
          <w:sz w:val="16"/>
        </w:rPr>
        <w:t>2022 Convertible Notes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On May 26, 2017, the Company issued $50.0</w:t>
      </w:r>
      <w:r>
        <w:rPr>
          <w:rFonts w:ascii="Times New Roman" w:hAnsi="Times New Roman"/>
          <w:sz w:val="20"/>
        </w:rPr>
        <w:t xml:space="preserve"> </w:t>
      </w:r>
      <w:r>
        <w:rPr>
          <w:rFonts w:ascii="Times New Roman;serif" w:hAnsi="Times New Roman;serif"/>
          <w:b w:val="false"/>
          <w:sz w:val="16"/>
        </w:rPr>
        <w:t>million in aggregate principal amount of 5.75% fixed-rate convertible notes due May 31, 2022</w:t>
      </w:r>
      <w:r>
        <w:rPr>
          <w:rFonts w:ascii="Times New Roman" w:hAnsi="Times New Roman"/>
          <w:sz w:val="20"/>
        </w:rPr>
        <w:t xml:space="preserve"> </w:t>
      </w:r>
      <w:r>
        <w:rPr>
          <w:rFonts w:ascii="Times New Roman;serif" w:hAnsi="Times New Roman;serif"/>
          <w:b w:val="false"/>
          <w:sz w:val="16"/>
        </w:rPr>
        <w:t>(the “2022 Convertible Notes”). On June 26, 2017, the Company issued an additional $2.1</w:t>
      </w:r>
      <w:r>
        <w:rPr>
          <w:rFonts w:ascii="Times New Roman" w:hAnsi="Times New Roman"/>
          <w:sz w:val="20"/>
        </w:rPr>
        <w:t xml:space="preserve"> </w:t>
      </w:r>
      <w:r>
        <w:rPr>
          <w:rFonts w:ascii="Times New Roman;serif" w:hAnsi="Times New Roman;serif"/>
          <w:b w:val="false"/>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June 30, 2023 and December 31, 2022, there were no</w:t>
      </w:r>
      <w:r>
        <w:rPr>
          <w:rFonts w:ascii="Times New Roman" w:hAnsi="Times New Roman"/>
          <w:sz w:val="20"/>
        </w:rPr>
        <w:t xml:space="preserve"> </w:t>
      </w:r>
      <w:r>
        <w:rPr>
          <w:rFonts w:ascii="Times New Roman;serif" w:hAnsi="Times New Roman;serif"/>
          <w:b w:val="false"/>
          <w:sz w:val="16"/>
        </w:rPr>
        <w:t>2022 Convertible Notes outstanding.</w:t>
      </w:r>
    </w:p>
    <w:p>
      <w:pPr>
        <w:pStyle w:val="TextBody"/>
        <w:bidi w:val="0"/>
        <w:spacing w:before="120" w:after="0"/>
        <w:jc w:val="both"/>
        <w:rPr>
          <w:rFonts w:ascii="Times New Roman;serif" w:hAnsi="Times New Roman;serif"/>
          <w:sz w:val="16"/>
        </w:rPr>
      </w:pPr>
      <w:r>
        <w:rPr>
          <w:rFonts w:ascii="Times New Roman;serif" w:hAnsi="Times New Roman;serif"/>
          <w:b w:val="false"/>
          <w:sz w:val="16"/>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w:t>
      </w:r>
      <w:r>
        <w:rPr>
          <w:rFonts w:ascii="Times New Roman;serif" w:hAnsi="Times New Roman;serif"/>
          <w:sz w:val="16"/>
        </w:rPr>
        <w:t xml:space="preserve"> </w:t>
      </w:r>
      <w:r>
        <w:rPr>
          <w:rFonts w:ascii="Times New Roman;serif" w:hAnsi="Times New Roman;serif"/>
          <w:b w:val="false"/>
          <w:sz w:val="16"/>
        </w:rPr>
        <w:t>shares per $25.00</w:t>
      </w:r>
      <w:r>
        <w:rPr>
          <w:rFonts w:ascii="Times New Roman;serif" w:hAnsi="Times New Roman;serif"/>
          <w:sz w:val="16"/>
        </w:rPr>
        <w:t xml:space="preserve"> </w:t>
      </w:r>
      <w:r>
        <w:rPr>
          <w:rFonts w:ascii="Times New Roman;serif" w:hAnsi="Times New Roman;serif"/>
          <w:b w:val="false"/>
          <w:sz w:val="16"/>
        </w:rPr>
        <w:t>principal amount of 2022 Convertible Notes (equivalent to an initial conversion price of approximately $15.71</w:t>
      </w:r>
      <w:r>
        <w:rPr>
          <w:rFonts w:ascii="Times New Roman;serif" w:hAnsi="Times New Roman;serif"/>
          <w:sz w:val="16"/>
        </w:rPr>
        <w:t xml:space="preserve"> </w:t>
      </w:r>
      <w:r>
        <w:rPr>
          <w:rFonts w:ascii="Times New Roman;serif" w:hAnsi="Times New Roman;serif"/>
          <w:b w:val="false"/>
          <w:sz w:val="16"/>
        </w:rPr>
        <w:t>per share of common stock). The initial conversion premium was approximately 14.0%. As a result of the reverse stock split, the conversion rate for the 2022 Convertible Notes was 0.2652</w:t>
      </w:r>
      <w:r>
        <w:rPr>
          <w:rFonts w:ascii="Times New Roman;serif" w:hAnsi="Times New Roman;serif"/>
          <w:sz w:val="16"/>
        </w:rPr>
        <w:t xml:space="preserve"> </w:t>
      </w:r>
      <w:r>
        <w:rPr>
          <w:rFonts w:ascii="Times New Roman;serif" w:hAnsi="Times New Roman;serif"/>
          <w:b w:val="false"/>
          <w:sz w:val="16"/>
        </w:rPr>
        <w:t>shares per $25.00</w:t>
      </w:r>
      <w:r>
        <w:rPr>
          <w:rFonts w:ascii="Times New Roman;serif" w:hAnsi="Times New Roman;serif"/>
          <w:sz w:val="16"/>
        </w:rPr>
        <w:t xml:space="preserve"> </w:t>
      </w:r>
      <w:r>
        <w:rPr>
          <w:rFonts w:ascii="Times New Roman;serif" w:hAnsi="Times New Roman;serif"/>
          <w:b w:val="false"/>
          <w:sz w:val="16"/>
        </w:rPr>
        <w:t>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w:t>
      </w:r>
    </w:p>
    <w:p>
      <w:pPr>
        <w:pStyle w:val="TextBody"/>
        <w:bidi w:val="0"/>
        <w:spacing w:before="120" w:after="0"/>
        <w:jc w:val="both"/>
        <w:rPr>
          <w:rFonts w:ascii="Times New Roman" w:hAnsi="Times New Roman"/>
          <w:sz w:val="20"/>
        </w:rPr>
      </w:pPr>
      <w:r>
        <w:rPr>
          <w:rFonts w:ascii="Times New Roman;serif" w:hAnsi="Times New Roman;serif"/>
          <w:b w:val="false"/>
          <w:sz w:val="16"/>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w:t>
      </w:r>
      <w:r>
        <w:rPr>
          <w:rFonts w:ascii="Times New Roman" w:hAnsi="Times New Roman"/>
          <w:sz w:val="20"/>
        </w:rPr>
        <w:t xml:space="preserve"> “</w:t>
      </w:r>
      <w:r>
        <w:rPr>
          <w:rFonts w:ascii="Times New Roman;serif" w:hAnsi="Times New Roman;serif"/>
          <w:b w:val="false"/>
          <w:sz w:val="16"/>
        </w:rPr>
        <w:t>sinking fund” was provided for the 2022 Convertible Notes.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2022 Convertible Notes for the three and six months ended June 30, 2023 and 2022 (dollars in thousands):</w:t>
      </w:r>
    </w:p>
    <w:tbl>
      <w:tblPr>
        <w:tblW w:w="9008" w:type="dxa"/>
        <w:jc w:val="left"/>
        <w:tblInd w:w="0" w:type="dxa"/>
        <w:tblLayout w:type="fixed"/>
        <w:tblCellMar>
          <w:top w:w="28" w:type="dxa"/>
          <w:left w:w="28" w:type="dxa"/>
          <w:bottom w:w="28" w:type="dxa"/>
          <w:right w:w="28" w:type="dxa"/>
        </w:tblCellMar>
      </w:tblPr>
      <w:tblGrid>
        <w:gridCol w:w="2686"/>
        <w:gridCol w:w="146"/>
        <w:gridCol w:w="942"/>
        <w:gridCol w:w="295"/>
        <w:gridCol w:w="396"/>
        <w:gridCol w:w="1216"/>
        <w:gridCol w:w="241"/>
        <w:gridCol w:w="146"/>
        <w:gridCol w:w="878"/>
        <w:gridCol w:w="275"/>
        <w:gridCol w:w="369"/>
        <w:gridCol w:w="1132"/>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9"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1,239</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vAlign w:val="center"/>
          </w:tcPr>
          <w:p>
            <w:pPr>
              <w:pStyle w:val="TableContents"/>
              <w:bidi w:val="0"/>
              <w:spacing w:before="0" w:after="0"/>
              <w:ind w:left="0" w:right="0" w:hanging="0"/>
              <w:jc w:val="left"/>
              <w:rPr/>
            </w:pPr>
            <w:r>
              <w:rPr/>
              <w:t> </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1,407</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43,166</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95"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275"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 w:hAnsi="Times New Roman"/>
          <w:sz w:val="20"/>
        </w:rPr>
      </w:pPr>
      <w:r>
        <w:rPr>
          <w:rFonts w:ascii="Times New Roman;serif" w:hAnsi="Times New Roman;serif"/>
          <w:b/>
          <w:i/>
          <w:sz w:val="16"/>
        </w:rPr>
        <w:t>2026 Notes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On October 29, 2021, the Company issued $50.0</w:t>
      </w:r>
      <w:r>
        <w:rPr>
          <w:rFonts w:ascii="Times New Roman" w:hAnsi="Times New Roman"/>
          <w:sz w:val="20"/>
        </w:rPr>
        <w:t xml:space="preserve"> </w:t>
      </w:r>
      <w:r>
        <w:rPr>
          <w:rFonts w:ascii="Times New Roman;serif" w:hAnsi="Times New Roman;serif"/>
          <w:b w:val="false"/>
          <w:sz w:val="16"/>
        </w:rPr>
        <w:t>million in aggregate principal amount of 5.25% fixed-rate notes due October 30, 2026</w:t>
      </w:r>
      <w:r>
        <w:rPr>
          <w:rFonts w:ascii="Times New Roman" w:hAnsi="Times New Roman"/>
          <w:sz w:val="20"/>
        </w:rPr>
        <w:t xml:space="preserve"> </w:t>
      </w:r>
      <w:r>
        <w:rPr>
          <w:rFonts w:ascii="Times New Roman;serif" w:hAnsi="Times New Roman;serif"/>
          <w:b w:val="false"/>
          <w:sz w:val="16"/>
        </w:rPr>
        <w:t>(the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w:t>
      </w:r>
      <w:r>
        <w:rPr>
          <w:rFonts w:ascii="Times New Roman" w:hAnsi="Times New Roman"/>
          <w:sz w:val="20"/>
        </w:rPr>
        <w:t xml:space="preserve"> </w:t>
      </w:r>
      <w:r>
        <w:rPr>
          <w:rFonts w:ascii="Times New Roman;serif" w:hAnsi="Times New Roman;serif"/>
          <w:b w:val="false"/>
          <w:sz w:val="16"/>
        </w:rPr>
        <w:t>million, after deducting estimated offering expenses.</w:t>
      </w:r>
      <w:r>
        <w:rPr>
          <w:rFonts w:ascii="Times New Roman" w:hAnsi="Times New Roman"/>
          <w:sz w:val="20"/>
        </w:rPr>
        <w:t xml:space="preserve"> </w:t>
      </w:r>
      <w:r>
        <w:rPr>
          <w:rFonts w:ascii="Times New Roman;serif" w:hAnsi="Times New Roman;serif"/>
          <w:b w:val="false"/>
          <w:sz w:val="16"/>
        </w:rPr>
        <w:t>The Notes will mature on October 30, 2026 and may be redeemed in whole or in part at the Company's option at any time or from time to time at the redemption prices set forth in the Indenture. The Notes bear interest at a rate of 5.25% per year payable semi-annually</w:t>
      </w:r>
      <w:r>
        <w:rPr>
          <w:rFonts w:ascii="Times New Roman;serif" w:hAnsi="Times New Roman;serif"/>
          <w:sz w:val="16"/>
        </w:rPr>
        <w:t xml:space="preserve"> </w:t>
      </w:r>
      <w:r>
        <w:rPr>
          <w:rFonts w:ascii="Times New Roman;serif" w:hAnsi="Times New Roman;serif"/>
          <w:b w:val="false"/>
          <w:sz w:val="16"/>
        </w:rPr>
        <w:t>on April 30 and October 30 of each year, commencing on April 30, 2022.</w:t>
      </w:r>
      <w:r>
        <w:rPr>
          <w:rFonts w:ascii="Times New Roman" w:hAnsi="Times New Roman"/>
          <w:sz w:val="20"/>
        </w:rPr>
        <w:t xml:space="preserve"> </w:t>
      </w:r>
      <w:r>
        <w:rPr>
          <w:rFonts w:ascii="Times New Roman;serif" w:hAnsi="Times New Roman;serif"/>
          <w:b w:val="false"/>
          <w:sz w:val="16"/>
        </w:rPr>
        <w:t>The Notes are general unsecured obligations of the Company that rank senior in right of payment to all of the Company's existing and future indebtedness that is expressly subordinated in right of payment to the Notes,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0"/>
        <w:jc w:val="both"/>
        <w:rPr>
          <w:rFonts w:ascii="Times New Roman" w:hAnsi="Times New Roman"/>
          <w:sz w:val="20"/>
        </w:rPr>
      </w:pPr>
      <w:r>
        <w:rPr>
          <w:rFonts w:ascii="Times New Roman;serif" w:hAnsi="Times New Roman;serif"/>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and December 31, 2022, the Company had $50.0</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$50.0</w:t>
      </w:r>
      <w:r>
        <w:rPr>
          <w:rFonts w:ascii="Times New Roman" w:hAnsi="Times New Roman"/>
          <w:sz w:val="20"/>
        </w:rPr>
        <w:t xml:space="preserve"> </w:t>
      </w:r>
      <w:r>
        <w:rPr>
          <w:rFonts w:ascii="Times New Roman;serif" w:hAnsi="Times New Roman;serif"/>
          <w:b w:val="false"/>
          <w:sz w:val="16"/>
        </w:rPr>
        <w:t>million, respectively in 2026 Notes outstanding.</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2026 Notes for the three and six months ended June 30, 2023 and 2022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713</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1,419</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1,412</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752</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1,496</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1,482</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 w:hAnsi="Times New Roman"/>
          <w:sz w:val="20"/>
        </w:rPr>
      </w:pPr>
      <w:r>
        <w:rPr>
          <w:rFonts w:ascii="Times New Roman;serif" w:hAnsi="Times New Roman;serif"/>
          <w:b/>
          <w:i/>
          <w:sz w:val="16"/>
        </w:rPr>
        <w:t>2032 Convertible Notes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On April 1, 2022, the Company issued $15.0</w:t>
      </w:r>
      <w:r>
        <w:rPr>
          <w:rFonts w:ascii="Times New Roman" w:hAnsi="Times New Roman"/>
          <w:sz w:val="20"/>
        </w:rPr>
        <w:t xml:space="preserve"> </w:t>
      </w:r>
      <w:r>
        <w:rPr>
          <w:rFonts w:ascii="Times New Roman;serif" w:hAnsi="Times New Roman;serif"/>
          <w:b w:val="false"/>
          <w:sz w:val="16"/>
        </w:rPr>
        <w:t>million in aggregate principal amount of 5.25% fixed-rate convertible notes due April 1, 2032</w:t>
      </w:r>
      <w:r>
        <w:rPr>
          <w:rFonts w:ascii="Times New Roman" w:hAnsi="Times New Roman"/>
          <w:sz w:val="20"/>
        </w:rPr>
        <w:t xml:space="preserve"> </w:t>
      </w:r>
      <w:r>
        <w:rPr>
          <w:rFonts w:ascii="Times New Roman;serif" w:hAnsi="Times New Roman;serif"/>
          <w:b w:val="false"/>
          <w:sz w:val="16"/>
        </w:rPr>
        <w:t>(the “2032 Convertible Notes”).</w:t>
      </w:r>
      <w:r>
        <w:rPr>
          <w:rFonts w:ascii="Times New Roman" w:hAnsi="Times New Roman"/>
          <w:sz w:val="20"/>
        </w:rPr>
        <w:t xml:space="preserve"> </w:t>
      </w:r>
    </w:p>
    <w:p>
      <w:pPr>
        <w:pStyle w:val="TextBody"/>
        <w:bidi w:val="0"/>
        <w:spacing w:before="120" w:after="0"/>
        <w:jc w:val="both"/>
        <w:rPr>
          <w:rFonts w:ascii="Times New Roman;serif" w:hAnsi="Times New Roman;serif"/>
          <w:sz w:val="16"/>
        </w:rPr>
      </w:pPr>
      <w:r>
        <w:rPr>
          <w:rFonts w:ascii="Times New Roman;serif" w:hAnsi="Times New Roman;serif"/>
          <w:b w:val="false"/>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w:t>
      </w:r>
      <w:r>
        <w:rPr>
          <w:rFonts w:ascii="Times New Roman;serif" w:hAnsi="Times New Roman;serif"/>
          <w:sz w:val="16"/>
        </w:rPr>
        <w:t xml:space="preserve"> </w:t>
      </w:r>
      <w:r>
        <w:rPr>
          <w:rFonts w:ascii="Times New Roman;serif" w:hAnsi="Times New Roman;serif"/>
          <w:b w:val="false"/>
          <w:sz w:val="16"/>
        </w:rPr>
        <w:t>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w:t>
      </w:r>
      <w:r>
        <w:rPr>
          <w:rFonts w:ascii="Times New Roman;serif" w:hAnsi="Times New Roman;serif"/>
          <w:sz w:val="16"/>
        </w:rPr>
        <w:t xml:space="preserve"> “</w:t>
      </w:r>
      <w:r>
        <w:rPr>
          <w:rFonts w:ascii="Times New Roman;serif" w:hAnsi="Times New Roman;serif"/>
          <w:b w:val="false"/>
          <w:sz w:val="16"/>
        </w:rPr>
        <w:t>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w:t>
      </w:r>
      <w:r>
        <w:rPr>
          <w:rFonts w:ascii="Times New Roman;serif" w:hAnsi="Times New Roman;serif"/>
          <w:sz w:val="16"/>
        </w:rPr>
        <w:t xml:space="preserve"> </w:t>
      </w:r>
      <w:r>
        <w:rPr>
          <w:rFonts w:ascii="Times New Roman;serif" w:hAnsi="Times New Roman;serif"/>
          <w:b w:val="false"/>
          <w:sz w:val="16"/>
        </w:rPr>
        <w:t>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w:t>
      </w:r>
      <w:r>
        <w:rPr>
          <w:rFonts w:ascii="Times New Roman" w:hAnsi="Times New Roman"/>
          <w:sz w:val="20"/>
        </w:rPr>
        <w:t xml:space="preserve">” </w:t>
      </w:r>
      <w:r>
        <w:rPr>
          <w:rFonts w:ascii="Times New Roman;serif" w:hAnsi="Times New Roman;serif"/>
          <w:b w:val="false"/>
          <w:sz w:val="16"/>
        </w:rPr>
        <w:t>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and December 31, 2022, the Company had $15.0</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$15.0</w:t>
      </w:r>
      <w:r>
        <w:rPr>
          <w:rFonts w:ascii="Times New Roman" w:hAnsi="Times New Roman"/>
          <w:sz w:val="20"/>
        </w:rPr>
        <w:t xml:space="preserve"> </w:t>
      </w:r>
      <w:r>
        <w:rPr>
          <w:rFonts w:ascii="Times New Roman;serif" w:hAnsi="Times New Roman;serif"/>
          <w:b w:val="false"/>
          <w:sz w:val="16"/>
        </w:rPr>
        <w:t>million, respectively, in 2032 Convertible Notes outstanding.</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2032 Convertible Notes for the three and six months ended June 30, 2023 and 2022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452</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0"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left"/>
        <w:rPr>
          <w:rFonts w:ascii="Times New Roman;serif" w:hAnsi="Times New Roman;serif"/>
          <w:b/>
          <w:i/>
          <w:sz w:val="16"/>
        </w:rPr>
      </w:pPr>
      <w:r>
        <w:rPr>
          <w:rFonts w:ascii="Times New Roman;serif" w:hAnsi="Times New Roman;serif"/>
          <w:b/>
          <w:i/>
          <w:sz w:val="16"/>
        </w:rPr>
        <w:t>KeyBank Credit Facility</w:t>
      </w:r>
    </w:p>
    <w:p>
      <w:pPr>
        <w:pStyle w:val="TextBody"/>
        <w:bidi w:val="0"/>
        <w:spacing w:before="0" w:after="0"/>
        <w:jc w:val="both"/>
        <w:rPr>
          <w:rFonts w:ascii="Times New Roman" w:hAnsi="Times New Roman"/>
          <w:sz w:val="20"/>
        </w:rPr>
      </w:pPr>
      <w:r>
        <w:rPr>
          <w:rFonts w:ascii="Times New Roman;serif" w:hAnsi="Times New Roman;serif"/>
          <w:b w:val="false"/>
          <w:sz w:val="16"/>
        </w:rPr>
        <w:t>On October 30, 2020, CBL, a direct, wholly owned, consolidated subsidiary of the Company entered into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sz w:val="20"/>
        </w:rPr>
        <w:t xml:space="preserve"> </w:t>
      </w:r>
      <w:r>
        <w:rPr>
          <w:rFonts w:ascii="Times New Roman;serif" w:hAnsi="Times New Roman;serif"/>
          <w:b w:val="false"/>
          <w:sz w:val="16"/>
        </w:rPr>
        <w:t>million as of May 10, 2022, with an uncommitted accordion feature that allows the Company to borrow up to an additional $125.0</w:t>
      </w:r>
      <w:r>
        <w:rPr>
          <w:rFonts w:ascii="Times New Roman" w:hAnsi="Times New Roman"/>
          <w:sz w:val="20"/>
        </w:rPr>
        <w:t xml:space="preserve"> </w:t>
      </w:r>
      <w:r>
        <w:rPr>
          <w:rFonts w:ascii="Times New Roman;serif" w:hAnsi="Times New Roman;serif"/>
          <w:b w:val="false"/>
          <w:sz w:val="16"/>
        </w:rPr>
        <w:t>million. The KeyBank Credit Facility</w:t>
      </w:r>
      <w:r>
        <w:rPr>
          <w:rFonts w:ascii="Times New Roman" w:hAnsi="Times New Roman"/>
          <w:sz w:val="20"/>
        </w:rPr>
        <w:t xml:space="preserve"> </w:t>
      </w:r>
      <w:r>
        <w:rPr>
          <w:rFonts w:ascii="Times New Roman;serif" w:hAnsi="Times New Roman;serif"/>
          <w:b w:val="false"/>
          <w:sz w:val="16"/>
        </w:rPr>
        <w:t xml:space="preserve">matures on May 10, 2027, unless there is an earlier termination or event of default. The period during which the Lenders may make loans to CBL under the KeyBank Credit Facility commenced on October 30, 2020 and will continue through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May 10, 2025, unless there is an earlier termination or event of default.</w:t>
      </w:r>
      <w:r>
        <w:rPr>
          <w:rFonts w:ascii="Times New Roman" w:hAnsi="Times New Roman"/>
          <w:sz w:val="20"/>
        </w:rPr>
        <w:t xml:space="preserve"> </w:t>
      </w:r>
      <w:r>
        <w:rPr>
          <w:rFonts w:ascii="Times New Roman;serif" w:hAnsi="Times New Roman;serif"/>
          <w:b w:val="false"/>
          <w:sz w:val="16"/>
        </w:rPr>
        <w:t>Borrowings under the KeyBank Credit Facility bear interest at 1M Term SOFR plus 2.90% during the 3-year</w:t>
      </w:r>
      <w:r>
        <w:rPr>
          <w:rFonts w:ascii="Times New Roman" w:hAnsi="Times New Roman"/>
          <w:sz w:val="20"/>
        </w:rPr>
        <w:t xml:space="preserve"> </w:t>
      </w:r>
      <w:r>
        <w:rPr>
          <w:rFonts w:ascii="Times New Roman;serif" w:hAnsi="Times New Roman;serif"/>
          <w:b w:val="false"/>
          <w:sz w:val="16"/>
        </w:rPr>
        <w:t>revolving period and 3.25% thereafter, with a 0.40% 1M Term SOFR floor. CBL</w:t>
      </w:r>
      <w:r>
        <w:rPr>
          <w:rFonts w:ascii="Times New Roman;serif" w:hAnsi="Times New Roman;serif"/>
          <w:sz w:val="16"/>
        </w:rPr>
        <w:t xml:space="preserve"> </w:t>
      </w:r>
      <w:r>
        <w:rPr>
          <w:rFonts w:ascii="Times New Roman;serif" w:hAnsi="Times New Roman;serif"/>
          <w:b w:val="false"/>
          <w:sz w:val="16"/>
        </w:rPr>
        <w:t>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sz w:val="20"/>
        </w:rPr>
        <w:t xml:space="preserve"> </w:t>
      </w:r>
      <w:r>
        <w:rPr>
          <w:rFonts w:ascii="Times New Roman;serif" w:hAnsi="Times New Roman;serif"/>
          <w:b w:val="false"/>
          <w:sz w:val="16"/>
        </w:rPr>
        <w:t>As of June 30, 2023 and December 31, 2022, there were draws of $56.4</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$55.9</w:t>
      </w:r>
      <w:r>
        <w:rPr>
          <w:rFonts w:ascii="Times New Roman" w:hAnsi="Times New Roman"/>
          <w:sz w:val="20"/>
        </w:rPr>
        <w:t xml:space="preserve"> </w:t>
      </w:r>
      <w:r>
        <w:rPr>
          <w:rFonts w:ascii="Times New Roman;serif" w:hAnsi="Times New Roman;serif"/>
          <w:b w:val="false"/>
          <w:sz w:val="16"/>
        </w:rPr>
        <w:t>million,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2023 and December 31, 2022, assets pledged to secure the KeyBank Credit Facility had a fair value of $120.5</w:t>
      </w:r>
      <w:r>
        <w:rPr>
          <w:rFonts w:ascii="Times New Roman" w:hAnsi="Times New Roman"/>
          <w:sz w:val="20"/>
        </w:rPr>
        <w:t xml:space="preserve"> </w:t>
      </w:r>
      <w:r>
        <w:rPr>
          <w:rFonts w:ascii="Times New Roman;serif" w:hAnsi="Times New Roman;serif"/>
          <w:b w:val="false"/>
          <w:sz w:val="16"/>
        </w:rPr>
        <w:t>million and</w:t>
      </w:r>
      <w:r>
        <w:rPr>
          <w:rFonts w:ascii="Times New Roman" w:hAnsi="Times New Roman"/>
          <w:sz w:val="20"/>
        </w:rPr>
        <w:t xml:space="preserve"> </w:t>
      </w:r>
      <w:r>
        <w:rPr>
          <w:rFonts w:ascii="Times New Roman;serif" w:hAnsi="Times New Roman;serif"/>
          <w:b w:val="false"/>
          <w:sz w:val="16"/>
        </w:rPr>
        <w:t>$111.3</w:t>
      </w:r>
      <w:r>
        <w:rPr>
          <w:rFonts w:ascii="Times New Roman" w:hAnsi="Times New Roman"/>
          <w:sz w:val="20"/>
        </w:rPr>
        <w:t xml:space="preserve"> </w:t>
      </w:r>
      <w:r>
        <w:rPr>
          <w:rFonts w:ascii="Times New Roman;serif" w:hAnsi="Times New Roman;serif"/>
          <w:b w:val="false"/>
          <w:sz w:val="16"/>
        </w:rPr>
        <w:t>million, respectively.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unused commitment fees, average outstanding balance, and average stated interest rate on the KeyBank Credit Facility for the three and six months ended June 30, 2023 and 2022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1,158</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2,154</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Unused commitment fees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1,258</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2,357</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551</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57,633</w:t>
            </w:r>
          </w:p>
        </w:tc>
        <w:tc>
          <w:tcPr>
            <w:tcW w:w="3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55,438</w:t>
            </w:r>
          </w:p>
        </w:tc>
        <w:tc>
          <w:tcPr>
            <w:tcW w:w="323"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13,025</w:t>
            </w:r>
          </w:p>
        </w:tc>
        <w:tc>
          <w:tcPr>
            <w:tcW w:w="286"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0"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5" w:type="dxa"/>
            <w:tcBorders/>
            <w:vAlign w:val="center"/>
          </w:tcPr>
          <w:p>
            <w:pPr>
              <w:pStyle w:val="TableContents"/>
              <w:bidi w:val="0"/>
              <w:spacing w:before="0" w:after="0"/>
              <w:ind w:left="0" w:right="0" w:hanging="0"/>
              <w:jc w:val="right"/>
              <w:rPr/>
            </w:pPr>
            <w:r>
              <w:rPr/>
              <w:t> </w:t>
            </w:r>
          </w:p>
        </w:tc>
        <w:tc>
          <w:tcPr>
            <w:tcW w:w="262"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serif" w:hAnsi="Times New Roman;serif"/>
          <w:b w:val="false"/>
          <w:i/>
          <w:sz w:val="16"/>
        </w:rPr>
      </w:pPr>
      <w:r>
        <w:rPr>
          <w:rFonts w:ascii="Times New Roman;serif" w:hAnsi="Times New Roman;serif"/>
          <w:b w:val="false"/>
          <w:i/>
          <w:sz w:val="16"/>
        </w:rPr>
        <w:t>Financial Instruments Disclosed, But Not Carried, At Fair Value</w:t>
      </w:r>
    </w:p>
    <w:p>
      <w:pPr>
        <w:pStyle w:val="TextBody"/>
        <w:bidi w:val="0"/>
        <w:spacing w:before="120" w:after="120"/>
        <w:jc w:val="both"/>
        <w:rPr>
          <w:rFonts w:ascii="Times New Roman" w:hAnsi="Times New Roman"/>
          <w:sz w:val="20"/>
        </w:rPr>
      </w:pPr>
      <w:r>
        <w:rPr>
          <w:rFonts w:ascii="Times New Roman;serif" w:hAnsi="Times New Roman;serif"/>
          <w:b w:val="false"/>
          <w:sz w:val="16"/>
        </w:rPr>
        <w:t>The following table presents the outstanding principal and fair value of the Company’s financial liabilities disclosed, but not carried, at fair value as of June 30, 2023, and the level of each financial liability within the fair value hierarchy (dollars in thousands):</w:t>
      </w:r>
      <w:r>
        <w:rPr>
          <w:rFonts w:ascii="Times New Roman" w:hAnsi="Times New Roman"/>
          <w:sz w:val="20"/>
        </w:rPr>
        <w:t xml:space="preserve"> </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56,435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121,435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121,435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121,435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following table presents the outstanding principal and fair value of the Company’s financial liabilities disclosed, but not carried, at fair value as of December 31, 2022, and the level of each financial liability within the fair value hierarchy (dollars in thousands):</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estimated fair value of the 2026 Notes, the 2032 Convertible Notes and the KeyBank Credit Facility approximates the principal value.</w:t>
      </w:r>
    </w:p>
    <w:p>
      <w:pPr>
        <w:pStyle w:val="TextBody"/>
        <w:bidi w:val="0"/>
        <w:spacing w:before="120" w:after="120"/>
        <w:jc w:val="left"/>
        <w:rPr>
          <w:rFonts w:ascii="Times New Roman" w:hAnsi="Times New Roman"/>
          <w:sz w:val="20"/>
        </w:rPr>
      </w:pPr>
      <w:r>
        <w:rPr>
          <w:rFonts w:ascii="Times New Roman;serif" w:hAnsi="Times New Roman;serif"/>
          <w:b/>
          <w:sz w:val="16"/>
        </w:rPr>
        <w:t>Note 7. Directors’</w:t>
      </w:r>
      <w:r>
        <w:rPr>
          <w:rFonts w:ascii="Times New Roman" w:hAnsi="Times New Roman"/>
          <w:sz w:val="20"/>
        </w:rPr>
        <w:t xml:space="preserve"> </w:t>
      </w:r>
      <w:r>
        <w:rPr>
          <w:rFonts w:ascii="Times New Roman;serif" w:hAnsi="Times New Roman;serif"/>
          <w:b/>
          <w:sz w:val="16"/>
        </w:rPr>
        <w:t>Fees</w:t>
      </w:r>
    </w:p>
    <w:p>
      <w:pPr>
        <w:pStyle w:val="TextBody"/>
        <w:bidi w:val="0"/>
        <w:spacing w:before="120" w:after="0"/>
        <w:jc w:val="both"/>
        <w:rPr>
          <w:rFonts w:ascii="Times New Roman" w:hAnsi="Times New Roman"/>
          <w:sz w:val="20"/>
        </w:rPr>
      </w:pPr>
      <w:r>
        <w:rPr>
          <w:rFonts w:ascii="Times New Roman;serif" w:hAnsi="Times New Roman;serif"/>
          <w:b w:val="false"/>
          <w:sz w:val="16"/>
        </w:rPr>
        <w:t>Our Independent Directors receive an annual fee of $50,000. They also receive $5,000</w:t>
      </w:r>
      <w:r>
        <w:rPr>
          <w:rFonts w:ascii="Times New Roman" w:hAnsi="Times New Roman"/>
          <w:sz w:val="20"/>
        </w:rPr>
        <w:t xml:space="preserve"> </w:t>
      </w:r>
      <w:r>
        <w:rPr>
          <w:rFonts w:ascii="Times New Roman;serif" w:hAnsi="Times New Roman;serif"/>
          <w:b w:val="false"/>
          <w:sz w:val="16"/>
        </w:rPr>
        <w:t>plus reimbursement of reasonable out-of-pocket expenses incurred in connection with attending each Board meeting and $5,000</w:t>
      </w:r>
      <w:r>
        <w:rPr>
          <w:rFonts w:ascii="Times New Roman" w:hAnsi="Times New Roman"/>
          <w:sz w:val="20"/>
        </w:rPr>
        <w:t xml:space="preserve"> </w:t>
      </w:r>
      <w:r>
        <w:rPr>
          <w:rFonts w:ascii="Times New Roman;serif" w:hAnsi="Times New Roman;serif"/>
          <w:b w:val="false"/>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sz w:val="20"/>
        </w:rPr>
        <w:t xml:space="preserve"> </w:t>
      </w:r>
      <w:r>
        <w:rPr>
          <w:rFonts w:ascii="Times New Roman;serif" w:hAnsi="Times New Roman;serif"/>
          <w:b w:val="false"/>
          <w:sz w:val="16"/>
        </w:rPr>
        <w:t>and each chairman of any other committee receives an annual fee of $5,000</w:t>
      </w:r>
      <w:r>
        <w:rPr>
          <w:rFonts w:ascii="Times New Roman" w:hAnsi="Times New Roman"/>
          <w:sz w:val="20"/>
        </w:rPr>
        <w:t xml:space="preserve"> </w:t>
      </w:r>
      <w:r>
        <w:rPr>
          <w:rFonts w:ascii="Times New Roman;serif" w:hAnsi="Times New Roman;serif"/>
          <w:b w:val="false"/>
          <w:sz w:val="16"/>
        </w:rPr>
        <w:t>for their additional services, if any, in these capacities. For the three and six months ended June 30, 2023, the Company recognized directors’ expense of $0.1</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$0.3</w:t>
      </w:r>
      <w:r>
        <w:rPr>
          <w:rFonts w:ascii="Times New Roman" w:hAnsi="Times New Roman"/>
          <w:sz w:val="20"/>
        </w:rPr>
        <w:t xml:space="preserve"> </w:t>
      </w:r>
      <w:r>
        <w:rPr>
          <w:rFonts w:ascii="Times New Roman;serif" w:hAnsi="Times New Roman;serif"/>
          <w:b w:val="false"/>
          <w:sz w:val="16"/>
        </w:rPr>
        <w:t>million, respectively. For the three and six months ended June 30, 2022, the Company recognized directors’ expense of $0.1</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$0.2</w:t>
      </w:r>
      <w:r>
        <w:rPr>
          <w:rFonts w:ascii="Times New Roman" w:hAnsi="Times New Roman"/>
          <w:sz w:val="20"/>
        </w:rPr>
        <w:t xml:space="preserve"> </w:t>
      </w:r>
      <w:r>
        <w:rPr>
          <w:rFonts w:ascii="Times New Roman;serif" w:hAnsi="Times New Roman;serif"/>
          <w:b w:val="false"/>
          <w:sz w:val="16"/>
        </w:rPr>
        <w:t>million, respectively. No</w:t>
      </w:r>
      <w:r>
        <w:rPr>
          <w:rFonts w:ascii="Times New Roman" w:hAnsi="Times New Roman"/>
          <w:sz w:val="20"/>
        </w:rPr>
        <w:t xml:space="preserve"> </w:t>
      </w:r>
      <w:r>
        <w:rPr>
          <w:rFonts w:ascii="Times New Roman;serif" w:hAnsi="Times New Roman;serif"/>
          <w:b w:val="false"/>
          <w:sz w:val="16"/>
        </w:rPr>
        <w:t>compensation is expected to be paid to directors who are “interested persons” of the Company, as such term is defined in Section 2(a)(19) of the 1940 Act.</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8. Stockholders' Equity</w:t>
      </w:r>
    </w:p>
    <w:p>
      <w:pPr>
        <w:pStyle w:val="TextBody"/>
        <w:bidi w:val="0"/>
        <w:spacing w:before="120" w:after="120"/>
        <w:jc w:val="both"/>
        <w:rPr>
          <w:rFonts w:ascii="Times New Roman" w:hAnsi="Times New Roman"/>
          <w:sz w:val="20"/>
        </w:rPr>
      </w:pPr>
      <w:r>
        <w:rPr>
          <w:rFonts w:ascii="Times New Roman;serif" w:hAnsi="Times New Roman;serif"/>
          <w:b w:val="false"/>
          <w:sz w:val="16"/>
        </w:rPr>
        <w:t>On March 6, 2023, the Company's Board authorized a new share repurchase program, whereby the Company may repurchase up to an aggregate of $5.0</w:t>
      </w:r>
      <w:r>
        <w:rPr>
          <w:rFonts w:ascii="Times New Roman" w:hAnsi="Times New Roman"/>
          <w:sz w:val="20"/>
        </w:rPr>
        <w:t xml:space="preserve"> </w:t>
      </w:r>
      <w:r>
        <w:rPr>
          <w:rFonts w:ascii="Times New Roman;serif" w:hAnsi="Times New Roman;serif"/>
          <w:b w:val="false"/>
          <w:sz w:val="16"/>
        </w:rPr>
        <w:t>million of its outstanding common shares in the open market. Unless extended or discontinued by the Company's Board,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16"/>
        </w:rPr>
        <w:t>During the three and six months ended June 30, 2023, the Company repurchased 12,487</w:t>
      </w:r>
      <w:r>
        <w:rPr>
          <w:rFonts w:ascii="Times New Roman" w:hAnsi="Times New Roman"/>
          <w:sz w:val="20"/>
        </w:rPr>
        <w:t xml:space="preserve"> </w:t>
      </w:r>
      <w:r>
        <w:rPr>
          <w:rFonts w:ascii="Times New Roman;serif" w:hAnsi="Times New Roman;serif"/>
          <w:b w:val="false"/>
          <w:sz w:val="16"/>
        </w:rPr>
        <w:t>and 14,112</w:t>
      </w:r>
      <w:r>
        <w:rPr>
          <w:rFonts w:ascii="Times New Roman" w:hAnsi="Times New Roman"/>
          <w:sz w:val="20"/>
        </w:rPr>
        <w:t xml:space="preserve"> </w:t>
      </w:r>
      <w:r>
        <w:rPr>
          <w:rFonts w:ascii="Times New Roman;serif" w:hAnsi="Times New Roman;serif"/>
          <w:b w:val="false"/>
          <w:sz w:val="16"/>
        </w:rPr>
        <w:t>of its outstanding shares, respectively, under the share repurchase program at an aggregate cost of approximately $0.3</w:t>
      </w:r>
      <w:r>
        <w:rPr>
          <w:rFonts w:ascii="Times New Roman" w:hAnsi="Times New Roman"/>
          <w:sz w:val="20"/>
        </w:rPr>
        <w:t xml:space="preserve"> </w:t>
      </w:r>
      <w:r>
        <w:rPr>
          <w:rFonts w:ascii="Times New Roman;serif" w:hAnsi="Times New Roman;serif"/>
          <w:b w:val="false"/>
          <w:sz w:val="16"/>
        </w:rPr>
        <w:t>million and $0.3</w:t>
      </w:r>
      <w:r>
        <w:rPr>
          <w:rFonts w:ascii="Times New Roman" w:hAnsi="Times New Roman"/>
          <w:sz w:val="20"/>
        </w:rPr>
        <w:t xml:space="preserve"> </w:t>
      </w:r>
      <w:r>
        <w:rPr>
          <w:rFonts w:ascii="Times New Roman;serif" w:hAnsi="Times New Roman;serif"/>
          <w:b w:val="false"/>
          <w:sz w:val="16"/>
        </w:rPr>
        <w:t>million, respectively. There were</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r>
        <w:rPr>
          <w:rFonts w:ascii="Times New Roman;serif" w:hAnsi="Times New Roman;serif"/>
          <w:b w:val="false"/>
          <w:sz w:val="16"/>
        </w:rPr>
        <w:t>share repurchases during the three and six months ended June 30, 2022.</w:t>
      </w:r>
    </w:p>
    <w:p>
      <w:pPr>
        <w:pStyle w:val="TextBody"/>
        <w:bidi w:val="0"/>
        <w:spacing w:before="120" w:after="120"/>
        <w:jc w:val="both"/>
        <w:rPr>
          <w:rFonts w:ascii="Times New Roman" w:hAnsi="Times New Roman"/>
          <w:sz w:val="20"/>
        </w:rPr>
      </w:pPr>
      <w:r>
        <w:rPr>
          <w:rFonts w:ascii="Times New Roman;serif" w:hAnsi="Times New Roman;serif"/>
          <w:b w:val="false"/>
          <w:sz w:val="16"/>
        </w:rPr>
        <w:t>During the three and six months ended June 30, 2023, the Company issued 47</w:t>
      </w:r>
      <w:r>
        <w:rPr>
          <w:rFonts w:ascii="Times New Roman" w:hAnsi="Times New Roman"/>
          <w:sz w:val="20"/>
        </w:rPr>
        <w:t xml:space="preserve"> </w:t>
      </w:r>
      <w:r>
        <w:rPr>
          <w:rFonts w:ascii="Times New Roman;serif" w:hAnsi="Times New Roman;serif"/>
          <w:b w:val="false"/>
          <w:sz w:val="16"/>
        </w:rPr>
        <w:t>and 187</w:t>
      </w:r>
      <w:r>
        <w:rPr>
          <w:rFonts w:ascii="Times New Roman" w:hAnsi="Times New Roman"/>
          <w:sz w:val="20"/>
        </w:rPr>
        <w:t xml:space="preserve"> </w:t>
      </w:r>
      <w:r>
        <w:rPr>
          <w:rFonts w:ascii="Times New Roman;serif" w:hAnsi="Times New Roman;serif"/>
          <w:b w:val="false"/>
          <w:sz w:val="16"/>
        </w:rPr>
        <w:t>shares, respectively, of common stock under its DRIP. The Company did not pay a dividend during the three and six months ended June 30, 2022.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16"/>
        </w:rPr>
        <w:t>The total number of shares of the Company’s common stock outstanding as of June 30, 2023 and December 31, 2022 was 2,697,143</w:t>
      </w:r>
      <w:r>
        <w:rPr>
          <w:rFonts w:ascii="Times New Roman" w:hAnsi="Times New Roman"/>
          <w:sz w:val="20"/>
        </w:rPr>
        <w:t xml:space="preserve"> </w:t>
      </w:r>
      <w:r>
        <w:rPr>
          <w:rFonts w:ascii="Times New Roman;serif" w:hAnsi="Times New Roman;serif"/>
          <w:b w:val="false"/>
          <w:sz w:val="16"/>
        </w:rPr>
        <w:t>and 2,711,068,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sz w:val="16"/>
        </w:rPr>
        <w:t>Note 9. Earnings Per Share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 xml:space="preserve">In accordance with the provisions of ASC Topic 260 - </w:t>
      </w:r>
      <w:r>
        <w:rPr>
          <w:rFonts w:ascii="Times New Roman;serif" w:hAnsi="Times New Roman;serif"/>
          <w:b w:val="false"/>
          <w:i/>
          <w:sz w:val="16"/>
        </w:rPr>
        <w:t>Earnings per Share</w:t>
      </w:r>
      <w:r>
        <w:rPr>
          <w:rFonts w:ascii="Times New Roman" w:hAnsi="Times New Roman"/>
          <w:sz w:val="20"/>
        </w:rPr>
        <w:t xml:space="preserve"> </w:t>
      </w:r>
      <w:r>
        <w:rPr>
          <w:rFonts w:ascii="Times New Roman;serif" w:hAnsi="Times New Roman;serif"/>
          <w:b w:val="false"/>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six months ended June 30, 2022, 0.6</w:t>
      </w:r>
      <w:r>
        <w:rPr>
          <w:rFonts w:ascii="Times New Roman" w:hAnsi="Times New Roman"/>
          <w:sz w:val="20"/>
        </w:rPr>
        <w:t xml:space="preserve"> </w:t>
      </w:r>
      <w:r>
        <w:rPr>
          <w:rFonts w:ascii="Times New Roman;serif" w:hAnsi="Times New Roman;serif"/>
          <w:b w:val="false"/>
          <w:sz w:val="16"/>
        </w:rPr>
        <w:t>million in convertible shares related to the 2022 Convertible Notes, which matured in May 2022, were considered anti-dilutive. For the three and six months ended June 30, 2023 and 2022, zero</w:t>
      </w:r>
      <w:r>
        <w:rPr>
          <w:rFonts w:ascii="Times New Roman" w:hAnsi="Times New Roman"/>
          <w:sz w:val="20"/>
        </w:rPr>
        <w:t xml:space="preserve"> </w:t>
      </w:r>
      <w:r>
        <w:rPr>
          <w:rFonts w:ascii="Times New Roman;serif" w:hAnsi="Times New Roman;serif"/>
          <w:b w:val="false"/>
          <w:sz w:val="16"/>
        </w:rPr>
        <w:t>and 0.5</w:t>
      </w:r>
      <w:r>
        <w:rPr>
          <w:rFonts w:ascii="Times New Roman" w:hAnsi="Times New Roman"/>
          <w:sz w:val="20"/>
        </w:rPr>
        <w:t xml:space="preserve"> </w:t>
      </w:r>
      <w:r>
        <w:rPr>
          <w:rFonts w:ascii="Times New Roman;serif" w:hAnsi="Times New Roman;serif"/>
          <w:b w:val="false"/>
          <w:sz w:val="16"/>
        </w:rPr>
        <w:t>million, respectively, in convertible shares related to the 2032 Convertible Notes were considered anti-dilutive.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information sets forth the computation of the weighted average basic and diluted net increase (decrease) in net assets per share resulting from operations for the three and six months ended June 30, 2023 and 2022 (dollars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4276"/>
        <w:gridCol w:w="146"/>
        <w:gridCol w:w="226"/>
        <w:gridCol w:w="954"/>
        <w:gridCol w:w="168"/>
        <w:gridCol w:w="168"/>
        <w:gridCol w:w="226"/>
        <w:gridCol w:w="954"/>
        <w:gridCol w:w="166"/>
        <w:gridCol w:w="146"/>
        <w:gridCol w:w="214"/>
        <w:gridCol w:w="905"/>
        <w:gridCol w:w="160"/>
        <w:gridCol w:w="160"/>
        <w:gridCol w:w="214"/>
        <w:gridCol w:w="905"/>
        <w:gridCol w:w="217"/>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2023</w:t>
            </w:r>
            <w:r>
              <w:rPr>
                <w:rFonts w:ascii="Times New Roman;serif" w:hAnsi="Times New Roman;serif"/>
                <w:b/>
                <w:sz w:val="11"/>
              </w:rPr>
              <w:t>(1)</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2022</w:t>
            </w:r>
            <w:r>
              <w:rPr>
                <w:rFonts w:ascii="Times New Roman;serif" w:hAnsi="Times New Roman;serif"/>
                <w:b/>
                <w:sz w:val="11"/>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2023</w:t>
            </w:r>
            <w:r>
              <w:rPr>
                <w:rFonts w:ascii="Times New Roman;serif" w:hAnsi="Times New Roman;serif"/>
                <w:b/>
                <w:sz w:val="11"/>
              </w:rPr>
              <w:t>(1)</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2022</w:t>
            </w:r>
            <w:r>
              <w:rPr>
                <w:rFonts w:ascii="Times New Roman;serif" w:hAnsi="Times New Roman;serif"/>
                <w:b/>
                <w:sz w:val="11"/>
              </w:rPr>
              <w:t>(2)</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 - basic</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3,240</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common stock outstanding – basic</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2,703,871</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2,707,399</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net assets per share from operations - basic</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0.96</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 - basic</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3,240</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 for interest on the 2032 Convertible Notes and incentive fees, net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Adjusted net increase (decrease) in net assets resulting from operations - diluted</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3,466</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common stock outstanding – basic</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2,703,871</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2,707,399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217"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 for dilutive effect of the 2032 Convertible Notes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539,503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539,503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Adjusted weighted average common stock outstanding - diluted</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3,243,374</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3,246,902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net assets per share resulting from operations - diluted</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0.94</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pBdr>
          <w:top w:val="single" w:sz="6" w:space="1" w:color="000000"/>
        </w:pBdr>
        <w:bidi w:val="0"/>
        <w:spacing w:before="12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sz w:val="16"/>
        </w:rPr>
      </w:pPr>
      <w:r>
        <w:rPr>
          <w:rFonts w:ascii="Times New Roman;serif" w:hAnsi="Times New Roman;serif"/>
          <w:b w:val="false"/>
          <w:sz w:val="16"/>
        </w:rPr>
        <w:t>In applying the if-converted method, conversion is not assumed for purposes of computing diluted earnings per share if the effect would be anti-dilutive. For the three and six months ended June 30, 2023, conversion of the 2032 Convertible Notes into 0.5</w:t>
      </w:r>
      <w:r>
        <w:rPr>
          <w:rFonts w:ascii="Times New Roman;serif" w:hAnsi="Times New Roman;serif"/>
          <w:sz w:val="16"/>
        </w:rPr>
        <w:t xml:space="preserve"> </w:t>
      </w:r>
      <w:r>
        <w:rPr>
          <w:rFonts w:ascii="Times New Roman;serif" w:hAnsi="Times New Roman;serif"/>
          <w:b w:val="false"/>
          <w:sz w:val="16"/>
        </w:rPr>
        <w:t>million shares was assumed as the effect on diluted earnings per share would be dilutive.</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sz w:val="16"/>
        </w:rPr>
      </w:pPr>
      <w:r>
        <w:rPr>
          <w:rFonts w:ascii="Times New Roman;serif" w:hAnsi="Times New Roman;serif"/>
          <w:b w:val="false"/>
          <w:sz w:val="16"/>
        </w:rPr>
        <w:t>In applying the if-converted method, conversion is not assumed for purposes of computing diluted earnings per share if the effect would be anti-dilutive. For the three and six months ended June 30, 2022, conversion of the 0.6</w:t>
      </w:r>
      <w:r>
        <w:rPr>
          <w:rFonts w:ascii="Times New Roman;serif" w:hAnsi="Times New Roman;serif"/>
          <w:sz w:val="16"/>
        </w:rPr>
        <w:t xml:space="preserve"> </w:t>
      </w:r>
      <w:r>
        <w:rPr>
          <w:rFonts w:ascii="Times New Roman;serif" w:hAnsi="Times New Roman;serif"/>
          <w:b w:val="false"/>
          <w:sz w:val="16"/>
        </w:rPr>
        <w:t>million shares related to the 2022 Convertible Notes was not assumed as the effect on diluted earnings per share would be anti-dilutive. For the three and six months ended June 30, 2022, conversion of the 2032 Convertible Notes into 0.5</w:t>
      </w:r>
      <w:r>
        <w:rPr>
          <w:rFonts w:ascii="Times New Roman;serif" w:hAnsi="Times New Roman;serif"/>
          <w:sz w:val="16"/>
        </w:rPr>
        <w:t xml:space="preserve"> </w:t>
      </w:r>
      <w:r>
        <w:rPr>
          <w:rFonts w:ascii="Times New Roman;serif" w:hAnsi="Times New Roman;serif"/>
          <w:b w:val="false"/>
          <w:sz w:val="16"/>
        </w:rPr>
        <w:t>million shares was not assumed as the effect on diluted earnings per share would be anti-dilutive.</w:t>
      </w:r>
    </w:p>
    <w:p>
      <w:pPr>
        <w:pStyle w:val="TextBody"/>
        <w:bidi w:val="0"/>
        <w:spacing w:before="120" w:after="120"/>
        <w:jc w:val="left"/>
        <w:rPr>
          <w:rFonts w:ascii="Times New Roman;serif" w:hAnsi="Times New Roman;serif"/>
          <w:b/>
          <w:sz w:val="16"/>
        </w:rPr>
      </w:pPr>
      <w:r>
        <w:rPr>
          <w:rFonts w:ascii="Times New Roman;serif" w:hAnsi="Times New Roman;serif"/>
          <w:b/>
          <w:sz w:val="16"/>
        </w:rPr>
        <w:t>Note 10. Distributions</w:t>
      </w:r>
    </w:p>
    <w:p>
      <w:pPr>
        <w:pStyle w:val="TextBody"/>
        <w:bidi w:val="0"/>
        <w:spacing w:before="0" w:after="120"/>
        <w:jc w:val="both"/>
        <w:rPr>
          <w:rFonts w:ascii="Times New Roman" w:hAnsi="Times New Roman"/>
          <w:sz w:val="20"/>
        </w:rPr>
      </w:pPr>
      <w:r>
        <w:rPr>
          <w:rFonts w:ascii="Times New Roman;serif" w:hAnsi="Times New Roman;serif"/>
          <w:b w:val="false"/>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w:t>
      </w:r>
      <w:r>
        <w:rPr>
          <w:rFonts w:ascii="Times New Roman" w:hAnsi="Times New Roman"/>
          <w:sz w:val="20"/>
        </w:rPr>
        <w:t xml:space="preserve"> </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The following table summarizes the Company's distribution declarations for the six months ended June 30, 2023 (dollars in thousands, except share and per share data):</w:t>
      </w:r>
    </w:p>
    <w:tbl>
      <w:tblPr>
        <w:tblW w:w="8528" w:type="dxa"/>
        <w:jc w:val="left"/>
        <w:tblInd w:w="0" w:type="dxa"/>
        <w:tblLayout w:type="fixed"/>
        <w:tblCellMar>
          <w:top w:w="28" w:type="dxa"/>
          <w:left w:w="28" w:type="dxa"/>
          <w:bottom w:w="28" w:type="dxa"/>
          <w:right w:w="28" w:type="dxa"/>
        </w:tblCellMar>
      </w:tblPr>
      <w:tblGrid>
        <w:gridCol w:w="1156"/>
        <w:gridCol w:w="146"/>
        <w:gridCol w:w="1231"/>
        <w:gridCol w:w="146"/>
        <w:gridCol w:w="1231"/>
        <w:gridCol w:w="146"/>
        <w:gridCol w:w="261"/>
        <w:gridCol w:w="564"/>
        <w:gridCol w:w="146"/>
        <w:gridCol w:w="146"/>
        <w:gridCol w:w="382"/>
        <w:gridCol w:w="998"/>
        <w:gridCol w:w="146"/>
        <w:gridCol w:w="146"/>
        <w:gridCol w:w="215"/>
        <w:gridCol w:w="415"/>
        <w:gridCol w:w="146"/>
        <w:gridCol w:w="146"/>
        <w:gridCol w:w="285"/>
        <w:gridCol w:w="285"/>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Amount </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Distribution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DRIP </w:t>
              <w:br/>
              <w:t xml:space="preserve">Shares </w:t>
              <w:br/>
              <w:t>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DRIP </w:t>
              <w:br/>
              <w:t xml:space="preserve">Share </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March 6, 2023</w:t>
            </w:r>
          </w:p>
        </w:tc>
        <w:tc>
          <w:tcPr>
            <w:tcW w:w="1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March 20, 2023</w:t>
            </w:r>
          </w:p>
        </w:tc>
        <w:tc>
          <w:tcPr>
            <w:tcW w:w="1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March 31, 2023</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91" w:type="dxa"/>
            <w:tcBorders/>
            <w:vAlign w:val="center"/>
          </w:tcPr>
          <w:p>
            <w:pPr>
              <w:pStyle w:val="TableContents"/>
              <w:bidi w:val="0"/>
              <w:spacing w:before="0" w:after="0"/>
              <w:ind w:left="0" w:right="0" w:hanging="0"/>
              <w:jc w:val="left"/>
              <w:rPr/>
            </w:pPr>
            <w:r>
              <w:rPr/>
              <w:t> </w:t>
            </w:r>
          </w:p>
        </w:tc>
      </w:tr>
      <w:tr>
        <w:trPr/>
        <w:tc>
          <w:tcPr>
            <w:tcW w:w="11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May 9, 2023</w:t>
            </w:r>
          </w:p>
        </w:tc>
        <w:tc>
          <w:tcPr>
            <w:tcW w:w="1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May 22, 2023</w:t>
            </w:r>
          </w:p>
        </w:tc>
        <w:tc>
          <w:tcPr>
            <w:tcW w:w="1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May 31, 2023</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10" w:type="dxa"/>
            <w:gridSpan w:val="5"/>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Distributions Declared and Distributed for 2023</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16"/>
        </w:rPr>
        <w:t>The Company's Board determined not to declare distributions for the six months ended June 30,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p>
      <w:pPr>
        <w:pStyle w:val="TextBody"/>
        <w:bidi w:val="0"/>
        <w:spacing w:before="240" w:after="120"/>
        <w:jc w:val="left"/>
        <w:rPr>
          <w:rFonts w:ascii="Times New Roman" w:hAnsi="Times New Roman"/>
          <w:sz w:val="20"/>
        </w:rPr>
      </w:pPr>
      <w:r>
        <w:rPr>
          <w:rFonts w:ascii="Times New Roman;serif" w:hAnsi="Times New Roman;serif"/>
          <w:b/>
          <w:sz w:val="16"/>
        </w:rPr>
        <w:t>Note 11. Financial Highlights</w:t>
      </w:r>
      <w:r>
        <w:rPr>
          <w:rFonts w:ascii="Times New Roman" w:hAnsi="Times New Roman"/>
          <w:sz w:val="20"/>
        </w:rPr>
        <w:t xml:space="preserve"> </w:t>
      </w:r>
    </w:p>
    <w:p>
      <w:pPr>
        <w:pStyle w:val="TextBody"/>
        <w:bidi w:val="0"/>
        <w:spacing w:before="0" w:after="120"/>
        <w:jc w:val="both"/>
        <w:rPr>
          <w:rFonts w:ascii="Times New Roman" w:hAnsi="Times New Roman"/>
          <w:sz w:val="20"/>
        </w:rPr>
      </w:pPr>
      <w:r>
        <w:rPr>
          <w:rFonts w:ascii="Times New Roman;serif" w:hAnsi="Times New Roman;serif"/>
          <w:b w:val="false"/>
          <w:sz w:val="16"/>
        </w:rPr>
        <w:t>The following is a schedule of financial highlights for the six months ended June 30, 2023 and 2022 (dollars in thousands, except share and per share data):</w:t>
      </w:r>
      <w:r>
        <w:rPr>
          <w:rFonts w:ascii="Times New Roman" w:hAnsi="Times New Roman"/>
          <w:sz w:val="20"/>
        </w:rPr>
        <w:t xml:space="preserve"> </w:t>
      </w:r>
    </w:p>
    <w:tbl>
      <w:tblPr>
        <w:tblW w:w="8109" w:type="dxa"/>
        <w:jc w:val="left"/>
        <w:tblInd w:w="0" w:type="dxa"/>
        <w:tblLayout w:type="fixed"/>
        <w:tblCellMar>
          <w:top w:w="28" w:type="dxa"/>
          <w:left w:w="28" w:type="dxa"/>
          <w:bottom w:w="28" w:type="dxa"/>
          <w:right w:w="28" w:type="dxa"/>
        </w:tblCellMar>
      </w:tblPr>
      <w:tblGrid>
        <w:gridCol w:w="4966"/>
        <w:gridCol w:w="146"/>
        <w:gridCol w:w="208"/>
        <w:gridCol w:w="880"/>
        <w:gridCol w:w="320"/>
        <w:gridCol w:w="155"/>
        <w:gridCol w:w="208"/>
        <w:gridCol w:w="880"/>
        <w:gridCol w:w="346"/>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346" w:type="dxa"/>
            <w:tcBorders/>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5" w:type="dxa"/>
            <w:tcBorders/>
            <w:vAlign w:val="center"/>
          </w:tcPr>
          <w:p>
            <w:pPr>
              <w:pStyle w:val="TableContents"/>
              <w:bidi w:val="0"/>
              <w:spacing w:before="0" w:after="0"/>
              <w:ind w:left="0" w:right="0" w:hanging="0"/>
              <w:jc w:val="center"/>
              <w:rPr/>
            </w:pPr>
            <w:r>
              <w:rPr/>
              <w:t> </w:t>
            </w:r>
          </w:p>
        </w:tc>
        <w:tc>
          <w:tcPr>
            <w:tcW w:w="10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 share data:</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at beginning of period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35.04</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39.48</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Net investment income (loss)</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0.78</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(0.73</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Net realized (loss) gain on investments</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Net change in unrealized appreciation (depreciation) on investments</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Net increase (decrease) in net assets resulting from operations</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0.96</w:t>
            </w:r>
          </w:p>
        </w:tc>
        <w:tc>
          <w:tcPr>
            <w:tcW w:w="32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3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Accretive effect of common stock repurchases</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at end of year</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35.68</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 at end of period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96,226</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101,137</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outstanding at end of period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2,697,143</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 share market value at end of period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20.71</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15.78</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Total return based on market value</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(31.36</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Ratio/Supplemental data:</w:t>
            </w:r>
          </w:p>
        </w:tc>
        <w:tc>
          <w:tcPr>
            <w:tcW w:w="146"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88"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Ratio of net investment income (loss) to average net assets</w:t>
            </w:r>
            <w:r>
              <w:rPr>
                <w:rFonts w:ascii="Times New Roman;serif" w:hAnsi="Times New Roman;serif"/>
                <w:b w:val="false"/>
                <w:sz w:val="11"/>
              </w:rPr>
              <w:t>(3)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Ratio of interest and financing expenses to average net assets</w:t>
            </w:r>
            <w:r>
              <w:rPr>
                <w:rFonts w:ascii="Times New Roman;serif" w:hAnsi="Times New Roman;serif"/>
                <w:b w:val="false"/>
                <w:sz w:val="11"/>
              </w:rPr>
              <w:t>(3)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9.14</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Ratio of other operating expenses to average net assets</w:t>
            </w:r>
            <w:r>
              <w:rPr>
                <w:rFonts w:ascii="Times New Roman;serif" w:hAnsi="Times New Roman;serif"/>
                <w:b w:val="false"/>
                <w:sz w:val="11"/>
              </w:rPr>
              <w:t>(3)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8.88</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Ratio of total expenses to average net assets</w:t>
            </w:r>
            <w:r>
              <w:rPr>
                <w:rFonts w:ascii="Times New Roman;serif" w:hAnsi="Times New Roman;serif"/>
                <w:b w:val="false"/>
                <w:sz w:val="11"/>
              </w:rPr>
              <w:t>(3)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18.02</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Portfolio turnover rate</w:t>
            </w:r>
            <w:r>
              <w:rPr>
                <w:rFonts w:ascii="Times New Roman;serif" w:hAnsi="Times New Roman;serif"/>
                <w:b w:val="false"/>
                <w:sz w:val="11"/>
              </w:rPr>
              <w:t>(4)</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Average debt outstanding</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120,438</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132,655</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Average debt outstanding per common share</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44.48</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48.93</w:t>
            </w:r>
          </w:p>
        </w:tc>
        <w:tc>
          <w:tcPr>
            <w:tcW w:w="346"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Asset coverage ratio per unit</w:t>
            </w:r>
            <w:r>
              <w:rPr>
                <w:rFonts w:ascii="Times New Roman;serif" w:hAnsi="Times New Roman;serif"/>
                <w:b w:val="false"/>
                <w:sz w:val="11"/>
              </w:rPr>
              <w:t>(6)</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1,779</w:t>
            </w:r>
          </w:p>
        </w:tc>
        <w:tc>
          <w:tcPr>
            <w:tcW w:w="32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1,940</w:t>
            </w:r>
          </w:p>
        </w:tc>
        <w:tc>
          <w:tcPr>
            <w:tcW w:w="346"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120"/>
        <w:jc w:val="both"/>
        <w:rPr/>
      </w:pPr>
      <w:r>
        <w:rPr/>
        <w:t> </w:t>
      </w:r>
    </w:p>
    <w:p>
      <w:pPr>
        <w:pStyle w:val="TextBody"/>
        <w:bidi w:val="0"/>
        <w:spacing w:before="0" w:after="0"/>
        <w:jc w:val="both"/>
        <w:rPr>
          <w:rFonts w:ascii="Times New Roman" w:hAnsi="Times New Roman"/>
          <w:b w:val="false"/>
          <w:sz w:val="14"/>
        </w:rPr>
      </w:pPr>
      <w:r>
        <w:rPr>
          <w:rFonts w:ascii="Times New Roman" w:hAnsi="Times New Roman"/>
          <w:b w:val="false"/>
          <w:sz w:val="14"/>
        </w:rPr>
        <w:t>(1)</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Based on daily weighted average balance of shares of the Company’s common stock outstanding during the period.</w:t>
      </w:r>
    </w:p>
    <w:p>
      <w:pPr>
        <w:pStyle w:val="TextBody"/>
        <w:bidi w:val="0"/>
        <w:spacing w:before="0" w:after="0"/>
        <w:jc w:val="both"/>
        <w:rPr>
          <w:rFonts w:ascii="Times New Roman" w:hAnsi="Times New Roman"/>
          <w:b w:val="false"/>
          <w:sz w:val="14"/>
        </w:rPr>
      </w:pPr>
      <w:r>
        <w:rPr>
          <w:rFonts w:ascii="Times New Roman" w:hAnsi="Times New Roman"/>
          <w:b w:val="false"/>
          <w:sz w:val="14"/>
        </w:rPr>
        <w:t>(2)</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pStyle w:val="TextBody"/>
        <w:bidi w:val="0"/>
        <w:spacing w:before="0" w:after="0"/>
        <w:jc w:val="both"/>
        <w:rPr>
          <w:rFonts w:ascii="Times New Roman" w:hAnsi="Times New Roman"/>
          <w:b w:val="false"/>
          <w:sz w:val="14"/>
        </w:rPr>
      </w:pPr>
      <w:r>
        <w:rPr>
          <w:rFonts w:ascii="Times New Roman" w:hAnsi="Times New Roman"/>
          <w:b w:val="false"/>
          <w:sz w:val="14"/>
        </w:rPr>
        <w:t>(3)</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Ratio is annualized.</w:t>
      </w:r>
    </w:p>
    <w:p>
      <w:pPr>
        <w:pStyle w:val="TextBody"/>
        <w:bidi w:val="0"/>
        <w:spacing w:before="0" w:after="0"/>
        <w:jc w:val="both"/>
        <w:rPr>
          <w:rFonts w:ascii="Times New Roman" w:hAnsi="Times New Roman"/>
          <w:b w:val="false"/>
          <w:sz w:val="14"/>
        </w:rPr>
      </w:pPr>
      <w:r>
        <w:rPr>
          <w:rFonts w:ascii="Times New Roman" w:hAnsi="Times New Roman"/>
          <w:b w:val="false"/>
          <w:sz w:val="14"/>
        </w:rPr>
        <w:t>(4)</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Portfolio turnover rate is calculated using the lesser of year-to-date sales or year-to-date purchases over the average of the invested assets at fair value. Portfolio turnover rates that cover less than a full period are not annualized.</w:t>
      </w:r>
    </w:p>
    <w:p>
      <w:pPr>
        <w:pStyle w:val="TextBody"/>
        <w:bidi w:val="0"/>
        <w:spacing w:before="0" w:after="0"/>
        <w:jc w:val="both"/>
        <w:rPr>
          <w:rFonts w:ascii="Times New Roman" w:hAnsi="Times New Roman"/>
          <w:b w:val="false"/>
          <w:sz w:val="14"/>
        </w:rPr>
      </w:pPr>
      <w:r>
        <w:rPr>
          <w:rFonts w:ascii="Times New Roman" w:hAnsi="Times New Roman"/>
          <w:b w:val="false"/>
          <w:sz w:val="14"/>
        </w:rPr>
        <w:t>(5)</w:t>
      </w:r>
    </w:p>
    <w:p>
      <w:pPr>
        <w:pStyle w:val="TextBody"/>
        <w:bidi w:val="0"/>
        <w:spacing w:before="0" w:after="0"/>
        <w:jc w:val="both"/>
        <w:rPr>
          <w:rFonts w:ascii="Times New Roman;serif" w:hAnsi="Times New Roman;serif"/>
          <w:b w:val="false"/>
          <w:sz w:val="14"/>
        </w:rPr>
      </w:pPr>
      <w:r>
        <w:rPr>
          <w:rFonts w:ascii="Times New Roman;serif" w:hAnsi="Times New Roman;serif"/>
          <w:b w:val="false"/>
          <w:sz w:val="14"/>
        </w:rPr>
        <w:t>Based on the daily weighted average balance of debt outstanding during the period.</w:t>
      </w:r>
    </w:p>
    <w:p>
      <w:pPr>
        <w:pStyle w:val="TextBody"/>
        <w:bidi w:val="0"/>
        <w:spacing w:before="0" w:after="0"/>
        <w:jc w:val="both"/>
        <w:rPr>
          <w:rFonts w:ascii="Times New Roman" w:hAnsi="Times New Roman"/>
          <w:b w:val="false"/>
          <w:sz w:val="14"/>
        </w:rPr>
      </w:pPr>
      <w:r>
        <w:rPr>
          <w:rFonts w:ascii="Times New Roman" w:hAnsi="Times New Roman"/>
          <w:b w:val="false"/>
          <w:sz w:val="14"/>
        </w:rPr>
        <w:t>(6)</w:t>
      </w:r>
    </w:p>
    <w:p>
      <w:pPr>
        <w:pStyle w:val="TextBody"/>
        <w:bidi w:val="0"/>
        <w:jc w:val="both"/>
        <w:rPr>
          <w:rFonts w:ascii="Times New Roman;serif" w:hAnsi="Times New Roman;serif"/>
          <w:sz w:val="16"/>
        </w:rPr>
      </w:pPr>
      <w:r>
        <w:rPr>
          <w:rFonts w:ascii="Times New Roman;serif" w:hAnsi="Times New Roman;serif"/>
          <w:b w:val="false"/>
          <w:sz w:val="14"/>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serif" w:hAnsi="Times New Roman;serif"/>
          <w:sz w:val="16"/>
        </w:rPr>
        <w:t xml:space="preserve"> </w:t>
      </w:r>
      <w:r>
        <w:rPr>
          <w:rFonts w:ascii="Times New Roman;serif" w:hAnsi="Times New Roman;serif"/>
          <w:b w:val="false"/>
          <w:sz w:val="14"/>
        </w:rPr>
        <w:t>of indebtedness.</w:t>
      </w:r>
    </w:p>
    <w:p>
      <w:pPr>
        <w:pStyle w:val="TextBody"/>
        <w:bidi w:val="0"/>
        <w:spacing w:before="0" w:after="0"/>
        <w:jc w:val="both"/>
        <w:rPr/>
      </w:pPr>
      <w:r>
        <w:rPr/>
        <w:t> </w:t>
      </w:r>
    </w:p>
    <w:p>
      <w:pPr>
        <w:pStyle w:val="TextBody"/>
        <w:bidi w:val="0"/>
        <w:spacing w:before="80" w:after="120"/>
        <w:jc w:val="both"/>
        <w:rPr>
          <w:rFonts w:ascii="Times New Roman;serif" w:hAnsi="Times New Roman;serif"/>
          <w:b/>
          <w:sz w:val="16"/>
        </w:rPr>
      </w:pPr>
      <w:r>
        <w:rPr>
          <w:rFonts w:ascii="Times New Roman;serif" w:hAnsi="Times New Roman;serif"/>
          <w:b/>
          <w:sz w:val="16"/>
        </w:rPr>
        <w:t>Note 12. Subsequent Events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2023, other than as set forth below.</w:t>
      </w:r>
    </w:p>
    <w:p>
      <w:pPr>
        <w:pStyle w:val="TextBody"/>
        <w:bidi w:val="0"/>
        <w:spacing w:before="120" w:after="120"/>
        <w:jc w:val="both"/>
        <w:rPr>
          <w:rFonts w:ascii="Times New Roman" w:hAnsi="Times New Roman"/>
          <w:sz w:val="20"/>
        </w:rPr>
      </w:pPr>
      <w:r>
        <w:rPr>
          <w:rFonts w:ascii="Times New Roman;serif" w:hAnsi="Times New Roman;serif"/>
          <w:b w:val="false"/>
          <w:sz w:val="16"/>
        </w:rPr>
        <w:t>On August 8, 2023, the Company’s Board of Directors approved a distribution of $0.26</w:t>
      </w:r>
      <w:r>
        <w:rPr>
          <w:rFonts w:ascii="Times New Roman" w:hAnsi="Times New Roman"/>
          <w:sz w:val="20"/>
        </w:rPr>
        <w:t xml:space="preserve"> </w:t>
      </w:r>
      <w:r>
        <w:rPr>
          <w:rFonts w:ascii="Times New Roman;serif" w:hAnsi="Times New Roman;serif"/>
          <w:b w:val="false"/>
          <w:sz w:val="16"/>
        </w:rPr>
        <w:t>per share payable on August 31, 2023</w:t>
      </w:r>
      <w:r>
        <w:rPr>
          <w:rFonts w:ascii="Times New Roman" w:hAnsi="Times New Roman"/>
          <w:sz w:val="20"/>
        </w:rPr>
        <w:t xml:space="preserve"> </w:t>
      </w:r>
      <w:r>
        <w:rPr>
          <w:rFonts w:ascii="Times New Roman;serif" w:hAnsi="Times New Roman;serif"/>
          <w:b w:val="false"/>
          <w:sz w:val="16"/>
        </w:rPr>
        <w:t>to stockholders of record as of August 22, 2023.</w:t>
      </w:r>
    </w:p>
    <w:p>
      <w:pPr>
        <w:pStyle w:val="TextBody"/>
        <w:bidi w:val="0"/>
        <w:spacing w:before="120" w:after="12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bookmarkStart w:id="10" w:name="item_2_management_discussion"/>
      <w:bookmarkEnd w:id="10"/>
      <w:r>
        <w:rPr>
          <w:rFonts w:ascii="Times New Roman;serif" w:hAnsi="Times New Roman;serif"/>
          <w:b/>
          <w:sz w:val="16"/>
        </w:rPr>
        <w:t>Item 2. Management’s Discussion and Analysis</w:t>
      </w:r>
      <w:r>
        <w:rPr>
          <w:rFonts w:ascii="Times New Roman" w:hAnsi="Times New Roman"/>
          <w:sz w:val="20"/>
        </w:rPr>
        <w:t xml:space="preserve"> </w:t>
      </w:r>
      <w:r>
        <w:rPr>
          <w:rFonts w:ascii="Times New Roman;serif" w:hAnsi="Times New Roman;serif"/>
          <w:b/>
          <w:sz w:val="16"/>
        </w:rPr>
        <w:t>of Financial Condition and Results of Operations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information contained in this section should be read in conjunction with our consolidated financial statements and related notes thereto appearing elsewhere in this Quarterly Report on Form 10-Q.</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Except as otherwise indicated, the terms “we”, “us”, “our”, the “Company”, “Logan Ridge” and “LRFC” refer to Logan Ridge Finance Corporation.</w:t>
      </w:r>
    </w:p>
    <w:p>
      <w:pPr>
        <w:pStyle w:val="TextBody"/>
        <w:bidi w:val="0"/>
        <w:spacing w:before="0" w:after="120"/>
        <w:jc w:val="both"/>
        <w:rPr>
          <w:rFonts w:ascii="Times New Roman;serif" w:hAnsi="Times New Roman;serif"/>
          <w:b/>
          <w:sz w:val="16"/>
        </w:rPr>
      </w:pPr>
      <w:r>
        <w:rPr>
          <w:rFonts w:ascii="Times New Roman;serif" w:hAnsi="Times New Roman;serif"/>
          <w:b/>
          <w:sz w:val="16"/>
        </w:rPr>
        <w:t>Forward-Looking Statements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our future operating results;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our business prospects and the prospects of our portfolio companies, including our and their ability to achieve our respective objectives;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impact of investments that we expect to make;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our contractual arrangements and relationships with third parties;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dependence of our future success on the general economy and its impact on the industries in which we invest;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our expected financings and investments;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adequacy of our cash resources and working capital; and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timing of cash flows, if any, from the operations of our portfolio companies.</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an economic downturn could impair our portfolio companies’ ability to continue to operate or repay their borrowings, which could lead to the loss of some or all of our investments in such portfolio companies;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 contraction of available credit and/or an inability to access the equity markets could impair our lending and investment activities;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geopolitical instability and volatility in the global markets caused by events such as the deterioration in the bilateral relationship between the U.S. and China or the conflict between Russia and Ukraine;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uncertain effects due to the discontinuation of LIBOR and the transition to SOFR;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changes in the general economy, slowing economy, high levels of inflation, and risk or recession;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interest rate volatility could adversely affect our results, particularly if we use leverage as part of our investment strategy; and</w:t>
      </w:r>
    </w:p>
    <w:p>
      <w:pPr>
        <w:pStyle w:val="TextBody"/>
        <w:bidi w:val="0"/>
        <w:spacing w:before="120" w:after="120"/>
        <w:jc w:val="both"/>
        <w:rPr/>
      </w:pPr>
      <w:r>
        <w:rPr/>
        <w:t>•</w:t>
      </w:r>
    </w:p>
    <w:p>
      <w:pPr>
        <w:pStyle w:val="TextBody"/>
        <w:bidi w:val="0"/>
        <w:spacing w:before="120" w:after="120"/>
        <w:jc w:val="both"/>
        <w:rPr/>
      </w:pPr>
      <w:r>
        <w:rPr>
          <w:rFonts w:ascii="Times New Roman;serif" w:hAnsi="Times New Roman;serif"/>
          <w:b w:val="false"/>
          <w:sz w:val="16"/>
        </w:rPr>
        <w:t>the risks, uncertainties and other factors we identify in “Risk Factors” and elsewhere in this Quarterly Report on Form 10-Q.</w:t>
      </w:r>
      <w:r>
        <w:rPr/>
        <w:t xml:space="preserve"> </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2022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bidi w:val="0"/>
        <w:spacing w:before="0" w:after="120"/>
        <w:jc w:val="both"/>
        <w:rPr>
          <w:rFonts w:ascii="Times New Roman;serif" w:hAnsi="Times New Roman;serif"/>
          <w:b/>
          <w:sz w:val="16"/>
        </w:rPr>
      </w:pPr>
      <w:r>
        <w:rPr>
          <w:rFonts w:ascii="Times New Roman;serif" w:hAnsi="Times New Roman;serif"/>
          <w:b/>
          <w:sz w:val="16"/>
        </w:rPr>
        <w:t>Overview</w:t>
      </w:r>
    </w:p>
    <w:p>
      <w:pPr>
        <w:pStyle w:val="TextBody"/>
        <w:bidi w:val="0"/>
        <w:spacing w:before="0" w:after="0"/>
        <w:jc w:val="both"/>
        <w:rPr>
          <w:rFonts w:ascii="Times New Roman" w:hAnsi="Times New Roman"/>
          <w:sz w:val="20"/>
        </w:rPr>
      </w:pPr>
      <w:r>
        <w:rPr>
          <w:rFonts w:ascii="Times New Roman;serif" w:hAnsi="Times New Roman;serif"/>
          <w:b w:val="false"/>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w:t>
      </w:r>
      <w:r>
        <w:rPr>
          <w:rFonts w:ascii="Times New Roman" w:hAnsi="Times New Roman"/>
          <w:sz w:val="20"/>
        </w:rPr>
        <w:t xml:space="preserve"> </w:t>
      </w:r>
      <w:r>
        <w:rPr>
          <w:rFonts w:ascii="Times New Roman;serif" w:hAnsi="Times New Roman;serif"/>
          <w:b w:val="false"/>
          <w:sz w:val="16"/>
        </w:rPr>
        <w:t>We are managed by Mount Logan Management LLC (the “Investment Adviser”), and BC Partners Management LLC (the “Administrator”) provides the administrative services necessary for us to operate.</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invest in first lien loans and, to a lesser extent, second lien loans and equity securities issued by lower middle-market and traditional middle-market companies.</w:t>
      </w:r>
    </w:p>
    <w:p>
      <w:pPr>
        <w:pStyle w:val="TextBody"/>
        <w:bidi w:val="0"/>
        <w:spacing w:before="120" w:after="120"/>
        <w:jc w:val="both"/>
        <w:rPr>
          <w:rFonts w:ascii="Times New Roman" w:hAnsi="Times New Roman"/>
          <w:sz w:val="20"/>
        </w:rPr>
      </w:pPr>
      <w:r>
        <w:rPr>
          <w:rFonts w:ascii="Times New Roman;serif" w:hAnsi="Times New Roman;serif"/>
          <w:b w:val="false"/>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June 30, 2023, our asset coverage ratio was 178%. To maintain our regulated investment company (“RIC”) status, we must meet specified source-of-income and asset diversification requirements. To maintain our RIC tax treatment under subchapter M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bidi w:val="0"/>
        <w:spacing w:before="0" w:after="120"/>
        <w:jc w:val="both"/>
        <w:rPr>
          <w:rFonts w:ascii="Times New Roman;serif" w:hAnsi="Times New Roman;serif"/>
          <w:b/>
          <w:sz w:val="16"/>
        </w:rPr>
      </w:pPr>
      <w:r>
        <w:rPr>
          <w:rFonts w:ascii="Times New Roman;serif" w:hAnsi="Times New Roman;serif"/>
          <w:b/>
          <w:sz w:val="16"/>
        </w:rPr>
        <w:t>Corporate History</w:t>
      </w:r>
    </w:p>
    <w:p>
      <w:pPr>
        <w:pStyle w:val="TextBody"/>
        <w:bidi w:val="0"/>
        <w:spacing w:before="0" w:after="0"/>
        <w:jc w:val="both"/>
        <w:rPr>
          <w:rFonts w:ascii="Times New Roman" w:hAnsi="Times New Roman"/>
          <w:sz w:val="20"/>
        </w:rPr>
      </w:pPr>
      <w:r>
        <w:rPr>
          <w:rFonts w:ascii="Times New Roman;serif" w:hAnsi="Times New Roman;serif"/>
          <w:b w:val="false"/>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Accordingly, as of June 30, 2023 and December 31, 2022, there were no SBA-guaranteed debentures outstanding.</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0" w:after="120"/>
        <w:jc w:val="both"/>
        <w:rPr>
          <w:rFonts w:ascii="Times New Roman;serif" w:hAnsi="Times New Roman;serif"/>
          <w:b/>
          <w:sz w:val="16"/>
        </w:rPr>
      </w:pPr>
      <w:r>
        <w:rPr>
          <w:rFonts w:ascii="Times New Roman;serif" w:hAnsi="Times New Roman;serif"/>
          <w:b/>
          <w:sz w:val="16"/>
        </w:rPr>
        <w:t>Definitive Agreement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120" w:after="0"/>
        <w:jc w:val="both"/>
        <w:rPr>
          <w:rFonts w:ascii="Times New Roman" w:hAnsi="Times New Roman"/>
          <w:sz w:val="20"/>
        </w:rPr>
      </w:pPr>
      <w:r>
        <w:rPr>
          <w:rFonts w:ascii="Times New Roman;serif" w:hAnsi="Times New Roman;serif"/>
          <w:b w:val="false"/>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pStyle w:val="TextBody"/>
        <w:bidi w:val="0"/>
        <w:spacing w:before="0" w:after="120"/>
        <w:jc w:val="both"/>
        <w:rPr>
          <w:rFonts w:ascii="Times New Roman;serif" w:hAnsi="Times New Roman;serif"/>
          <w:b/>
          <w:sz w:val="16"/>
        </w:rPr>
      </w:pPr>
      <w:r>
        <w:rPr>
          <w:rFonts w:ascii="Times New Roman;serif" w:hAnsi="Times New Roman;serif"/>
          <w:b/>
          <w:sz w:val="16"/>
        </w:rPr>
        <w:t>Basis of Presentation</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The Company is considered an investment company as defined in Accounting Standards Codification (“ASC”) Topic 946 — </w:t>
      </w:r>
      <w:r>
        <w:rPr>
          <w:rFonts w:ascii="Times New Roman;serif" w:hAnsi="Times New Roman;serif"/>
          <w:b w:val="false"/>
          <w:i/>
          <w:sz w:val="16"/>
        </w:rPr>
        <w:t>Financial Services — Investment Companies</w:t>
      </w:r>
      <w:r>
        <w:rPr>
          <w:rFonts w:ascii="Times New Roman" w:hAnsi="Times New Roman"/>
          <w:sz w:val="20"/>
        </w:rPr>
        <w:t xml:space="preserve"> </w:t>
      </w:r>
      <w:r>
        <w:rPr>
          <w:rFonts w:ascii="Times New Roman;serif" w:hAnsi="Times New Roman;serif"/>
          <w:b w:val="false"/>
          <w:sz w:val="16"/>
        </w:rPr>
        <w:t>(“ASC 946”)</w:t>
      </w:r>
      <w:r>
        <w:rPr>
          <w:rFonts w:ascii="Times New Roman;serif" w:hAnsi="Times New Roman;serif"/>
          <w:b w:val="false"/>
          <w:i/>
          <w:sz w:val="16"/>
        </w:rPr>
        <w:t>.</w:t>
      </w:r>
      <w:r>
        <w:rPr>
          <w:rFonts w:ascii="Times New Roman" w:hAnsi="Times New Roman"/>
          <w:sz w:val="20"/>
        </w:rPr>
        <w:t xml:space="preserve"> </w:t>
      </w:r>
      <w:r>
        <w:rPr>
          <w:rFonts w:ascii="Times New Roman;serif" w:hAnsi="Times New Roman;serif"/>
          <w:b w:val="false"/>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Company’s financial statements as of June 30, 2023 and December 31, 2022 and for the periods ended June 30,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 the opinion of management, the consolidated financial statements reflect all adjustments that are necessary for the fair presentation of financial results as of and for the periods presented.</w:t>
      </w:r>
    </w:p>
    <w:p>
      <w:pPr>
        <w:pStyle w:val="TextBody"/>
        <w:bidi w:val="0"/>
        <w:spacing w:before="120" w:after="120"/>
        <w:jc w:val="both"/>
        <w:rPr>
          <w:rFonts w:ascii="Times New Roman" w:hAnsi="Times New Roman"/>
          <w:sz w:val="20"/>
        </w:rPr>
      </w:pPr>
      <w:r>
        <w:rPr>
          <w:rFonts w:ascii="Times New Roman;serif" w:hAnsi="Times New Roman;serif"/>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SEC on March 9, 2023.</w:t>
      </w:r>
      <w:r>
        <w:rPr>
          <w:rFonts w:ascii="Times New Roman" w:hAnsi="Times New Roman"/>
          <w:sz w:val="20"/>
        </w:rPr>
        <w:t xml:space="preserve"> </w:t>
      </w:r>
    </w:p>
    <w:p>
      <w:pPr>
        <w:pStyle w:val="TextBody"/>
        <w:bidi w:val="0"/>
        <w:spacing w:before="0" w:after="120"/>
        <w:jc w:val="both"/>
        <w:rPr>
          <w:rFonts w:ascii="Times New Roman;serif" w:hAnsi="Times New Roman;serif"/>
          <w:b/>
          <w:sz w:val="16"/>
        </w:rPr>
      </w:pPr>
      <w:r>
        <w:rPr>
          <w:rFonts w:ascii="Times New Roman;serif" w:hAnsi="Times New Roman;serif"/>
          <w:b/>
          <w:sz w:val="16"/>
        </w:rPr>
        <w:t>Consolidation</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0" w:after="120"/>
        <w:jc w:val="left"/>
        <w:rPr>
          <w:rFonts w:ascii="Times New Roman;serif" w:hAnsi="Times New Roman;serif"/>
          <w:b/>
          <w:sz w:val="16"/>
        </w:rPr>
      </w:pPr>
      <w:r>
        <w:rPr>
          <w:rFonts w:ascii="Times New Roman;serif" w:hAnsi="Times New Roman;serif"/>
          <w:b/>
          <w:sz w:val="16"/>
        </w:rPr>
        <w:t>Revenues</w:t>
      </w:r>
    </w:p>
    <w:p>
      <w:pPr>
        <w:pStyle w:val="TextBody"/>
        <w:bidi w:val="0"/>
        <w:spacing w:before="0" w:after="120"/>
        <w:jc w:val="both"/>
        <w:rPr>
          <w:rFonts w:ascii="Times New Roman" w:hAnsi="Times New Roman"/>
          <w:sz w:val="20"/>
        </w:rPr>
      </w:pPr>
      <w:r>
        <w:rPr>
          <w:rFonts w:ascii="Times New Roman;serif" w:hAnsi="Times New Roman;serif"/>
          <w:b w:val="false"/>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sz w:val="20"/>
        </w:rPr>
        <w:t xml:space="preserve"> </w:t>
      </w:r>
    </w:p>
    <w:p>
      <w:pPr>
        <w:pStyle w:val="TextBody"/>
        <w:bidi w:val="0"/>
        <w:spacing w:before="0" w:after="120"/>
        <w:jc w:val="both"/>
        <w:rPr>
          <w:rFonts w:ascii="Times New Roman;serif" w:hAnsi="Times New Roman;serif"/>
          <w:b/>
          <w:sz w:val="16"/>
        </w:rPr>
      </w:pPr>
      <w:r>
        <w:rPr>
          <w:rFonts w:ascii="Times New Roman;serif" w:hAnsi="Times New Roman;serif"/>
          <w:b/>
          <w:sz w:val="16"/>
        </w:rPr>
        <w:t>Expenses</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cost of our organization;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cost of calculating our net asset value, including the cost of any third-party valuation services;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cost of effecting sales and repurchases of our shares and other securities;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interest payable on debt, if any, to finance our investments;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transfer agent and custodial fees;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fees and expenses associated with marketing efforts;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federal, state and local taxes;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independent directors’ fees and expenses;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brokerage commissions;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costs of proxy statements, stockholders’ reports and other communications with stockholders;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fidelity bond, directors’ and officers’ liability insurance, errors and omissions liability insurance and other insurance premiums;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direct costs and expenses of administration, including printing, mailing, telephone and staff;</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fees and expenses associated with independent audits and outside legal costs; and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bidi w:val="0"/>
        <w:spacing w:before="0" w:after="120"/>
        <w:jc w:val="both"/>
        <w:rPr>
          <w:rFonts w:ascii="Times New Roman;serif" w:hAnsi="Times New Roman;serif"/>
          <w:b/>
          <w:sz w:val="16"/>
        </w:rPr>
      </w:pPr>
      <w:r>
        <w:rPr>
          <w:rFonts w:ascii="Times New Roman;serif" w:hAnsi="Times New Roman;serif"/>
          <w:b/>
          <w:sz w:val="16"/>
        </w:rPr>
        <w:t>Critical Accounting Policies and Use of Estimates</w:t>
      </w:r>
    </w:p>
    <w:p>
      <w:pPr>
        <w:pStyle w:val="TextBody"/>
        <w:bidi w:val="0"/>
        <w:spacing w:before="0" w:after="120"/>
        <w:jc w:val="both"/>
        <w:rPr>
          <w:rFonts w:ascii="Times New Roman" w:hAnsi="Times New Roman"/>
          <w:sz w:val="20"/>
        </w:rPr>
      </w:pPr>
      <w:r>
        <w:rPr>
          <w:rFonts w:ascii="Times New Roman;serif" w:hAnsi="Times New Roman;serif"/>
          <w:b w:val="false"/>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sz w:val="20"/>
        </w:rPr>
        <w:t xml:space="preserve"> </w:t>
      </w:r>
    </w:p>
    <w:p>
      <w:pPr>
        <w:pStyle w:val="TextBody"/>
        <w:bidi w:val="0"/>
        <w:spacing w:before="0" w:after="120"/>
        <w:jc w:val="both"/>
        <w:rPr>
          <w:rFonts w:ascii="Times New Roman;serif" w:hAnsi="Times New Roman;serif"/>
          <w:b/>
          <w:i/>
          <w:sz w:val="16"/>
        </w:rPr>
      </w:pPr>
      <w:r>
        <w:rPr>
          <w:rFonts w:ascii="Times New Roman;serif" w:hAnsi="Times New Roman;serif"/>
          <w:b/>
          <w:i/>
          <w:sz w:val="16"/>
        </w:rPr>
        <w:t>Valuation of Investments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Investment Adviser undertakes a multi-step valuation process, which includes, among other procedures,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 xml:space="preserve">Preliminary valuations are reviewed and discussed with management of the Investment Adviser and investment professionals;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16"/>
        </w:rPr>
      </w:pPr>
      <w:r>
        <w:rPr>
          <w:rFonts w:ascii="Times New Roman;serif" w:hAnsi="Times New Roman;serif"/>
          <w:b w:val="false"/>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1: Unadjusted quoted prices in active markets for identical assets or liabilities that are accessible to the Company.</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Level 3: Significant inputs that are unobservable for an asset or liability.</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120" w:after="120"/>
        <w:jc w:val="both"/>
        <w:rPr>
          <w:rFonts w:ascii="Times New Roman;serif" w:hAnsi="Times New Roman;serif"/>
          <w:b/>
          <w:i/>
          <w:sz w:val="16"/>
        </w:rPr>
      </w:pPr>
      <w:r>
        <w:rPr>
          <w:rFonts w:ascii="Times New Roman;serif" w:hAnsi="Times New Roman;serif"/>
          <w:b/>
          <w:i/>
          <w:sz w:val="16"/>
        </w:rPr>
        <w:t>Valuation Techniques</w:t>
      </w:r>
    </w:p>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Enterprise Value Waterfall Approach</w:t>
      </w:r>
    </w:p>
    <w:p>
      <w:pPr>
        <w:pStyle w:val="TextBody"/>
        <w:bidi w:val="0"/>
        <w:spacing w:before="120" w:after="120"/>
        <w:jc w:val="both"/>
        <w:rPr>
          <w:rFonts w:ascii="Times New Roman" w:hAnsi="Times New Roman"/>
          <w:sz w:val="20"/>
        </w:rPr>
      </w:pPr>
      <w:r>
        <w:rPr>
          <w:rFonts w:ascii="Times New Roman;serif" w:hAnsi="Times New Roman;serif"/>
          <w:b w:val="false"/>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16"/>
        </w:rPr>
        <w:t>dilute the Company’s investment in the portfolio company. The adjusted enterprise value is then apportioned based on the seniority and privileges of the Company’s investments within the portfolio company.</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i/>
          <w:sz w:val="16"/>
        </w:rPr>
        <w:t>Income Approach</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bidi w:val="0"/>
        <w:spacing w:before="120" w:after="120"/>
        <w:jc w:val="both"/>
        <w:rPr>
          <w:rFonts w:ascii="Times New Roman" w:hAnsi="Times New Roman"/>
          <w:sz w:val="20"/>
        </w:rPr>
      </w:pPr>
      <w:r>
        <w:rPr>
          <w:rFonts w:ascii="Times New Roman;serif" w:hAnsi="Times New Roman;serif"/>
          <w:b w:val="false"/>
          <w:i/>
          <w:sz w:val="16"/>
        </w:rPr>
        <w:t>Asset Approach</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asset approach values an investment based on the value of the underlying collateral securing the investment.</w:t>
      </w:r>
    </w:p>
    <w:p>
      <w:pPr>
        <w:pStyle w:val="TextBody"/>
        <w:bidi w:val="0"/>
        <w:spacing w:before="120" w:after="120"/>
        <w:jc w:val="both"/>
        <w:rPr>
          <w:rFonts w:ascii="Times New Roman;serif" w:hAnsi="Times New Roman;serif"/>
          <w:b/>
          <w:i/>
          <w:sz w:val="16"/>
        </w:rPr>
      </w:pPr>
      <w:r>
        <w:rPr>
          <w:rFonts w:ascii="Times New Roman;serif" w:hAnsi="Times New Roman;serif"/>
          <w:b/>
          <w:i/>
          <w:sz w:val="16"/>
        </w:rPr>
        <w:t>Revenue Recognition</w:t>
      </w:r>
    </w:p>
    <w:p>
      <w:pPr>
        <w:pStyle w:val="TextBody"/>
        <w:bidi w:val="0"/>
        <w:spacing w:before="0" w:after="120"/>
        <w:jc w:val="both"/>
        <w:rPr>
          <w:rFonts w:ascii="Times New Roman" w:hAnsi="Times New Roman"/>
          <w:sz w:val="20"/>
        </w:rPr>
      </w:pPr>
      <w:r>
        <w:rPr>
          <w:rFonts w:ascii="Times New Roman;serif" w:hAnsi="Times New Roman;serif"/>
          <w:b w:val="false"/>
          <w:sz w:val="16"/>
        </w:rPr>
        <w:t>The Company’s revenue recognition policies are as follows: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i/>
          <w:sz w:val="16"/>
        </w:rPr>
        <w:t>Interest income and payment-in-kind (</w:t>
      </w:r>
      <w:r>
        <w:rPr>
          <w:rFonts w:ascii="Times New Roman" w:hAnsi="Times New Roman"/>
          <w:sz w:val="20"/>
        </w:rPr>
        <w:t>“</w:t>
      </w:r>
      <w:r>
        <w:rPr>
          <w:rFonts w:ascii="Times New Roman;serif" w:hAnsi="Times New Roman;serif"/>
          <w:b w:val="false"/>
          <w:i/>
          <w:sz w:val="16"/>
        </w:rPr>
        <w:t>PIK</w:t>
      </w:r>
      <w:r>
        <w:rPr>
          <w:rFonts w:ascii="Times New Roman" w:hAnsi="Times New Roman"/>
          <w:sz w:val="20"/>
        </w:rPr>
        <w:t>”</w:t>
      </w:r>
      <w:r>
        <w:rPr>
          <w:rFonts w:ascii="Times New Roman;serif" w:hAnsi="Times New Roman;serif"/>
          <w:b w:val="false"/>
          <w:i/>
          <w:sz w:val="16"/>
        </w:rPr>
        <w:t xml:space="preserve">) interest income: </w:t>
      </w:r>
      <w:r>
        <w:rPr>
          <w:rFonts w:ascii="Times New Roman;serif" w:hAnsi="Times New Roman;serif"/>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bidi w:val="0"/>
        <w:spacing w:before="120" w:after="120"/>
        <w:jc w:val="both"/>
        <w:rPr>
          <w:rFonts w:ascii="Times New Roman" w:hAnsi="Times New Roman"/>
          <w:sz w:val="20"/>
        </w:rPr>
      </w:pPr>
      <w:r>
        <w:rPr>
          <w:rFonts w:ascii="Times New Roman;serif" w:hAnsi="Times New Roman;serif"/>
          <w:b w:val="false"/>
          <w:i/>
          <w:sz w:val="16"/>
        </w:rPr>
        <w:t xml:space="preserve">Non-accrual investments: </w:t>
      </w:r>
      <w:r>
        <w:rPr>
          <w:rFonts w:ascii="Times New Roman;serif" w:hAnsi="Times New Roman;serif"/>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16"/>
        </w:rPr>
        <w:t xml:space="preserve">Gains and losses on investment sales and paydowns: </w:t>
      </w:r>
      <w:r>
        <w:rPr>
          <w:rFonts w:ascii="Times New Roman;serif" w:hAnsi="Times New Roman;serif"/>
          <w:b w:val="false"/>
          <w:sz w:val="16"/>
        </w:rPr>
        <w:t>Realized gains and losses on investments are recognized using the specific identification method.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Dividend income and payment-in-kind dividends: </w:t>
      </w:r>
      <w:r>
        <w:rPr>
          <w:rFonts w:ascii="Times New Roman;serif" w:hAnsi="Times New Roman;serif"/>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Original issue discount: </w:t>
      </w:r>
      <w:r>
        <w:rPr>
          <w:rFonts w:ascii="Times New Roman;serif" w:hAnsi="Times New Roman;serif"/>
          <w:b w:val="false"/>
          <w:sz w:val="16"/>
        </w:rPr>
        <w:t>Discounts received to par on loans purchased are capitalized and accreted into income over the life of the loan. Any remaining discount is accreted into income upon prepayment of the loan.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16"/>
        </w:rPr>
        <w:t xml:space="preserve">Other income: </w:t>
      </w:r>
      <w:r>
        <w:rPr>
          <w:rFonts w:ascii="Times New Roman;serif" w:hAnsi="Times New Roman;serif"/>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bidi w:val="0"/>
        <w:spacing w:before="120" w:after="120"/>
        <w:jc w:val="both"/>
        <w:rPr>
          <w:rFonts w:ascii="Times New Roman;serif" w:hAnsi="Times New Roman;serif"/>
          <w:b/>
          <w:sz w:val="16"/>
        </w:rPr>
      </w:pPr>
      <w:r>
        <w:rPr>
          <w:rFonts w:ascii="Times New Roman;serif" w:hAnsi="Times New Roman;serif"/>
          <w:b/>
          <w:sz w:val="16"/>
        </w:rPr>
        <w:t>Income Taxes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0"/>
        <w:jc w:val="both"/>
        <w:rPr>
          <w:rFonts w:ascii="Times New Roman" w:hAnsi="Times New Roman"/>
          <w:sz w:val="20"/>
        </w:rPr>
      </w:pPr>
      <w:r>
        <w:rPr>
          <w:rFonts w:ascii="Times New Roman;serif" w:hAnsi="Times New Roman;serif"/>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tax years ended December 31, 2022, 2021, 2020 and 2019 remain subject to examination by U.S. federal, state, and local tax authorities. No material interest expense or penalties have been assessed for the periods ended June 30, 2023 and 2022. If the Company was required to recognize interest and penalties, if any, related to unrecognized tax benefits this would be recognized as income tax expense in the consolidated statements of operations.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Company’s Taxable Subsidiaries record deferred tax assets or liabilities related to temporary book versus tax differences on the income or loss generated by the underlying equity investments held by the Taxable Subsidiaries. As of both June 30, 2023 and December 31, 2022, the Company recorded a net deferred tax asset of zero. For both the three months ended June 30, 2023 and 2022, the Company recorded a tax provision of zero. As of June 30, 2023 and December 31, 2022, the valuation allowance on the Company’s deferred tax asset was $3.9 million and $4.0 million, respectively. During the three and six months ended June 30, 2023, the Company recognized a decrease in the valuation allowance of $(0.1) million. During both the three and six months ended June 30, 2022, the Company recognized an increase in the valuation allowance of $0.4 million,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6"/>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 xml:space="preserve">ASC Topic 740 — </w:t>
      </w:r>
      <w:r>
        <w:rPr>
          <w:rFonts w:ascii="Times New Roman;serif" w:hAnsi="Times New Roman;serif"/>
          <w:b w:val="false"/>
          <w:i/>
          <w:sz w:val="16"/>
        </w:rPr>
        <w:t>Income Taxes</w:t>
      </w:r>
      <w:r>
        <w:rPr>
          <w:rFonts w:ascii="Times New Roman" w:hAnsi="Times New Roman"/>
          <w:sz w:val="20"/>
        </w:rPr>
        <w:t xml:space="preserve"> </w:t>
      </w:r>
      <w:r>
        <w:rPr>
          <w:rFonts w:ascii="Times New Roman;serif" w:hAnsi="Times New Roman;serif"/>
          <w:b w:val="false"/>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2023 and December 31, 2022, there were no uncertain tax positions.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0"/>
        <w:jc w:val="both"/>
        <w:rPr>
          <w:rFonts w:ascii="Times New Roman" w:hAnsi="Times New Roman"/>
          <w:sz w:val="20"/>
        </w:rPr>
      </w:pPr>
      <w:r>
        <w:rPr>
          <w:rFonts w:ascii="Times New Roman;serif" w:hAnsi="Times New Roman;serif"/>
          <w:b w:val="false"/>
          <w:sz w:val="16"/>
        </w:rPr>
        <w:t>U.S. GAAP provides guidance on thresholds, measurement, de-recognition, classification, interest and penalties, accounting in interim periods, disclosure, and transition that is intended to provide better financial statement comparability among different entities.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Company has concluded that it was not necessary to record a liability for any such tax positions as of June 30, 2023 and December 31, 2022.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Portfolio and Investment Activity</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June 30, 2023, our portfolio consisted of investments in 62 portfolio companies with a fair value of approximately $206.6 million. As of December 31, 2022, our portfolio consisted of investments in 59 portfolio companies with a fair value of approximately $203.6 million.</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2023, 0.6% 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bidi w:val="0"/>
        <w:spacing w:before="120" w:after="0"/>
        <w:jc w:val="both"/>
        <w:rPr>
          <w:rFonts w:ascii="Times New Roman" w:hAnsi="Times New Roman"/>
          <w:sz w:val="20"/>
        </w:rPr>
      </w:pPr>
      <w:r>
        <w:rPr>
          <w:rFonts w:ascii="Times New Roman;serif" w:hAnsi="Times New Roman;serif"/>
          <w:b w:val="false"/>
          <w:sz w:val="16"/>
        </w:rPr>
        <w:t>During the three months ended June 30, 2023, we made approximately $4.8 million of investments and had approximately $4.4 million in repayments and sales, resulting in net deployment of approximately $0.4 million for the period. During the three months ended June 30, 2022, we made approximately $30.7 million of investments and had approximately $58.3 million in repayments and sales, resulting in net repayments and sales of approximately $27.6 million for the period.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During the six months ended June 30, 2023, we made approximately $12.2 million of investments and had approximately $11.2 million in repayments and sales, resulting in net deployment of approximately $1.0 million for the period. During the six months ended June 30, 2022, we made approximately $47.1 million of investments and had approximately $66.7 million in repayments and sales, resulting in net repayments and sales of approximately $19.6 million for the period.</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As of June 30, 2023, our debt investment portfolio, which represented 82.2% of the fair value of our total portfolio, had a weighted average annualized yield of approximately 10.8% (excluding income from non-accruals and collateralized loan obligations). As of June 30, 2023, 16.8% of the fair value of our debt investment portfolio was bearing a fixed rate of interest. As of December 31, 2022, our debt investment portfolio, which represented 83.2% of the fair value of our total portfolio, had a weighted average annualized yield of approximately 10.4% (excluding income from non-accruals and collateralized loan obligations). As of December 31, 2022, 17.2% of the fair value of our debt investment portfolio was bearing a fixed rate of interest.</w:t>
      </w:r>
    </w:p>
    <w:p>
      <w:pPr>
        <w:pStyle w:val="TextBody"/>
        <w:bidi w:val="0"/>
        <w:spacing w:before="120" w:after="0"/>
        <w:jc w:val="both"/>
        <w:rPr>
          <w:rFonts w:ascii="Times New Roman" w:hAnsi="Times New Roman"/>
          <w:sz w:val="20"/>
        </w:rPr>
      </w:pPr>
      <w:r>
        <w:rPr>
          <w:rFonts w:ascii="Times New Roman;serif" w:hAnsi="Times New Roman;serif"/>
          <w:b w:val="false"/>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As of June 30, 2023, the Company’s Adviser approved the fair value of the Company’s investment portfolio of approximately $206.6 million in good faith in accordance with the Company’s valuation procedures. The Company’s Adviser approved the fair value of the Company’s investment portfolio as of June 30, 2023 with input from third-party valuation firms and the Investment Adviser, as valuation designee, based on information known or knowable as of the valuation date, including trailing and forward looking data.</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As of June 30, 2023, we had debt investments in two portfolio companies on non-accrual status with an aggregate amortized cost of $17.1 million and an aggregate fair value of $11.1 million, which represented 7.8% and 5.3% of the investment portfolio, respectively. As of December 31, 2022, we had a debt investment in one portfolio company on non-accrual status with aggregate amortized cost of $11.9 million and an aggregate fair value of $9.7 million, which represented 5.4% and 4.8% of the investment portfolio,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16"/>
        </w:rPr>
        <w:t>The following table summarizes the amortized cost and the fair value of investments as of June 30, 2023 (dollars in thousands):</w:t>
      </w:r>
      <w:r>
        <w:rPr>
          <w:rFonts w:ascii="Times New Roman" w:hAnsi="Times New Roman"/>
          <w:sz w:val="20"/>
        </w:rPr>
        <w:t xml:space="preserve"> </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219,167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serif" w:hAnsi="Times New Roman;serif"/>
          <w:b w:val="false"/>
          <w:sz w:val="16"/>
        </w:rPr>
      </w:pPr>
      <w:r>
        <w:rPr>
          <w:rFonts w:ascii="Times New Roman;serif" w:hAnsi="Times New Roman;serif"/>
          <w:b w:val="false"/>
          <w:sz w:val="16"/>
        </w:rPr>
        <w:t>The following table summarizes the amortized cost and the fair value of investments as of December 31, 2022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220,516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both"/>
        <w:rPr>
          <w:rFonts w:ascii="Times New Roman" w:hAnsi="Times New Roman"/>
          <w:sz w:val="20"/>
        </w:rPr>
      </w:pPr>
      <w:r>
        <w:rPr>
          <w:rFonts w:ascii="Times New Roman;serif" w:hAnsi="Times New Roman;serif"/>
          <w:b w:val="false"/>
          <w:sz w:val="16"/>
        </w:rPr>
        <w:t>The following table shows the portfolio composition by industry grouping at fair value as of June 30, 2023 and December 31, 2022 (dollars in thousands):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Investments at </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Total Portfolio</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Investments at </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Total Portfolio</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Information Technology</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Industrials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Discretionary</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Management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Entertainment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Automobile Part Manufacturer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Textile Equipment Manufacturer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Advertising &amp; Marketing Services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Staples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Medical Device Distributor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Services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Online Merchandise Retailer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Communication Services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Household Product Manufacturer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Industrial</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Oil &amp; Gas Engineering and Consulting Services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Data Processing &amp; Digital Marketing</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Testing Laboratories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Electronic Machine Repair</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24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206,589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120" w:after="120"/>
        <w:jc w:val="left"/>
        <w:rPr>
          <w:rFonts w:ascii="Times New Roman;serif" w:hAnsi="Times New Roman;serif"/>
          <w:b/>
          <w:sz w:val="16"/>
        </w:rPr>
      </w:pPr>
      <w:r>
        <w:rPr>
          <w:rFonts w:ascii="Times New Roman;serif" w:hAnsi="Times New Roman;serif"/>
          <w:b/>
          <w:sz w:val="16"/>
        </w:rPr>
        <w:t>Results of Operations</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Operating results for the three and six months ended June 30, 2023 and 2022 were as follows (dollars in thousands):</w:t>
      </w:r>
    </w:p>
    <w:tbl>
      <w:tblPr>
        <w:tblW w:w="10205" w:type="dxa"/>
        <w:jc w:val="left"/>
        <w:tblInd w:w="0" w:type="dxa"/>
        <w:tblLayout w:type="fixed"/>
        <w:tblCellMar>
          <w:top w:w="28" w:type="dxa"/>
          <w:left w:w="28" w:type="dxa"/>
          <w:bottom w:w="28" w:type="dxa"/>
          <w:right w:w="28" w:type="dxa"/>
        </w:tblCellMar>
      </w:tblPr>
      <w:tblGrid>
        <w:gridCol w:w="4278"/>
        <w:gridCol w:w="146"/>
        <w:gridCol w:w="274"/>
        <w:gridCol w:w="799"/>
        <w:gridCol w:w="232"/>
        <w:gridCol w:w="204"/>
        <w:gridCol w:w="274"/>
        <w:gridCol w:w="925"/>
        <w:gridCol w:w="166"/>
        <w:gridCol w:w="146"/>
        <w:gridCol w:w="253"/>
        <w:gridCol w:w="779"/>
        <w:gridCol w:w="215"/>
        <w:gridCol w:w="189"/>
        <w:gridCol w:w="253"/>
        <w:gridCol w:w="857"/>
        <w:gridCol w:w="215"/>
      </w:tblGrid>
      <w:tr>
        <w:trPr/>
        <w:tc>
          <w:tcPr>
            <w:tcW w:w="4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0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4" w:type="dxa"/>
            <w:tcBorders/>
            <w:vAlign w:val="center"/>
          </w:tcPr>
          <w:p>
            <w:pPr>
              <w:pStyle w:val="TableContents"/>
              <w:bidi w:val="0"/>
              <w:spacing w:before="0" w:after="0"/>
              <w:ind w:left="0" w:right="0" w:hanging="0"/>
              <w:jc w:val="left"/>
              <w:rPr/>
            </w:pPr>
            <w:r>
              <w:rPr/>
              <w:t> </w:t>
            </w:r>
          </w:p>
        </w:tc>
        <w:tc>
          <w:tcPr>
            <w:tcW w:w="11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5,344</w:t>
            </w:r>
          </w:p>
        </w:tc>
        <w:tc>
          <w:tcPr>
            <w:tcW w:w="23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10,600</w:t>
            </w:r>
          </w:p>
        </w:tc>
        <w:tc>
          <w:tcPr>
            <w:tcW w:w="215"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6,641</w:t>
            </w:r>
          </w:p>
        </w:tc>
        <w:tc>
          <w:tcPr>
            <w:tcW w:w="215" w:type="dxa"/>
            <w:tcBorders/>
            <w:vAlign w:val="center"/>
          </w:tcPr>
          <w:p>
            <w:pPr>
              <w:pStyle w:val="TableContents"/>
              <w:bidi w:val="0"/>
              <w:spacing w:before="0" w:after="0"/>
              <w:ind w:left="0" w:right="0" w:hanging="0"/>
              <w:jc w:val="left"/>
              <w:rPr/>
            </w:pPr>
            <w:r>
              <w:rPr/>
              <w:t> </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4,305</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8,488</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8,620</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(loss)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23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215"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4"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(3,868</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9"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15,466</w:t>
            </w:r>
          </w:p>
        </w:tc>
        <w:tc>
          <w:tcPr>
            <w:tcW w:w="215" w:type="dxa"/>
            <w:tcBorders/>
            <w:vAlign w:val="center"/>
          </w:tcPr>
          <w:p>
            <w:pPr>
              <w:pStyle w:val="TableContents"/>
              <w:bidi w:val="0"/>
              <w:spacing w:before="0" w:after="0"/>
              <w:ind w:left="0" w:right="0" w:hanging="0"/>
              <w:jc w:val="left"/>
              <w:rPr/>
            </w:pPr>
            <w:r>
              <w:rPr/>
              <w:t> </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4,563</w:t>
            </w:r>
          </w:p>
        </w:tc>
        <w:tc>
          <w:tcPr>
            <w:tcW w:w="23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215"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(19,379</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27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3,240</w:t>
            </w:r>
          </w:p>
        </w:tc>
        <w:tc>
          <w:tcPr>
            <w:tcW w:w="23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7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(5,034</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2,590</w:t>
            </w:r>
          </w:p>
        </w:tc>
        <w:tc>
          <w:tcPr>
            <w:tcW w:w="21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(5,892</w:t>
            </w:r>
          </w:p>
        </w:tc>
        <w:tc>
          <w:tcPr>
            <w:tcW w:w="21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 w:hAnsi="Times New Roman"/>
          <w:sz w:val="20"/>
        </w:rPr>
      </w:pPr>
      <w:r>
        <w:rPr>
          <w:rFonts w:ascii="Times New Roman;serif" w:hAnsi="Times New Roman;serif"/>
          <w:b/>
          <w:i/>
          <w:sz w:val="16"/>
        </w:rPr>
        <w:t>Investment income</w:t>
      </w:r>
      <w:r>
        <w:rPr>
          <w:rFonts w:ascii="Times New Roman" w:hAnsi="Times New Roman"/>
          <w:sz w:val="20"/>
        </w:rPr>
        <w:t xml:space="preserve"> </w:t>
      </w:r>
    </w:p>
    <w:p>
      <w:pPr>
        <w:pStyle w:val="TextBody"/>
        <w:bidi w:val="0"/>
        <w:spacing w:before="0" w:after="120"/>
        <w:jc w:val="both"/>
        <w:rPr>
          <w:rFonts w:ascii="Times New Roman" w:hAnsi="Times New Roman"/>
          <w:sz w:val="20"/>
        </w:rPr>
      </w:pPr>
      <w:r>
        <w:rPr>
          <w:rFonts w:ascii="Times New Roman;serif" w:hAnsi="Times New Roman;serif"/>
          <w:b w:val="false"/>
          <w:sz w:val="16"/>
        </w:rPr>
        <w:t>The composition of our investment income for the three and six months ended June 30, 2023 and 2022 was as follows (dollars in thousands):</w:t>
      </w:r>
      <w:r>
        <w:rPr>
          <w:rFonts w:ascii="Times New Roman" w:hAnsi="Times New Roman"/>
          <w:sz w:val="20"/>
        </w:rPr>
        <w:t xml:space="preserve"> </w:t>
      </w:r>
    </w:p>
    <w:tbl>
      <w:tblPr>
        <w:tblW w:w="7957" w:type="dxa"/>
        <w:jc w:val="left"/>
        <w:tblInd w:w="0" w:type="dxa"/>
        <w:tblLayout w:type="fixed"/>
        <w:tblCellMar>
          <w:top w:w="28" w:type="dxa"/>
          <w:left w:w="28" w:type="dxa"/>
          <w:bottom w:w="28" w:type="dxa"/>
          <w:right w:w="28" w:type="dxa"/>
        </w:tblCellMar>
      </w:tblPr>
      <w:tblGrid>
        <w:gridCol w:w="1831"/>
        <w:gridCol w:w="146"/>
        <w:gridCol w:w="327"/>
        <w:gridCol w:w="853"/>
        <w:gridCol w:w="243"/>
        <w:gridCol w:w="243"/>
        <w:gridCol w:w="327"/>
        <w:gridCol w:w="853"/>
        <w:gridCol w:w="146"/>
        <w:gridCol w:w="146"/>
        <w:gridCol w:w="289"/>
        <w:gridCol w:w="888"/>
        <w:gridCol w:w="215"/>
        <w:gridCol w:w="215"/>
        <w:gridCol w:w="289"/>
        <w:gridCol w:w="755"/>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left"/>
              <w:rPr/>
            </w:pPr>
            <w:r>
              <w:rPr/>
              <w:t> </w:t>
            </w:r>
          </w:p>
        </w:tc>
        <w:tc>
          <w:tcPr>
            <w:tcW w:w="10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4,907</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9,675</w:t>
            </w:r>
          </w:p>
        </w:tc>
        <w:tc>
          <w:tcPr>
            <w:tcW w:w="215"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6,193</w:t>
            </w:r>
          </w:p>
        </w:tc>
        <w:tc>
          <w:tcPr>
            <w:tcW w:w="1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319</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783</w:t>
            </w:r>
          </w:p>
        </w:tc>
        <w:tc>
          <w:tcPr>
            <w:tcW w:w="215"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w:t>
            </w:r>
          </w:p>
        </w:tc>
        <w:tc>
          <w:tcPr>
            <w:tcW w:w="1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15"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5,344</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10,600</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16"/>
        </w:rPr>
      </w:pPr>
      <w:r>
        <w:rPr>
          <w:rFonts w:ascii="Times New Roman;serif" w:hAnsi="Times New Roman;serif"/>
          <w:b w:val="false"/>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For the three months ended June 30, 2023, total investment income increased $2.0 million, or 61.8%, compared to the three months ended June 30, 2022. The increase from the prior period was driven by an increase in interest income from $3.0 million for the three months ended June 30, 2022 to $4.9 million for the three months ended June 30, 2023. The increase in interest income is primarily due to a larger interest earning debt portfolio as well as increases in base rates for the three months ended June 30, 2023 compared to the three months ended June 30, 2022.</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For the six months ended June 30, 2023, total investment income increased $4.0 million, or 59.6%, compared to the six months ended June 30, 2022. The increase from the prior period was driven by an increase in interest income from $6.2 million for the six months ended June 30, 2022 to $9.7 million for the six months ended June 30, 2023. The increase in interest income is primarily due to a larger interest earning debt portfolio as well as increases in base rates for the six months ended June 30, 2023 compared to the six months ended June 30, 2022. PIK income increased from $0.4 million for the six months ended June 30, 2022 to $0.8 million for the six months ended June 30, 2023. The increase in PIK income was due to an increase in investments with a contractual PIK rate as well as non-recurring fee income of $0.2 million that was paid in-kind during six months ended June 30, 2023.</w:t>
      </w:r>
    </w:p>
    <w:p>
      <w:pPr>
        <w:pStyle w:val="TextBody"/>
        <w:bidi w:val="0"/>
        <w:spacing w:before="120" w:after="120"/>
        <w:jc w:val="both"/>
        <w:rPr>
          <w:rFonts w:ascii="Times New Roman;serif" w:hAnsi="Times New Roman;serif"/>
          <w:b/>
          <w:i/>
          <w:sz w:val="16"/>
        </w:rPr>
      </w:pPr>
      <w:r>
        <w:rPr>
          <w:rFonts w:ascii="Times New Roman;serif" w:hAnsi="Times New Roman;serif"/>
          <w:b/>
          <w:i/>
          <w:sz w:val="16"/>
        </w:rPr>
        <w:t>Operating expenses</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The composition of our expenses for the three and six months ended June 30, 2023 and 2022 was as follows (dollars in thousands):</w:t>
      </w:r>
    </w:p>
    <w:tbl>
      <w:tblPr>
        <w:tblW w:w="8770" w:type="dxa"/>
        <w:jc w:val="left"/>
        <w:tblInd w:w="0" w:type="dxa"/>
        <w:tblLayout w:type="fixed"/>
        <w:tblCellMar>
          <w:top w:w="28" w:type="dxa"/>
          <w:left w:w="28" w:type="dxa"/>
          <w:bottom w:w="28" w:type="dxa"/>
          <w:right w:w="28" w:type="dxa"/>
        </w:tblCellMar>
      </w:tblPr>
      <w:tblGrid>
        <w:gridCol w:w="2641"/>
        <w:gridCol w:w="146"/>
        <w:gridCol w:w="327"/>
        <w:gridCol w:w="853"/>
        <w:gridCol w:w="243"/>
        <w:gridCol w:w="243"/>
        <w:gridCol w:w="327"/>
        <w:gridCol w:w="853"/>
        <w:gridCol w:w="146"/>
        <w:gridCol w:w="146"/>
        <w:gridCol w:w="305"/>
        <w:gridCol w:w="795"/>
        <w:gridCol w:w="227"/>
        <w:gridCol w:w="227"/>
        <w:gridCol w:w="305"/>
        <w:gridCol w:w="795"/>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7" w:type="dxa"/>
            <w:tcBorders/>
            <w:vAlign w:val="center"/>
          </w:tcPr>
          <w:p>
            <w:pPr>
              <w:pStyle w:val="TableContents"/>
              <w:bidi w:val="0"/>
              <w:spacing w:before="0" w:after="0"/>
              <w:ind w:left="0" w:right="0" w:hanging="0"/>
              <w:jc w:val="left"/>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2,236</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4,305</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4,319</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946</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1,876</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2,001</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fees</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Administrative service fees</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243"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481</w:t>
            </w:r>
          </w:p>
        </w:tc>
        <w:tc>
          <w:tcPr>
            <w:tcW w:w="22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4,305</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8,488</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8,620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For the three months ended June 30, 2023, operating expenses increased by $0.1 million, or 1.7%, compared to the three months ended June 30, 2022. Interest and financing expenses increased from $2.1 million for the three months ended June 30, 2022 to $2.2 million for the three months ended June 30, 2023 primarily due to higher cost of debt capital due to increases in base rates during the three months ended June 30, 2023 compared to the three months ended June 30, 2022. Base management fees declined from $1.0 million for the three months ended June 30, 2022 to $0.9 million for the three months ended June 30, 2023, due to lower average assets under management. General and administrative expenses decreased from $0.9 million for the three months ended June 30, 2022 to $0.8 million for the three months ended June 30, 2023, primarily due to higher professional fees in the prior year.</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For the six months ended June 30, 2023, operating expenses decreased by $0.1 million, or 1.50% compared to the six months ended June 30, 2022. Base management fees declined from $2.0 million for the six months ended June 30, 2022 to $1.9 million for the six months ended June 30, 2023, due to lower average assets under management. General and administrative expenses decreased from $1.8 million for the six months ended June 30, 2022 to $1.6 million for the six months ended June 30, 2023, primarily due to higher professional fees in the prior year.</w:t>
      </w:r>
    </w:p>
    <w:p>
      <w:pPr>
        <w:pStyle w:val="TextBody"/>
        <w:bidi w:val="0"/>
        <w:spacing w:before="120" w:after="120"/>
        <w:jc w:val="both"/>
        <w:rPr>
          <w:rFonts w:ascii="Times New Roman" w:hAnsi="Times New Roman"/>
          <w:sz w:val="20"/>
        </w:rPr>
      </w:pPr>
      <w:r>
        <w:rPr>
          <w:rFonts w:ascii="Times New Roman;serif" w:hAnsi="Times New Roman;serif"/>
          <w:b/>
          <w:i/>
          <w:sz w:val="16"/>
        </w:rPr>
        <w:t>Net realized gain (loss) on sales of investments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During the three and six months ended June 30, 2023, we recognized $2.4 million and $3.9 million of net realized losses on our portfolio investments, respectively. During both the three and six months ended June 30, 2022, we recognized $15.5 million of net realized gains on our portfolio investments, respectively.</w:t>
      </w:r>
    </w:p>
    <w:p>
      <w:pPr>
        <w:pStyle w:val="TextBody"/>
        <w:bidi w:val="0"/>
        <w:spacing w:before="120" w:after="120"/>
        <w:jc w:val="both"/>
        <w:rPr>
          <w:rFonts w:ascii="Times New Roman;serif" w:hAnsi="Times New Roman;serif"/>
          <w:b/>
          <w:i/>
          <w:sz w:val="16"/>
        </w:rPr>
      </w:pPr>
      <w:r>
        <w:rPr>
          <w:rFonts w:ascii="Times New Roman;serif" w:hAnsi="Times New Roman;serif"/>
          <w:b/>
          <w:i/>
          <w:sz w:val="16"/>
        </w:rPr>
        <w:t>Net change in unrealized appreciation (depreciation) on investments</w:t>
      </w:r>
    </w:p>
    <w:p>
      <w:pPr>
        <w:pStyle w:val="TextBody"/>
        <w:bidi w:val="0"/>
        <w:spacing w:before="0" w:after="0"/>
        <w:jc w:val="both"/>
        <w:rPr>
          <w:rFonts w:ascii="Times New Roman" w:hAnsi="Times New Roman"/>
          <w:sz w:val="20"/>
        </w:rPr>
      </w:pPr>
      <w:r>
        <w:rPr>
          <w:rFonts w:ascii="Times New Roman;serif" w:hAnsi="Times New Roman;serif"/>
          <w:b w:val="false"/>
          <w:sz w:val="16"/>
        </w:rPr>
        <w:t>Net change in unrealized appreciation (depreciation) on investments reflects the net change in the fair value of our investment portfolio. For the three and six months ended June 30, 2023, we recognized $4.6 million and $4.3 million of net change in unrealized appreciation on investments, respectively. For the three and six months ended June 30, 2022, we recognized $19.6 million and $19.4 million of net change in unrealized depreciation on investments.</w:t>
      </w:r>
      <w:r>
        <w:rPr>
          <w:rFonts w:ascii="Times New Roman" w:hAnsi="Times New Roman"/>
          <w:sz w:val="20"/>
        </w:rPr>
        <w:t xml:space="preserve"> </w:t>
      </w:r>
    </w:p>
    <w:p>
      <w:pPr>
        <w:pStyle w:val="TextBody"/>
        <w:bidi w:val="0"/>
        <w:spacing w:before="120" w:after="120"/>
        <w:jc w:val="left"/>
        <w:rPr>
          <w:rFonts w:ascii="Times New Roman;serif" w:hAnsi="Times New Roman;serif"/>
          <w:b/>
          <w:i/>
          <w:sz w:val="16"/>
        </w:rPr>
      </w:pPr>
      <w:r>
        <w:rPr>
          <w:rFonts w:ascii="Times New Roman;serif" w:hAnsi="Times New Roman;serif"/>
          <w:b/>
          <w:i/>
          <w:sz w:val="16"/>
        </w:rPr>
        <w:t>Changes in net assets resulting from operations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six months ended June 30, 2023, we recorded a net increase in net assets resulting from operations of $3.2 million and $2.6 million, respectively. Based on the weighted average shares of common stock outstanding for the three and six months ended June 30, 2023, our per share net increase in net assets resulting from operations was $1.20 and $0.96,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For the three and six months ended June 30, 2022, we recorded a net decrease in net assets resulting from operations of $5.0 million and $5.9 million. Based on the weighted average shares of common stock outstanding for the three and six months ended June 30, 2022, our per share net decrease in net assets resulting from operations was $1.86 and $2.17, respectively.</w:t>
      </w:r>
    </w:p>
    <w:p>
      <w:pPr>
        <w:pStyle w:val="TextBody"/>
        <w:bidi w:val="0"/>
        <w:spacing w:before="0" w:after="120"/>
        <w:jc w:val="both"/>
        <w:rPr>
          <w:rFonts w:ascii="Times New Roman;serif" w:hAnsi="Times New Roman;serif"/>
          <w:b/>
          <w:sz w:val="16"/>
        </w:rPr>
      </w:pPr>
      <w:r>
        <w:rPr>
          <w:rFonts w:ascii="Times New Roman;serif" w:hAnsi="Times New Roman;serif"/>
          <w:b/>
          <w:sz w:val="16"/>
        </w:rPr>
        <w:t>Financial Condition, Liquidity and Capital Resources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use and intend to use existing cash primarily to originate investments in new and existing portfolio companies, pay distributions to our stockholders, and repay indebtedness.</w:t>
      </w:r>
    </w:p>
    <w:p>
      <w:pPr>
        <w:pStyle w:val="TextBody"/>
        <w:bidi w:val="0"/>
        <w:spacing w:before="120" w:after="0"/>
        <w:jc w:val="both"/>
        <w:rPr>
          <w:rFonts w:ascii="Times New Roman" w:hAnsi="Times New Roman"/>
          <w:sz w:val="20"/>
        </w:rPr>
      </w:pPr>
      <w:r>
        <w:rPr>
          <w:rFonts w:ascii="Times New Roman;serif" w:hAnsi="Times New Roman;serif"/>
          <w:b w:val="false"/>
          <w:sz w:val="16"/>
        </w:rPr>
        <w:t>Since our IPO, we have raised approximately $136.0 million in net proceeds from equity offerings through June 30, 2023.</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KeyBank Credit Facility</w:t>
      </w:r>
    </w:p>
    <w:p>
      <w:pPr>
        <w:pStyle w:val="TextBody"/>
        <w:bidi w:val="0"/>
        <w:spacing w:before="0" w:after="120"/>
        <w:jc w:val="both"/>
        <w:rPr>
          <w:rFonts w:ascii="Times New Roman" w:hAnsi="Times New Roman"/>
          <w:sz w:val="20"/>
        </w:rPr>
      </w:pPr>
      <w:r>
        <w:rPr>
          <w:rFonts w:ascii="Times New Roman;serif" w:hAnsi="Times New Roman;serif"/>
          <w:b w:val="false"/>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sz w:val="20"/>
        </w:rPr>
        <w:t xml:space="preserve"> </w:t>
      </w:r>
      <w:r>
        <w:rPr>
          <w:rFonts w:ascii="Times New Roman;serif" w:hAnsi="Times New Roman;serif"/>
          <w:b w:val="false"/>
          <w:sz w:val="16"/>
        </w:rPr>
        <w:t>As of June 30, 2023</w:t>
      </w:r>
      <w:r>
        <w:rPr>
          <w:rFonts w:ascii="Times New Roman" w:hAnsi="Times New Roman"/>
          <w:sz w:val="20"/>
        </w:rPr>
        <w:t xml:space="preserve"> </w:t>
      </w:r>
      <w:r>
        <w:rPr>
          <w:rFonts w:ascii="Times New Roman;serif" w:hAnsi="Times New Roman;serif"/>
          <w:b w:val="false"/>
          <w:sz w:val="16"/>
        </w:rPr>
        <w:t>, there were draws of $56.4</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2023, assets pledged to secure the KeyBank Credit Facility had a fair value of $120.5 million.</w:t>
      </w:r>
      <w:r>
        <w:rPr>
          <w:rFonts w:ascii="Times New Roman" w:hAnsi="Times New Roman"/>
          <w:sz w:val="20"/>
        </w:rPr>
        <w:t xml:space="preserve"> </w:t>
      </w:r>
    </w:p>
    <w:p>
      <w:pPr>
        <w:pStyle w:val="TextBody"/>
        <w:bidi w:val="0"/>
        <w:spacing w:before="0" w:after="120"/>
        <w:jc w:val="both"/>
        <w:rPr>
          <w:rFonts w:ascii="Times New Roman" w:hAnsi="Times New Roman"/>
          <w:sz w:val="20"/>
        </w:rPr>
      </w:pPr>
      <w:r>
        <w:rPr>
          <w:rFonts w:ascii="Times New Roman;serif" w:hAnsi="Times New Roman;serif"/>
          <w:b/>
          <w:sz w:val="16"/>
        </w:rPr>
        <w:t>2032 Convertible Notes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On April 1, 2022, the Company issued $15.0</w:t>
      </w:r>
      <w:r>
        <w:rPr>
          <w:rFonts w:ascii="Times New Roman" w:hAnsi="Times New Roman"/>
          <w:sz w:val="20"/>
        </w:rPr>
        <w:t xml:space="preserve"> </w:t>
      </w:r>
      <w:r>
        <w:rPr>
          <w:rFonts w:ascii="Times New Roman;serif" w:hAnsi="Times New Roman;serif"/>
          <w:b w:val="false"/>
          <w:sz w:val="16"/>
        </w:rPr>
        <w:t>million in aggregate principal amount of 5.25% fixed-rate convertible notes due April 1, 2032</w:t>
      </w:r>
      <w:r>
        <w:rPr>
          <w:rFonts w:ascii="Times New Roman" w:hAnsi="Times New Roman"/>
          <w:sz w:val="20"/>
        </w:rPr>
        <w:t xml:space="preserve"> </w:t>
      </w:r>
      <w:r>
        <w:rPr>
          <w:rFonts w:ascii="Times New Roman;serif" w:hAnsi="Times New Roman;serif"/>
          <w:b w:val="false"/>
          <w:sz w:val="16"/>
        </w:rPr>
        <w:t>(the “2032 Convertible Notes”).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sz w:val="20"/>
        </w:rPr>
        <w:t xml:space="preserve"> </w:t>
      </w:r>
      <w:r>
        <w:rPr>
          <w:rFonts w:ascii="Times New Roman;serif" w:hAnsi="Times New Roman;serif"/>
          <w:b w:val="false"/>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the Company had $15.0</w:t>
      </w:r>
      <w:r>
        <w:rPr>
          <w:rFonts w:ascii="Times New Roman" w:hAnsi="Times New Roman"/>
          <w:sz w:val="20"/>
        </w:rPr>
        <w:t xml:space="preserve"> </w:t>
      </w:r>
      <w:r>
        <w:rPr>
          <w:rFonts w:ascii="Times New Roman;serif" w:hAnsi="Times New Roman;serif"/>
          <w:b w:val="false"/>
          <w:sz w:val="16"/>
        </w:rPr>
        <w:t>million in 2032 Convertible Notes outstanding.</w:t>
      </w:r>
    </w:p>
    <w:p>
      <w:pPr>
        <w:pStyle w:val="TextBody"/>
        <w:bidi w:val="0"/>
        <w:spacing w:before="120" w:after="120"/>
        <w:jc w:val="both"/>
        <w:rPr>
          <w:rFonts w:ascii="Times New Roman;serif" w:hAnsi="Times New Roman;serif"/>
          <w:b/>
          <w:sz w:val="16"/>
        </w:rPr>
      </w:pPr>
      <w:r>
        <w:rPr>
          <w:rFonts w:ascii="Times New Roman;serif" w:hAnsi="Times New Roman;serif"/>
          <w:b/>
          <w:sz w:val="16"/>
        </w:rPr>
        <w:t>2026 Notes</w:t>
      </w:r>
    </w:p>
    <w:p>
      <w:pPr>
        <w:pStyle w:val="TextBody"/>
        <w:bidi w:val="0"/>
        <w:spacing w:before="0" w:after="0"/>
        <w:jc w:val="both"/>
        <w:rPr>
          <w:rFonts w:ascii="Times New Roman" w:hAnsi="Times New Roman"/>
          <w:sz w:val="20"/>
        </w:rPr>
      </w:pPr>
      <w:r>
        <w:rPr>
          <w:rFonts w:ascii="Times New Roman;serif" w:hAnsi="Times New Roman;serif"/>
          <w:b w:val="false"/>
          <w:sz w:val="16"/>
        </w:rPr>
        <w:t>On October 29, 2021, the Company issued $50.0</w:t>
      </w:r>
      <w:r>
        <w:rPr>
          <w:rFonts w:ascii="Times New Roman" w:hAnsi="Times New Roman"/>
          <w:sz w:val="20"/>
        </w:rPr>
        <w:t xml:space="preserve"> </w:t>
      </w:r>
      <w:r>
        <w:rPr>
          <w:rFonts w:ascii="Times New Roman;serif" w:hAnsi="Times New Roman;serif"/>
          <w:b w:val="false"/>
          <w:sz w:val="16"/>
        </w:rPr>
        <w:t xml:space="preserve">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serif" w:hAnsi="Times New Roman;serif"/>
          <w:b w:val="false"/>
          <w:i/>
          <w:sz w:val="16"/>
        </w:rPr>
        <w:t>pari passu</w:t>
      </w:r>
      <w:r>
        <w:rPr>
          <w:rFonts w:ascii="Times New Roman;serif" w:hAnsi="Times New Roman;serif"/>
          <w:sz w:val="16"/>
        </w:rPr>
        <w:t xml:space="preserve"> </w:t>
      </w:r>
      <w:r>
        <w:rPr>
          <w:rFonts w:ascii="Times New Roman;serif" w:hAnsi="Times New Roman;serif"/>
          <w:b w:val="false"/>
          <w:sz w:val="16"/>
        </w:rPr>
        <w:t>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the Company had approximately $50.0</w:t>
      </w:r>
      <w:r>
        <w:rPr>
          <w:rFonts w:ascii="Times New Roman" w:hAnsi="Times New Roman"/>
          <w:sz w:val="20"/>
        </w:rPr>
        <w:t xml:space="preserve"> </w:t>
      </w:r>
      <w:r>
        <w:rPr>
          <w:rFonts w:ascii="Times New Roman;serif" w:hAnsi="Times New Roman;serif"/>
          <w:b w:val="false"/>
          <w:sz w:val="16"/>
        </w:rPr>
        <w:t>million in aggregate principal amount of 2026 Notes outstanding.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sz w:val="16"/>
        </w:rPr>
      </w:pPr>
      <w:r>
        <w:rPr>
          <w:rFonts w:ascii="Times New Roman;serif" w:hAnsi="Times New Roman;serif"/>
          <w:b/>
          <w:sz w:val="16"/>
        </w:rPr>
        <w:t>2022 Notes</w:t>
      </w:r>
    </w:p>
    <w:p>
      <w:pPr>
        <w:pStyle w:val="TextBody"/>
        <w:bidi w:val="0"/>
        <w:spacing w:before="0" w:after="0"/>
        <w:jc w:val="both"/>
        <w:rPr>
          <w:rFonts w:ascii="Times New Roman" w:hAnsi="Times New Roman"/>
          <w:sz w:val="20"/>
        </w:rPr>
      </w:pPr>
      <w:r>
        <w:rPr>
          <w:rFonts w:ascii="Times New Roman;serif" w:hAnsi="Times New Roman;serif"/>
          <w:b w:val="false"/>
          <w:sz w:val="16"/>
        </w:rPr>
        <w:t>On May 16, 2017, the Company issued $70.0</w:t>
      </w:r>
      <w:r>
        <w:rPr>
          <w:rFonts w:ascii="Times New Roman" w:hAnsi="Times New Roman"/>
          <w:sz w:val="20"/>
        </w:rPr>
        <w:t xml:space="preserve"> </w:t>
      </w:r>
      <w:r>
        <w:rPr>
          <w:rFonts w:ascii="Times New Roman;serif" w:hAnsi="Times New Roman;serif"/>
          <w:b w:val="false"/>
          <w:sz w:val="16"/>
        </w:rPr>
        <w:t>million in aggregate principal amount of 6.0% fixed-rate notes due May 31, 2022</w:t>
      </w:r>
      <w:r>
        <w:rPr>
          <w:rFonts w:ascii="Times New Roman" w:hAnsi="Times New Roman"/>
          <w:sz w:val="20"/>
        </w:rPr>
        <w:t xml:space="preserve"> </w:t>
      </w:r>
      <w:r>
        <w:rPr>
          <w:rFonts w:ascii="Times New Roman;serif" w:hAnsi="Times New Roman;serif"/>
          <w:b w:val="false"/>
          <w:sz w:val="16"/>
        </w:rPr>
        <w:t>(the “2022 Notes”). On May 25, 2017, we issued an additional $5.0</w:t>
      </w:r>
      <w:r>
        <w:rPr>
          <w:rFonts w:ascii="Times New Roman" w:hAnsi="Times New Roman"/>
          <w:sz w:val="20"/>
        </w:rPr>
        <w:t xml:space="preserve"> </w:t>
      </w:r>
      <w:r>
        <w:rPr>
          <w:rFonts w:ascii="Times New Roman;serif" w:hAnsi="Times New Roman;serif"/>
          <w:b w:val="false"/>
          <w:sz w:val="16"/>
        </w:rPr>
        <w:t>million in aggregate principal amount of the 2022 Notes pursuant to a partial exercise of the underwriters’ overallotment option. On November 1, 2021, we notified the Trustee for the 2022 Notes of the Company's election to redeem $50.0 million aggregate principal amount of the 2022 Notes outstanding. The redemption was completed on December 6, 2021. On May 31, 2022, the 2022 Notes reached maturity, and the entire outstanding principal of the 2022 Notes became payable and was paid by the Company. Accordingly, as of June 30, 2023, there were no 2022 Notes outstanding.</w:t>
      </w:r>
    </w:p>
    <w:p>
      <w:pPr>
        <w:pStyle w:val="TextBody"/>
        <w:bidi w:val="0"/>
        <w:spacing w:before="120" w:after="0"/>
        <w:jc w:val="both"/>
        <w:rPr>
          <w:rFonts w:ascii="Times New Roman" w:hAnsi="Times New Roman"/>
          <w:sz w:val="20"/>
        </w:rPr>
      </w:pPr>
      <w:r>
        <w:rPr>
          <w:rFonts w:ascii="Times New Roman;serif" w:hAnsi="Times New Roman;serif"/>
          <w:b w:val="false"/>
          <w:sz w:val="16"/>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w:t>
      </w:r>
      <w:r>
        <w:rPr>
          <w:rFonts w:ascii="Times New Roman" w:hAnsi="Times New Roman"/>
          <w:sz w:val="20"/>
        </w:rPr>
        <w:t xml:space="preserve"> </w:t>
      </w:r>
      <w:r>
        <w:rPr>
          <w:rFonts w:ascii="Times New Roman;serif" w:hAnsi="Times New Roman;serif"/>
          <w:b w:val="false"/>
          <w:sz w:val="16"/>
        </w:rPr>
        <w:t>The 2022 Notes were listed on the NASDAQ Global Select Market under the trading symbol “CPTAL” with a par value of $25.00 per share.</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2022 Convertible Notes</w:t>
      </w:r>
    </w:p>
    <w:p>
      <w:pPr>
        <w:pStyle w:val="TextBody"/>
        <w:bidi w:val="0"/>
        <w:spacing w:before="0" w:after="0"/>
        <w:jc w:val="both"/>
        <w:rPr>
          <w:rFonts w:ascii="Times New Roman" w:hAnsi="Times New Roman"/>
          <w:sz w:val="20"/>
        </w:rPr>
      </w:pPr>
      <w:r>
        <w:rPr>
          <w:rFonts w:ascii="Times New Roman;serif" w:hAnsi="Times New Roman;serif"/>
          <w:b w:val="false"/>
          <w:sz w:val="16"/>
        </w:rPr>
        <w:t>On May 26, 2017, the Company issued $50.0</w:t>
      </w:r>
      <w:r>
        <w:rPr>
          <w:rFonts w:ascii="Times New Roman" w:hAnsi="Times New Roman"/>
          <w:sz w:val="20"/>
        </w:rPr>
        <w:t xml:space="preserve"> </w:t>
      </w:r>
      <w:r>
        <w:rPr>
          <w:rFonts w:ascii="Times New Roman;serif" w:hAnsi="Times New Roman;serif"/>
          <w:b w:val="false"/>
          <w:sz w:val="16"/>
        </w:rPr>
        <w:t>million in aggregate principal amount of 5.75% fixed-rate</w:t>
      </w:r>
      <w:r>
        <w:rPr>
          <w:rFonts w:ascii="Times New Roman" w:hAnsi="Times New Roman"/>
          <w:sz w:val="20"/>
        </w:rPr>
        <w:t xml:space="preserve"> </w:t>
      </w:r>
      <w:r>
        <w:rPr>
          <w:rFonts w:ascii="Times New Roman;serif" w:hAnsi="Times New Roman;serif"/>
          <w:b w:val="false"/>
          <w:sz w:val="16"/>
        </w:rPr>
        <w:t>convertible notes due May 31, 2022</w:t>
      </w:r>
      <w:r>
        <w:rPr>
          <w:rFonts w:ascii="Times New Roman" w:hAnsi="Times New Roman"/>
          <w:sz w:val="20"/>
        </w:rPr>
        <w:t xml:space="preserve"> </w:t>
      </w:r>
      <w:r>
        <w:rPr>
          <w:rFonts w:ascii="Times New Roman;serif" w:hAnsi="Times New Roman;serif"/>
          <w:b w:val="false"/>
          <w:sz w:val="16"/>
        </w:rPr>
        <w:t>(the “2022 Convertible Notes”). On June 26, 2017, we issued an additional $2.1</w:t>
      </w:r>
      <w:r>
        <w:rPr>
          <w:rFonts w:ascii="Times New Roman" w:hAnsi="Times New Roman"/>
          <w:sz w:val="20"/>
        </w:rPr>
        <w:t xml:space="preserve"> </w:t>
      </w:r>
      <w:r>
        <w:rPr>
          <w:rFonts w:ascii="Times New Roman;serif" w:hAnsi="Times New Roman;serif"/>
          <w:b w:val="false"/>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June 30, 2023, there were no 2022 Convertible Notes outstanding.</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Interest on the 2022 Convertible Notes was payable quarterly.</w:t>
      </w:r>
      <w:r>
        <w:rPr>
          <w:rFonts w:ascii="Times New Roman" w:hAnsi="Times New Roman"/>
          <w:sz w:val="20"/>
        </w:rPr>
        <w:t xml:space="preserve"> </w:t>
      </w:r>
      <w:r>
        <w:rPr>
          <w:rFonts w:ascii="Times New Roman;serif" w:hAnsi="Times New Roman;serif"/>
          <w:b w:val="false"/>
          <w:sz w:val="16"/>
        </w:rPr>
        <w:t>The 2022 Convertible Notes were listed on the NASDAQ Capital Market under the trading symbol “CPTAG” with a par value of $25.00 per share.</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Asset Coverage Ratio</w:t>
      </w:r>
    </w:p>
    <w:p>
      <w:pPr>
        <w:pStyle w:val="TextBody"/>
        <w:bidi w:val="0"/>
        <w:spacing w:before="0" w:after="0"/>
        <w:jc w:val="both"/>
        <w:rPr>
          <w:rFonts w:ascii="Times New Roman" w:hAnsi="Times New Roman"/>
          <w:sz w:val="20"/>
        </w:rPr>
      </w:pPr>
      <w:r>
        <w:rPr>
          <w:rFonts w:ascii="Times New Roman;serif" w:hAnsi="Times New Roman;serif"/>
          <w:b w:val="false"/>
          <w:sz w:val="16"/>
        </w:rPr>
        <w:t>We are only allowed to borrow money such that our asset coverage, as defined in the 1940 Act, equals at least 150% if certain requirements are met, after such borrowing, with certain limited exceptions. As of June 30, 2023, our asset coverage ratio was 178%. If our asset coverage ratio falls below 150% due a decline in the fair market of our portfolio, we may be limited in our ability to raise additional debt.</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Cash and Cash Equivalents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we had $6.3 million in cash and cash equivalents.</w:t>
      </w:r>
    </w:p>
    <w:p>
      <w:pPr>
        <w:pStyle w:val="TextBody"/>
        <w:bidi w:val="0"/>
        <w:spacing w:before="120" w:after="120"/>
        <w:jc w:val="both"/>
        <w:rPr>
          <w:rFonts w:ascii="Times New Roman" w:hAnsi="Times New Roman"/>
          <w:sz w:val="20"/>
        </w:rPr>
      </w:pPr>
      <w:r>
        <w:rPr>
          <w:rFonts w:ascii="Times New Roman;serif" w:hAnsi="Times New Roman;serif"/>
          <w:b/>
          <w:sz w:val="16"/>
        </w:rPr>
        <w:t>Contractual Obligations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A summary of our significant contractual payment obligations as of June 30, 2023 are as follows (dollars in millions):</w:t>
      </w:r>
    </w:p>
    <w:tbl>
      <w:tblPr>
        <w:tblW w:w="6882" w:type="dxa"/>
        <w:jc w:val="left"/>
        <w:tblInd w:w="0" w:type="dxa"/>
        <w:tblLayout w:type="fixed"/>
        <w:tblCellMar>
          <w:top w:w="28" w:type="dxa"/>
          <w:left w:w="28" w:type="dxa"/>
          <w:bottom w:w="28" w:type="dxa"/>
          <w:right w:w="28" w:type="dxa"/>
        </w:tblCellMar>
      </w:tblPr>
      <w:tblGrid>
        <w:gridCol w:w="2161"/>
        <w:gridCol w:w="146"/>
        <w:gridCol w:w="217"/>
        <w:gridCol w:w="383"/>
        <w:gridCol w:w="146"/>
        <w:gridCol w:w="146"/>
        <w:gridCol w:w="196"/>
        <w:gridCol w:w="346"/>
        <w:gridCol w:w="146"/>
        <w:gridCol w:w="146"/>
        <w:gridCol w:w="196"/>
        <w:gridCol w:w="511"/>
        <w:gridCol w:w="146"/>
        <w:gridCol w:w="146"/>
        <w:gridCol w:w="209"/>
        <w:gridCol w:w="451"/>
        <w:gridCol w:w="146"/>
        <w:gridCol w:w="146"/>
        <w:gridCol w:w="196"/>
        <w:gridCol w:w="51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8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 Obligations Payments Due by Period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w:t>
              <w:br/>
              <w:t>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 – 3</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 – 5</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More</w:t>
              <w:br/>
              <w:t>Than</w:t>
              <w:br/>
              <w:t>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191"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91"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Contractual Obligations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 w:hAnsi="Times New Roman"/>
          <w:sz w:val="20"/>
        </w:rPr>
      </w:pPr>
      <w:r>
        <w:rPr>
          <w:rFonts w:ascii="Times New Roman;serif" w:hAnsi="Times New Roman;serif"/>
          <w:b/>
          <w:sz w:val="16"/>
        </w:rPr>
        <w:t>Distributions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For the three and six months ended June 30, 2023, the Company made a distribution of $0.22 and $0.40 per share, respectively. The Company’s Board determined not to declare a distribution for the first and second quarter of 2022.</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Tax characteristics of all distributions paid are reported to stockholders on Form 1099 after the end of the calendar year. There were no distributions for the year ended December 31, 2022. Distributions may be subject to reclassification based on future dividends and operating results and will not be determined until the end of the year.</w:t>
      </w:r>
      <w:r>
        <w:rPr>
          <w:rFonts w:ascii="Times New Roman" w:hAnsi="Times New Roman"/>
          <w:sz w:val="20"/>
        </w:rPr>
        <w:t xml:space="preserve"> </w:t>
      </w:r>
    </w:p>
    <w:p>
      <w:pPr>
        <w:pStyle w:val="TextBody"/>
        <w:bidi w:val="0"/>
        <w:spacing w:before="120" w:after="120"/>
        <w:jc w:val="both"/>
        <w:rPr>
          <w:rFonts w:ascii="Times New Roman;serif" w:hAnsi="Times New Roman;serif"/>
          <w:b/>
          <w:sz w:val="16"/>
        </w:rPr>
      </w:pPr>
      <w:r>
        <w:rPr>
          <w:rFonts w:ascii="Times New Roman;serif" w:hAnsi="Times New Roman;serif"/>
          <w:b/>
          <w:sz w:val="16"/>
        </w:rPr>
        <w:t>Related Parties</w:t>
      </w:r>
    </w:p>
    <w:p>
      <w:pPr>
        <w:pStyle w:val="TextBody"/>
        <w:bidi w:val="0"/>
        <w:spacing w:before="0" w:after="0"/>
        <w:jc w:val="both"/>
        <w:rPr>
          <w:rFonts w:ascii="Times New Roman" w:hAnsi="Times New Roman"/>
          <w:sz w:val="20"/>
        </w:rPr>
      </w:pPr>
      <w:r>
        <w:rPr>
          <w:rFonts w:ascii="Times New Roman;serif" w:hAnsi="Times New Roman;serif"/>
          <w:b w:val="false"/>
          <w:sz w:val="16"/>
        </w:rPr>
        <w:t>On July 1, 2021, we entered into the Investment Advisory Agreement with the Investment Adviser.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Investment Advisers Act of 1940, as amended. The Investment Adviser is an affiliate of BC Partners Advisors L.P. for U.S. regulatory purposes. Mount Logan Capital Inc. is the ultimate control person of the Investment Adviser.</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bidi w:val="0"/>
        <w:spacing w:before="120" w:after="120"/>
        <w:jc w:val="both"/>
        <w:rPr>
          <w:rFonts w:ascii="Times New Roman;serif" w:hAnsi="Times New Roman;serif"/>
          <w:b/>
          <w:sz w:val="16"/>
        </w:rPr>
      </w:pPr>
      <w:r>
        <w:rPr>
          <w:rFonts w:ascii="Times New Roman;serif" w:hAnsi="Times New Roman;serif"/>
          <w:b/>
          <w:sz w:val="16"/>
        </w:rPr>
        <w:t>Off-Balance Sheet Arrangements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and December 31, 2022, the Company had the following outstanding unfunded commitments to existing portfolio companies (dollars in thousands):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440"/>
        <w:gridCol w:w="2824"/>
        <w:gridCol w:w="274"/>
        <w:gridCol w:w="843"/>
        <w:gridCol w:w="146"/>
        <w:gridCol w:w="364"/>
        <w:gridCol w:w="1120"/>
        <w:gridCol w:w="194"/>
      </w:tblGrid>
      <w:tr>
        <w:trPr/>
        <w:tc>
          <w:tcPr>
            <w:tcW w:w="4440"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w:t>
            </w:r>
          </w:p>
        </w:tc>
        <w:tc>
          <w:tcPr>
            <w:tcW w:w="11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Accordion Partners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897</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Accordion Partners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BetaNXT, Inc.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Bradshaw International, Inc.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Critical Nurse Staffing,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Critical Nurse Staffing,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540</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Dentive,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541</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Dentive,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Epic Staffing Group</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Great Lakes Funding II LLC - Series A</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Joint Venture</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GreenPark Infrastructure, LLC - Series M-1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Common Stock and Membership Units</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Keg Logistics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436</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Marble Point Credit Management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1117"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vAlign w:val="center"/>
          </w:tcPr>
          <w:p>
            <w:pPr>
              <w:pStyle w:val="TableContents"/>
              <w:bidi w:val="0"/>
              <w:spacing w:before="0" w:after="0"/>
              <w:ind w:left="0" w:right="0" w:hanging="0"/>
              <w:jc w:val="righ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Premier Imaging,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1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94" w:type="dxa"/>
            <w:tcBorders/>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PhyNet Dermatology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Taoglas Group Holdings Limited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418</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VBC Spine Opco, LLC (DxTx Pain and Spine LLC)</w:t>
            </w:r>
            <w:r>
              <w:rPr>
                <w:rFonts w:ascii="Times New Roman;serif" w:hAnsi="Times New Roman;serif"/>
                <w:b w:val="false"/>
                <w:sz w:val="11"/>
              </w:rPr>
              <w:t>(1)</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VBC Spine Opco, LLC (DxTx Pain and Spine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146" w:type="dxa"/>
            <w:tcBorders/>
            <w:vAlign w:val="center"/>
          </w:tcPr>
          <w:p>
            <w:pPr>
              <w:pStyle w:val="TableContents"/>
              <w:bidi w:val="0"/>
              <w:spacing w:before="0" w:after="0"/>
              <w:ind w:left="0" w:right="0" w:hanging="0"/>
              <w:jc w:val="left"/>
              <w:rPr/>
            </w:pPr>
            <w:r>
              <w:rPr/>
              <w:t> </w:t>
            </w:r>
          </w:p>
        </w:tc>
        <w:tc>
          <w:tcPr>
            <w:tcW w:w="148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4" w:type="dxa"/>
            <w:tcBorders/>
            <w:vAlign w:val="center"/>
          </w:tcPr>
          <w:p>
            <w:pPr>
              <w:pStyle w:val="TableContents"/>
              <w:bidi w:val="0"/>
              <w:spacing w:before="0" w:after="0"/>
              <w:ind w:left="0" w:right="0" w:hanging="0"/>
              <w:jc w:val="righ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Wealth Enhancement Group, LLC (Revolver)</w:t>
            </w:r>
          </w:p>
        </w:tc>
        <w:tc>
          <w:tcPr>
            <w:tcW w:w="28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First Lien/Senior Secured Debt</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Unfunded Commitments</w:t>
            </w:r>
          </w:p>
        </w:tc>
        <w:tc>
          <w:tcPr>
            <w:tcW w:w="2824"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13,787</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Delayed-draw term loan.</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sz w:val="16"/>
        </w:rPr>
      </w:pPr>
      <w:r>
        <w:rPr>
          <w:rFonts w:ascii="Times New Roman;serif" w:hAnsi="Times New Roman;serif"/>
          <w:b/>
          <w:sz w:val="16"/>
        </w:rPr>
        <w:t>Recent Developments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On August 8, 2023, the Company’s Board of Directors approved a distribution of $0.26 per share payable on August 31, 2023 to stockholders of record as of August 22, 2023.</w:t>
      </w:r>
    </w:p>
    <w:p>
      <w:pPr>
        <w:pStyle w:val="TextBody"/>
        <w:bidi w:val="0"/>
        <w:spacing w:before="120" w:after="120"/>
        <w:jc w:val="both"/>
        <w:rPr>
          <w:rFonts w:ascii="Times New Roman;serif" w:hAnsi="Times New Roman;serif"/>
          <w:b/>
          <w:sz w:val="16"/>
        </w:rPr>
      </w:pPr>
      <w:bookmarkStart w:id="11" w:name="item_3_quantitative_and_qualitative"/>
      <w:bookmarkEnd w:id="11"/>
      <w:r>
        <w:rPr>
          <w:rFonts w:ascii="Times New Roman;serif" w:hAnsi="Times New Roman;serif"/>
          <w:b/>
          <w:sz w:val="16"/>
        </w:rPr>
        <w:t>Item 3. Quantitative and Qualitative Disclosures About Market Risk</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We are subject to financial market risks, including changes in interest rates. Changes in interest rates may affect both our cost of funding and our interest income from portfolio investments and cash and cash equivalents.</w:t>
      </w:r>
    </w:p>
    <w:p>
      <w:pPr>
        <w:pStyle w:val="TextBody"/>
        <w:bidi w:val="0"/>
        <w:spacing w:before="120" w:after="0"/>
        <w:jc w:val="both"/>
        <w:rPr>
          <w:rFonts w:ascii="Times New Roman" w:hAnsi="Times New Roman"/>
          <w:sz w:val="20"/>
        </w:rPr>
      </w:pPr>
      <w:r>
        <w:rPr>
          <w:rFonts w:ascii="Times New Roman;serif" w:hAnsi="Times New Roman;serif"/>
          <w:b w:val="false"/>
          <w:sz w:val="16"/>
        </w:rPr>
        <w:t>We may hedge against interest rate fluctuations by using standard hedging instruments such as futures, options, and forward contracts subject to the requirements of the 1940 Act. For the six months ended June 30, 2023, we did not engage in hedging activities.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As of June 30, 2023, we held 47 securities bearing a variable rate of interest. Our variable rate investments represent approximately 83.2% of the fair value of our total debt investments. As of June 30, 2023, none of our variable rate securities were yielding interest at a rate equal to the established interest rate floor. As of June 30, 2023, we had $56.4 million outstanding on our KeyBank Credit Facility, which has a variable rate of interest at one-month SOFR + 2.90%, subject to an interest rate floor of 0.40%. As of June 30, 2023, all of our other interest paying liabilities, consisting of $50.0 million in 2026 Notes and $15.0 million in 2032 Convertible Notes, were bearing interest at a fixed rate.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bidi w:val="0"/>
        <w:spacing w:before="120" w:after="120"/>
        <w:jc w:val="both"/>
        <w:rPr>
          <w:rFonts w:ascii="Times New Roman" w:hAnsi="Times New Roman"/>
          <w:sz w:val="20"/>
        </w:rPr>
      </w:pPr>
      <w:r>
        <w:rPr>
          <w:rFonts w:ascii="Times New Roman;serif" w:hAnsi="Times New Roman;serif"/>
          <w:b w:val="false"/>
          <w:sz w:val="16"/>
        </w:rPr>
        <w:t>Based on our June 30, 2023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sz w:val="20"/>
        </w:rPr>
        <w:t xml:space="preserve"> </w:t>
      </w:r>
    </w:p>
    <w:tbl>
      <w:tblPr>
        <w:tblW w:w="6709" w:type="dxa"/>
        <w:jc w:val="left"/>
        <w:tblInd w:w="0" w:type="dxa"/>
        <w:tblLayout w:type="fixed"/>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Basis Point Change</w:t>
            </w:r>
          </w:p>
        </w:tc>
        <w:tc>
          <w:tcPr>
            <w:tcW w:w="21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 in interest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 in</w:t>
              <w:br/>
              <w:t>interest expense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 xml:space="preserve">(decrease) in </w:t>
              <w:br/>
              <w:t>net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Up 300 basis points</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4,410</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2,693</w:t>
            </w:r>
          </w:p>
        </w:tc>
        <w:tc>
          <w:tcPr>
            <w:tcW w:w="21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Up 200 basis points</w:t>
            </w:r>
          </w:p>
        </w:tc>
        <w:tc>
          <w:tcPr>
            <w:tcW w:w="549" w:type="dxa"/>
            <w:tcBorders/>
            <w:vAlign w:val="center"/>
          </w:tcPr>
          <w:p>
            <w:pPr>
              <w:pStyle w:val="TableContents"/>
              <w:bidi w:val="0"/>
              <w:spacing w:before="0" w:after="0"/>
              <w:ind w:left="0" w:right="0" w:hanging="0"/>
              <w:jc w:val="left"/>
              <w:rPr/>
            </w:pPr>
            <w:r>
              <w:rPr/>
              <w:t> </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2,940</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1,796</w:t>
            </w:r>
          </w:p>
        </w:tc>
        <w:tc>
          <w:tcPr>
            <w:tcW w:w="21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Up 100 basis points</w:t>
            </w:r>
          </w:p>
        </w:tc>
        <w:tc>
          <w:tcPr>
            <w:tcW w:w="549" w:type="dxa"/>
            <w:tcBorders/>
            <w:vAlign w:val="center"/>
          </w:tcPr>
          <w:p>
            <w:pPr>
              <w:pStyle w:val="TableContents"/>
              <w:bidi w:val="0"/>
              <w:spacing w:before="0" w:after="0"/>
              <w:ind w:left="0" w:right="0" w:hanging="0"/>
              <w:jc w:val="left"/>
              <w:rPr/>
            </w:pPr>
            <w:r>
              <w:rPr/>
              <w:t> </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1,470</w:t>
            </w:r>
          </w:p>
        </w:tc>
        <w:tc>
          <w:tcPr>
            <w:tcW w:w="16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21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Down 100 basis points</w:t>
            </w:r>
          </w:p>
        </w:tc>
        <w:tc>
          <w:tcPr>
            <w:tcW w:w="549" w:type="dxa"/>
            <w:tcBorders/>
            <w:vAlign w:val="center"/>
          </w:tcPr>
          <w:p>
            <w:pPr>
              <w:pStyle w:val="TableContents"/>
              <w:bidi w:val="0"/>
              <w:spacing w:before="0" w:after="0"/>
              <w:ind w:left="0" w:right="0" w:hanging="0"/>
              <w:jc w:val="left"/>
              <w:rPr/>
            </w:pPr>
            <w:r>
              <w:rPr/>
              <w:t> </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572</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Down 200 basis points</w:t>
            </w:r>
          </w:p>
        </w:tc>
        <w:tc>
          <w:tcPr>
            <w:tcW w:w="549" w:type="dxa"/>
            <w:tcBorders/>
            <w:vAlign w:val="center"/>
          </w:tcPr>
          <w:p>
            <w:pPr>
              <w:pStyle w:val="TableContents"/>
              <w:bidi w:val="0"/>
              <w:spacing w:before="0" w:after="0"/>
              <w:ind w:left="0" w:right="0" w:hanging="0"/>
              <w:jc w:val="left"/>
              <w:rPr/>
            </w:pPr>
            <w:r>
              <w:rPr/>
              <w:t> </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Down 300 basis points</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40" w:after="120"/>
        <w:jc w:val="left"/>
        <w:rPr>
          <w:rFonts w:ascii="Times New Roman;serif" w:hAnsi="Times New Roman;serif"/>
          <w:b/>
          <w:sz w:val="16"/>
        </w:rPr>
      </w:pPr>
      <w:bookmarkStart w:id="12" w:name="item_4_controls_and_procedures"/>
      <w:bookmarkEnd w:id="12"/>
      <w:r>
        <w:rPr>
          <w:rFonts w:ascii="Times New Roman;serif" w:hAnsi="Times New Roman;serif"/>
          <w:b/>
          <w:sz w:val="16"/>
        </w:rPr>
        <w:t>Item 4. Controls and Procedures</w:t>
      </w:r>
    </w:p>
    <w:p>
      <w:pPr>
        <w:pStyle w:val="TextBody"/>
        <w:bidi w:val="0"/>
        <w:spacing w:before="0" w:after="0"/>
        <w:jc w:val="both"/>
        <w:rPr>
          <w:rFonts w:ascii="Times New Roman" w:hAnsi="Times New Roman"/>
          <w:b/>
          <w:i/>
          <w:sz w:val="16"/>
        </w:rPr>
      </w:pPr>
      <w:r>
        <w:rPr>
          <w:rFonts w:ascii="Times New Roman" w:hAnsi="Times New Roman"/>
          <w:b/>
          <w:i/>
          <w:sz w:val="16"/>
        </w:rPr>
        <w:t>(a)</w:t>
      </w:r>
    </w:p>
    <w:p>
      <w:pPr>
        <w:pStyle w:val="TextBody"/>
        <w:bidi w:val="0"/>
        <w:jc w:val="both"/>
        <w:rPr>
          <w:rFonts w:ascii="Times New Roman;serif" w:hAnsi="Times New Roman;serif"/>
          <w:b/>
          <w:i/>
          <w:sz w:val="16"/>
        </w:rPr>
      </w:pPr>
      <w:r>
        <w:rPr>
          <w:rFonts w:ascii="Times New Roman;serif" w:hAnsi="Times New Roman;serif"/>
          <w:b/>
          <w:i/>
          <w:sz w:val="16"/>
        </w:rPr>
        <w:t>Evaluation of Disclosure Controls and Procedures</w:t>
      </w:r>
    </w:p>
    <w:p>
      <w:pPr>
        <w:pStyle w:val="TextBody"/>
        <w:bidi w:val="0"/>
        <w:spacing w:before="120" w:after="120"/>
        <w:jc w:val="both"/>
        <w:rPr>
          <w:rFonts w:ascii="Times New Roman" w:hAnsi="Times New Roman"/>
          <w:sz w:val="20"/>
        </w:rPr>
      </w:pPr>
      <w:r>
        <w:rPr>
          <w:rFonts w:ascii="Times New Roman;serif" w:hAnsi="Times New Roman;serif"/>
          <w:b w:val="false"/>
          <w:sz w:val="16"/>
        </w:rPr>
        <w:t>As of June 30, 2023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r>
        <w:rPr>
          <w:rFonts w:ascii="Times New Roman" w:hAnsi="Times New Roman"/>
          <w:sz w:val="20"/>
        </w:rPr>
        <w:t xml:space="preserve"> </w:t>
      </w:r>
    </w:p>
    <w:p>
      <w:pPr>
        <w:pStyle w:val="TextBody"/>
        <w:bidi w:val="0"/>
        <w:spacing w:before="0" w:after="0"/>
        <w:jc w:val="both"/>
        <w:rPr>
          <w:rFonts w:ascii="Times New Roman" w:hAnsi="Times New Roman"/>
          <w:b/>
          <w:i/>
          <w:sz w:val="16"/>
        </w:rPr>
      </w:pPr>
      <w:r>
        <w:rPr>
          <w:rFonts w:ascii="Times New Roman" w:hAnsi="Times New Roman"/>
          <w:b/>
          <w:i/>
          <w:sz w:val="16"/>
        </w:rPr>
        <w:t>(b)</w:t>
      </w:r>
    </w:p>
    <w:p>
      <w:pPr>
        <w:pStyle w:val="TextBody"/>
        <w:bidi w:val="0"/>
        <w:jc w:val="both"/>
        <w:rPr>
          <w:rFonts w:ascii="Times New Roman;serif" w:hAnsi="Times New Roman;serif"/>
          <w:b/>
          <w:i/>
          <w:sz w:val="16"/>
        </w:rPr>
      </w:pPr>
      <w:r>
        <w:rPr>
          <w:rFonts w:ascii="Times New Roman;serif" w:hAnsi="Times New Roman;serif"/>
          <w:b/>
          <w:i/>
          <w:sz w:val="16"/>
        </w:rPr>
        <w:t>Changes in Internal Controls Over Financial Reporting</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Management has not identified any change in the Company’s internal control over financial reporting that occurred during the first quarter of 2023 that has materially affected, or is reasonably likely to materially affect, the Company’s internal control over financial reporting.</w:t>
      </w:r>
    </w:p>
    <w:p>
      <w:pPr>
        <w:pStyle w:val="TextBody"/>
        <w:bidi w:val="0"/>
        <w:spacing w:before="240" w:after="120"/>
        <w:jc w:val="both"/>
        <w:rPr>
          <w:rFonts w:ascii="Times New Roman" w:hAnsi="Times New Roman"/>
          <w:sz w:val="20"/>
        </w:rPr>
      </w:pPr>
      <w:bookmarkStart w:id="13" w:name="part_ii_other_information"/>
      <w:bookmarkEnd w:id="13"/>
      <w:r>
        <w:rPr>
          <w:rFonts w:ascii="Times New Roman;serif" w:hAnsi="Times New Roman;serif"/>
          <w:b/>
          <w:sz w:val="16"/>
        </w:rPr>
        <w:t>PART II. OTHER</w:t>
      </w:r>
      <w:r>
        <w:rPr>
          <w:rFonts w:ascii="Times New Roman" w:hAnsi="Times New Roman"/>
          <w:sz w:val="20"/>
        </w:rPr>
        <w:t xml:space="preserve"> </w:t>
      </w:r>
      <w:r>
        <w:rPr>
          <w:rFonts w:ascii="Times New Roman;serif" w:hAnsi="Times New Roman;serif"/>
          <w:b/>
          <w:sz w:val="16"/>
        </w:rPr>
        <w:t>INFORMATION</w:t>
      </w:r>
    </w:p>
    <w:p>
      <w:pPr>
        <w:pStyle w:val="TextBody"/>
        <w:bidi w:val="0"/>
        <w:spacing w:before="0" w:after="0"/>
        <w:jc w:val="both"/>
        <w:rPr>
          <w:rFonts w:ascii="Times New Roman" w:hAnsi="Times New Roman"/>
          <w:sz w:val="20"/>
        </w:rPr>
      </w:pPr>
      <w:bookmarkStart w:id="14" w:name="item_1_legal_proceedings"/>
      <w:bookmarkEnd w:id="14"/>
      <w:r>
        <w:rPr>
          <w:rFonts w:ascii="Times New Roman;serif" w:hAnsi="Times New Roman;serif"/>
          <w:b/>
          <w:sz w:val="16"/>
        </w:rPr>
        <w:t>Item 1. Legal Proceedings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if any, cannot be predicted with certainty, we do not expect that these proceedings will have a material effect upon our financial condition or results of operations.</w:t>
      </w:r>
      <w:r>
        <w:rPr>
          <w:rFonts w:ascii="Times New Roman" w:hAnsi="Times New Roman"/>
          <w:sz w:val="20"/>
        </w:rPr>
        <w:t xml:space="preserve"> </w:t>
      </w:r>
    </w:p>
    <w:p>
      <w:pPr>
        <w:pStyle w:val="TextBody"/>
        <w:bidi w:val="0"/>
        <w:spacing w:before="240" w:after="120"/>
        <w:jc w:val="both"/>
        <w:rPr>
          <w:rFonts w:ascii="Times New Roman" w:hAnsi="Times New Roman"/>
          <w:sz w:val="20"/>
        </w:rPr>
      </w:pPr>
      <w:bookmarkStart w:id="15" w:name="item_1a_risk_factors"/>
      <w:bookmarkEnd w:id="15"/>
      <w:r>
        <w:rPr>
          <w:rFonts w:ascii="Times New Roman;serif" w:hAnsi="Times New Roman;serif"/>
          <w:b/>
          <w:sz w:val="16"/>
        </w:rPr>
        <w:t>Item 1A. Risk Factors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16"/>
        </w:rPr>
        <w:t>In addition to the other information set forth in this report, you should carefully consider the factors discussed in Part I, “Item 1A. Risk Factors” in our Annual Report on Form 10-K for the fiscal year ended December 31, 2022</w:t>
      </w:r>
      <w:r>
        <w:rPr>
          <w:rFonts w:ascii="Times New Roman" w:hAnsi="Times New Roman"/>
          <w:sz w:val="20"/>
        </w:rPr>
        <w:t xml:space="preserve"> </w:t>
      </w:r>
      <w:r>
        <w:rPr>
          <w:rFonts w:ascii="Times New Roman;serif" w:hAnsi="Times New Roman;serif"/>
          <w:b w:val="false"/>
          <w:sz w:val="16"/>
        </w:rPr>
        <w:t>(the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both"/>
        <w:rPr>
          <w:rFonts w:ascii="Times New Roman;serif" w:hAnsi="Times New Roman;serif"/>
          <w:b/>
          <w:sz w:val="16"/>
        </w:rPr>
      </w:pPr>
      <w:bookmarkStart w:id="16" w:name="item_2_unregistered_sales_of_equity"/>
      <w:bookmarkEnd w:id="16"/>
      <w:r>
        <w:rPr>
          <w:rFonts w:ascii="Times New Roman;serif" w:hAnsi="Times New Roman;serif"/>
          <w:b/>
          <w:sz w:val="16"/>
        </w:rPr>
        <w:t>Item 2. Unregistered Sales of Equity Securities and Use of Proceeds</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Other than the shares issued pursuant to our DRIP, we did not engage in any sales of unregistered securities during the period covered in this report. We issued a total of 47 shares and 187 shares, respectively, of common stock under our DRIP during the three and six months ended June 30, 2023. This issuance was not subject to the registration requirements of the Securities Act. For both the three and six months ended June 30, 2023, the aggregate value of the shares of our common stock issued under our DRIP was less $0.1 million.</w:t>
      </w:r>
    </w:p>
    <w:p>
      <w:pPr>
        <w:pStyle w:val="TextBody"/>
        <w:bidi w:val="0"/>
        <w:spacing w:before="120" w:after="120"/>
        <w:jc w:val="both"/>
        <w:rPr>
          <w:rFonts w:ascii="Times New Roman;serif" w:hAnsi="Times New Roman;serif"/>
          <w:b w:val="false"/>
          <w:sz w:val="16"/>
        </w:rPr>
      </w:pPr>
      <w:r>
        <w:rPr>
          <w:rFonts w:ascii="Times New Roman;serif" w:hAnsi="Times New Roman;serif"/>
          <w:b w:val="false"/>
          <w:sz w:val="16"/>
        </w:rPr>
        <w:t>The following table sets forth information regarding recent repurchases of shares of our common stock.</w:t>
      </w:r>
    </w:p>
    <w:p>
      <w:pPr>
        <w:pStyle w:val="TextBody"/>
        <w:bidi w:val="0"/>
        <w:spacing w:before="120" w:after="0"/>
        <w:jc w:val="both"/>
        <w:rPr/>
      </w:pPr>
      <w:r>
        <w:rPr/>
        <w:t> </w:t>
      </w:r>
    </w:p>
    <w:tbl>
      <w:tblPr>
        <w:tblW w:w="10205" w:type="dxa"/>
        <w:jc w:val="left"/>
        <w:tblInd w:w="0" w:type="dxa"/>
        <w:tblLayout w:type="fixed"/>
        <w:tblCellMar>
          <w:top w:w="28" w:type="dxa"/>
          <w:left w:w="28" w:type="dxa"/>
          <w:bottom w:w="28" w:type="dxa"/>
          <w:right w:w="28" w:type="dxa"/>
        </w:tblCellMar>
      </w:tblPr>
      <w:tblGrid>
        <w:gridCol w:w="1485"/>
        <w:gridCol w:w="267"/>
        <w:gridCol w:w="1105"/>
        <w:gridCol w:w="146"/>
        <w:gridCol w:w="264"/>
        <w:gridCol w:w="197"/>
        <w:gridCol w:w="690"/>
        <w:gridCol w:w="146"/>
        <w:gridCol w:w="490"/>
        <w:gridCol w:w="2020"/>
        <w:gridCol w:w="146"/>
        <w:gridCol w:w="887"/>
        <w:gridCol w:w="661"/>
        <w:gridCol w:w="1503"/>
        <w:gridCol w:w="198"/>
      </w:tblGrid>
      <w:tr>
        <w:trPr/>
        <w:tc>
          <w:tcPr>
            <w:tcW w:w="14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Period</w:t>
            </w:r>
          </w:p>
        </w:tc>
        <w:tc>
          <w:tcPr>
            <w:tcW w:w="13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Total Number of Shares Purchased as Part of Publicly Announced Plans or Programs</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5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Approximate Dollar Value of Shares That May Yet Be Purchased Under the Plans or Programs (in millions)</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 through January 31, 2023</w:t>
            </w:r>
          </w:p>
        </w:tc>
        <w:tc>
          <w:tcPr>
            <w:tcW w:w="267"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87"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vAlign w:val="center"/>
          </w:tcPr>
          <w:p>
            <w:pPr>
              <w:pStyle w:val="TableContents"/>
              <w:bidi w:val="0"/>
              <w:spacing w:before="0" w:after="0"/>
              <w:ind w:left="0" w:right="0" w:hanging="0"/>
              <w:jc w:val="right"/>
              <w:rPr/>
            </w:pPr>
            <w:r>
              <w:rPr/>
              <w:t> </w:t>
            </w:r>
          </w:p>
        </w:tc>
        <w:tc>
          <w:tcPr>
            <w:tcW w:w="490" w:type="dxa"/>
            <w:tcBorders/>
            <w:vAlign w:val="center"/>
          </w:tcPr>
          <w:p>
            <w:pPr>
              <w:pStyle w:val="TableContents"/>
              <w:bidi w:val="0"/>
              <w:spacing w:before="0" w:after="0"/>
              <w:ind w:left="0" w:right="0" w:hanging="0"/>
              <w:jc w:val="left"/>
              <w:rPr/>
            </w:pPr>
            <w:r>
              <w:rPr/>
              <w:t> </w:t>
            </w:r>
          </w:p>
        </w:tc>
        <w:tc>
          <w:tcPr>
            <w:tcW w:w="2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6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8" w:type="dxa"/>
            <w:tcBorders/>
            <w:vAlign w:val="center"/>
          </w:tcPr>
          <w:p>
            <w:pPr>
              <w:pStyle w:val="TableContents"/>
              <w:bidi w:val="0"/>
              <w:spacing w:before="0" w:after="0"/>
              <w:ind w:left="0" w:right="0" w:hanging="0"/>
              <w:jc w:val="righ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February 1, 2023 through February 28, 2023</w:t>
            </w:r>
          </w:p>
        </w:tc>
        <w:tc>
          <w:tcPr>
            <w:tcW w:w="267"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vAlign w:val="center"/>
          </w:tcPr>
          <w:p>
            <w:pPr>
              <w:pStyle w:val="TableContents"/>
              <w:bidi w:val="0"/>
              <w:spacing w:before="0" w:after="0"/>
              <w:ind w:left="0" w:right="0" w:hanging="0"/>
              <w:jc w:val="right"/>
              <w:rPr/>
            </w:pPr>
            <w:r>
              <w:rPr/>
              <w:t> </w:t>
            </w:r>
          </w:p>
        </w:tc>
        <w:tc>
          <w:tcPr>
            <w:tcW w:w="490" w:type="dxa"/>
            <w:tcBorders/>
            <w:vAlign w:val="center"/>
          </w:tcPr>
          <w:p>
            <w:pPr>
              <w:pStyle w:val="TableContents"/>
              <w:bidi w:val="0"/>
              <w:spacing w:before="0" w:after="0"/>
              <w:ind w:left="0" w:right="0" w:hanging="0"/>
              <w:jc w:val="left"/>
              <w:rPr/>
            </w:pPr>
            <w:r>
              <w:rPr/>
              <w:t> </w:t>
            </w:r>
          </w:p>
        </w:tc>
        <w:tc>
          <w:tcPr>
            <w:tcW w:w="2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2164"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8" w:type="dxa"/>
            <w:tcBorders/>
            <w:vAlign w:val="center"/>
          </w:tcPr>
          <w:p>
            <w:pPr>
              <w:pStyle w:val="TableContents"/>
              <w:bidi w:val="0"/>
              <w:spacing w:before="0" w:after="0"/>
              <w:ind w:left="0" w:right="0" w:hanging="0"/>
              <w:jc w:val="righ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March 1, 2023 through March 31, 2023</w:t>
            </w:r>
          </w:p>
        </w:tc>
        <w:tc>
          <w:tcPr>
            <w:tcW w:w="267"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20.90</w:t>
            </w:r>
          </w:p>
        </w:tc>
        <w:tc>
          <w:tcPr>
            <w:tcW w:w="14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left"/>
              <w:rPr/>
            </w:pPr>
            <w:r>
              <w:rPr/>
              <w:t> </w:t>
            </w:r>
          </w:p>
        </w:tc>
        <w:tc>
          <w:tcPr>
            <w:tcW w:w="20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left"/>
              <w:rPr/>
            </w:pPr>
            <w:r>
              <w:rPr/>
              <w:t> </w:t>
            </w:r>
          </w:p>
        </w:tc>
        <w:tc>
          <w:tcPr>
            <w:tcW w:w="15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98" w:type="dxa"/>
            <w:tcBorders/>
            <w:vAlign w:val="center"/>
          </w:tcPr>
          <w:p>
            <w:pPr>
              <w:pStyle w:val="TableContents"/>
              <w:bidi w:val="0"/>
              <w:spacing w:before="0" w:after="0"/>
              <w:ind w:left="0" w:right="0" w:hanging="0"/>
              <w:jc w:val="lef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2023 through April 30, 2023</w:t>
            </w:r>
          </w:p>
        </w:tc>
        <w:tc>
          <w:tcPr>
            <w:tcW w:w="267"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3,551</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21.10</w:t>
            </w:r>
          </w:p>
        </w:tc>
        <w:tc>
          <w:tcPr>
            <w:tcW w:w="14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left"/>
              <w:rPr/>
            </w:pPr>
            <w:r>
              <w:rPr/>
              <w:t> </w:t>
            </w:r>
          </w:p>
        </w:tc>
        <w:tc>
          <w:tcPr>
            <w:tcW w:w="20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3,551</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left"/>
              <w:rPr/>
            </w:pPr>
            <w:r>
              <w:rPr/>
              <w:t> </w:t>
            </w:r>
          </w:p>
        </w:tc>
        <w:tc>
          <w:tcPr>
            <w:tcW w:w="15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98" w:type="dxa"/>
            <w:tcBorders/>
            <w:vAlign w:val="center"/>
          </w:tcPr>
          <w:p>
            <w:pPr>
              <w:pStyle w:val="TableContents"/>
              <w:bidi w:val="0"/>
              <w:spacing w:before="0" w:after="0"/>
              <w:ind w:left="0" w:right="0" w:hanging="0"/>
              <w:jc w:val="lef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May 1, 2023 through May 31, 2023</w:t>
            </w:r>
          </w:p>
        </w:tc>
        <w:tc>
          <w:tcPr>
            <w:tcW w:w="267"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3,644</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20.61</w:t>
            </w:r>
          </w:p>
        </w:tc>
        <w:tc>
          <w:tcPr>
            <w:tcW w:w="14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left"/>
              <w:rPr/>
            </w:pPr>
            <w:r>
              <w:rPr/>
              <w:t> </w:t>
            </w:r>
          </w:p>
        </w:tc>
        <w:tc>
          <w:tcPr>
            <w:tcW w:w="20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3,644</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left"/>
              <w:rPr/>
            </w:pPr>
            <w:r>
              <w:rPr/>
              <w:t> </w:t>
            </w:r>
          </w:p>
        </w:tc>
        <w:tc>
          <w:tcPr>
            <w:tcW w:w="15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198" w:type="dxa"/>
            <w:tcBorders/>
            <w:vAlign w:val="center"/>
          </w:tcPr>
          <w:p>
            <w:pPr>
              <w:pStyle w:val="TableContents"/>
              <w:bidi w:val="0"/>
              <w:spacing w:before="0" w:after="0"/>
              <w:ind w:left="0" w:right="0" w:hanging="0"/>
              <w:jc w:val="lef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June 1, 2023 through June 30, 2023</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19.85</w:t>
            </w:r>
          </w:p>
        </w:tc>
        <w:tc>
          <w:tcPr>
            <w:tcW w:w="146" w:type="dxa"/>
            <w:tcBorders/>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left"/>
              <w:rPr/>
            </w:pPr>
            <w:r>
              <w:rPr/>
              <w:t> </w:t>
            </w:r>
          </w:p>
        </w:tc>
        <w:tc>
          <w:tcPr>
            <w:tcW w:w="15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98" w:type="dxa"/>
            <w:tcBorders/>
            <w:vAlign w:val="center"/>
          </w:tcPr>
          <w:p>
            <w:pPr>
              <w:pStyle w:val="TableContents"/>
              <w:bidi w:val="0"/>
              <w:spacing w:before="0" w:after="0"/>
              <w:ind w:left="0" w:right="0" w:hanging="0"/>
              <w:jc w:val="left"/>
              <w:rPr/>
            </w:pPr>
            <w:r>
              <w:rPr/>
              <w:t> </w:t>
            </w:r>
          </w:p>
        </w:tc>
      </w:tr>
      <w:tr>
        <w:trPr/>
        <w:tc>
          <w:tcPr>
            <w:tcW w:w="148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216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On March 6, 2023,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pStyle w:val="TextBody"/>
        <w:bidi w:val="0"/>
        <w:spacing w:before="240" w:after="120"/>
        <w:jc w:val="both"/>
        <w:rPr>
          <w:rFonts w:ascii="Times New Roman;serif" w:hAnsi="Times New Roman;serif"/>
          <w:b/>
          <w:sz w:val="16"/>
        </w:rPr>
      </w:pPr>
      <w:bookmarkStart w:id="17" w:name="item_3_defaults_upon_senior_securities"/>
      <w:bookmarkEnd w:id="17"/>
      <w:r>
        <w:rPr>
          <w:rFonts w:ascii="Times New Roman;serif" w:hAnsi="Times New Roman;serif"/>
          <w:b/>
          <w:sz w:val="16"/>
        </w:rPr>
        <w:t>Item 3. Defaults Upon Senior Securities</w:t>
      </w:r>
    </w:p>
    <w:p>
      <w:pPr>
        <w:pStyle w:val="TextBody"/>
        <w:bidi w:val="0"/>
        <w:spacing w:before="0" w:after="0"/>
        <w:jc w:val="both"/>
        <w:rPr>
          <w:rFonts w:ascii="Times New Roman" w:hAnsi="Times New Roman"/>
          <w:sz w:val="20"/>
        </w:rPr>
      </w:pPr>
      <w:r>
        <w:rPr>
          <w:rFonts w:ascii="Times New Roman;serif" w:hAnsi="Times New Roman;serif"/>
          <w:b w:val="false"/>
          <w:sz w:val="16"/>
        </w:rPr>
        <w:t>None.</w:t>
      </w:r>
      <w:r>
        <w:rPr>
          <w:rFonts w:ascii="Times New Roman" w:hAnsi="Times New Roman"/>
          <w:sz w:val="20"/>
        </w:rPr>
        <w:t xml:space="preserve"> </w:t>
      </w:r>
    </w:p>
    <w:p>
      <w:pPr>
        <w:pStyle w:val="TextBody"/>
        <w:bidi w:val="0"/>
        <w:spacing w:before="240" w:after="120"/>
        <w:jc w:val="both"/>
        <w:rPr>
          <w:rFonts w:ascii="Times New Roman;serif" w:hAnsi="Times New Roman;serif"/>
          <w:b/>
          <w:sz w:val="16"/>
        </w:rPr>
      </w:pPr>
      <w:bookmarkStart w:id="18" w:name="item_4_mine_safety_disclosures"/>
      <w:bookmarkEnd w:id="18"/>
      <w:r>
        <w:rPr>
          <w:rFonts w:ascii="Times New Roman;serif" w:hAnsi="Times New Roman;serif"/>
          <w:b/>
          <w:sz w:val="16"/>
        </w:rPr>
        <w:t>Item 4. Mine Safety Disclosures</w:t>
      </w:r>
    </w:p>
    <w:p>
      <w:pPr>
        <w:pStyle w:val="TextBody"/>
        <w:bidi w:val="0"/>
        <w:spacing w:before="0" w:after="0"/>
        <w:jc w:val="both"/>
        <w:rPr>
          <w:rFonts w:ascii="Times New Roman" w:hAnsi="Times New Roman"/>
          <w:sz w:val="20"/>
        </w:rPr>
      </w:pPr>
      <w:r>
        <w:rPr>
          <w:rFonts w:ascii="Times New Roman;serif" w:hAnsi="Times New Roman;serif"/>
          <w:b w:val="false"/>
          <w:sz w:val="16"/>
        </w:rPr>
        <w:t>Not applicable.</w:t>
      </w:r>
      <w:r>
        <w:rPr>
          <w:rFonts w:ascii="Times New Roman" w:hAnsi="Times New Roman"/>
          <w:sz w:val="20"/>
        </w:rPr>
        <w:t xml:space="preserve"> </w:t>
      </w:r>
    </w:p>
    <w:p>
      <w:pPr>
        <w:pStyle w:val="TextBody"/>
        <w:bidi w:val="0"/>
        <w:spacing w:before="240" w:after="120"/>
        <w:jc w:val="both"/>
        <w:rPr>
          <w:rFonts w:ascii="Times New Roman" w:hAnsi="Times New Roman"/>
          <w:sz w:val="20"/>
        </w:rPr>
      </w:pPr>
      <w:bookmarkStart w:id="19" w:name="item_5_other_information"/>
      <w:bookmarkEnd w:id="19"/>
      <w:r>
        <w:rPr>
          <w:rFonts w:ascii="Times New Roman;serif" w:hAnsi="Times New Roman;serif"/>
          <w:b/>
          <w:sz w:val="16"/>
        </w:rPr>
        <w:t>Item 5. Other</w:t>
      </w:r>
      <w:r>
        <w:rPr>
          <w:rFonts w:ascii="Times New Roman" w:hAnsi="Times New Roman"/>
          <w:sz w:val="20"/>
        </w:rPr>
        <w:t xml:space="preserve"> </w:t>
      </w:r>
      <w:r>
        <w:rPr>
          <w:rFonts w:ascii="Times New Roman;serif" w:hAnsi="Times New Roman;serif"/>
          <w:b/>
          <w:sz w:val="16"/>
        </w:rPr>
        <w:t>Information</w:t>
      </w:r>
    </w:p>
    <w:p>
      <w:pPr>
        <w:pStyle w:val="TextBody"/>
        <w:bidi w:val="0"/>
        <w:spacing w:before="0" w:after="0"/>
        <w:jc w:val="both"/>
        <w:rPr>
          <w:rFonts w:ascii="Times New Roman" w:hAnsi="Times New Roman"/>
          <w:sz w:val="20"/>
        </w:rPr>
      </w:pPr>
      <w:r>
        <w:rPr>
          <w:rFonts w:ascii="Times New Roman;serif" w:hAnsi="Times New Roman;serif"/>
          <w:b w:val="false"/>
          <w:sz w:val="16"/>
        </w:rPr>
        <w:t>None.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 w:hAnsi="Times New Roman"/>
          <w:sz w:val="20"/>
        </w:rPr>
      </w:pPr>
      <w:bookmarkStart w:id="20" w:name="item_6_exhibits"/>
      <w:bookmarkEnd w:id="20"/>
      <w:r>
        <w:rPr>
          <w:rFonts w:ascii="Times New Roman;serif" w:hAnsi="Times New Roman;serif"/>
          <w:b/>
          <w:sz w:val="16"/>
        </w:rPr>
        <w:t>Item 6. Exhibits</w:t>
      </w:r>
      <w:r>
        <w:rPr>
          <w:rFonts w:ascii="Times New Roman" w:hAnsi="Times New Roman"/>
          <w:sz w:val="20"/>
        </w:rPr>
        <w:t xml:space="preserve"> </w:t>
      </w:r>
    </w:p>
    <w:p>
      <w:pPr>
        <w:pStyle w:val="TextBody"/>
        <w:bidi w:val="0"/>
        <w:spacing w:before="0" w:after="120"/>
        <w:jc w:val="both"/>
        <w:rPr>
          <w:rFonts w:ascii="Times New Roman;serif" w:hAnsi="Times New Roman;serif"/>
          <w:b w:val="false"/>
          <w:sz w:val="16"/>
        </w:rPr>
      </w:pPr>
      <w:r>
        <w:rPr>
          <w:rFonts w:ascii="Times New Roman;serif" w:hAnsi="Times New Roman;serif"/>
          <w:b w:val="false"/>
          <w:sz w:val="16"/>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745"/>
        <w:gridCol w:w="146"/>
        <w:gridCol w:w="9314"/>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7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283"/>
              <w:ind w:left="0" w:right="0" w:hanging="0"/>
              <w:jc w:val="left"/>
              <w:rPr>
                <w:sz w:val="4"/>
                <w:szCs w:val="4"/>
              </w:rPr>
            </w:pPr>
            <w:r>
              <w:rPr>
                <w:sz w:val="4"/>
                <w:szCs w:val="4"/>
              </w:rPr>
            </w:r>
          </w:p>
        </w:tc>
      </w:tr>
      <w:tr>
        <w:trPr/>
        <w:tc>
          <w:tcPr>
            <w:tcW w:w="745"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14"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 of Document</w:t>
            </w:r>
          </w:p>
        </w:tc>
      </w:tr>
      <w:tr>
        <w:trPr/>
        <w:tc>
          <w:tcPr>
            <w:tcW w:w="745"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6"/>
                  <w:u w:val="single"/>
                </w:rPr>
                <w:t>3.1</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3">
              <w:r>
                <w:rPr>
                  <w:rStyle w:val="InternetLink"/>
                  <w:rFonts w:ascii="Times New Roman;serif" w:hAnsi="Times New Roman;serif"/>
                  <w:b w:val="false"/>
                  <w:sz w:val="16"/>
                  <w:u w:val="single"/>
                </w:rPr>
                <w:t>Articles of Amendment and Restatement</w:t>
              </w:r>
            </w:hyperlink>
            <w:hyperlink r:id="rId4">
              <w:r>
                <w:rPr>
                  <w:rStyle w:val="InternetLink"/>
                  <w:rFonts w:ascii="Times New Roman;serif" w:hAnsi="Times New Roman;serif"/>
                  <w:b w:val="false"/>
                  <w:sz w:val="11"/>
                  <w:u w:val="single"/>
                </w:rPr>
                <w:t>(1)</w:t>
              </w:r>
            </w:hyperlink>
          </w:p>
        </w:tc>
      </w:tr>
      <w:tr>
        <w:trPr/>
        <w:tc>
          <w:tcPr>
            <w:tcW w:w="745"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16"/>
                  <w:u w:val="single"/>
                </w:rPr>
                <w:t>3.2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6">
              <w:r>
                <w:rPr>
                  <w:rStyle w:val="InternetLink"/>
                  <w:rFonts w:ascii="Times New Roman;serif" w:hAnsi="Times New Roman;serif"/>
                  <w:b w:val="false"/>
                  <w:sz w:val="16"/>
                  <w:u w:val="single"/>
                </w:rPr>
                <w:t>Articles of Amendment</w:t>
              </w:r>
            </w:hyperlink>
            <w:hyperlink r:id="rId7">
              <w:r>
                <w:rPr>
                  <w:rStyle w:val="InternetLink"/>
                  <w:rFonts w:ascii="Times New Roman;serif" w:hAnsi="Times New Roman;serif"/>
                  <w:b w:val="false"/>
                  <w:sz w:val="11"/>
                  <w:u w:val="single"/>
                </w:rPr>
                <w:t>(4)</w:t>
              </w:r>
            </w:hyperlink>
          </w:p>
        </w:tc>
      </w:tr>
      <w:tr>
        <w:trPr/>
        <w:tc>
          <w:tcPr>
            <w:tcW w:w="745"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16"/>
                  <w:u w:val="single"/>
                </w:rPr>
                <w:t>3.3</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9">
              <w:r>
                <w:rPr>
                  <w:rStyle w:val="InternetLink"/>
                  <w:rFonts w:ascii="Times New Roman;serif" w:hAnsi="Times New Roman;serif"/>
                  <w:b w:val="false"/>
                  <w:sz w:val="16"/>
                  <w:u w:val="single"/>
                </w:rPr>
                <w:t>Certificate of Limited Partnership of CapitalSouth Partners Fund II Limited Partnership</w:t>
              </w:r>
            </w:hyperlink>
            <w:hyperlink r:id="rId10">
              <w:r>
                <w:rPr>
                  <w:rStyle w:val="InternetLink"/>
                  <w:rFonts w:ascii="Times New Roman;serif" w:hAnsi="Times New Roman;serif"/>
                  <w:b w:val="false"/>
                  <w:sz w:val="11"/>
                  <w:u w:val="single"/>
                </w:rPr>
                <w:t>(2)</w:t>
              </w:r>
            </w:hyperlink>
          </w:p>
        </w:tc>
      </w:tr>
      <w:tr>
        <w:trPr/>
        <w:tc>
          <w:tcPr>
            <w:tcW w:w="745" w:type="dxa"/>
            <w:tcBorders/>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16"/>
                  <w:u w:val="single"/>
                </w:rPr>
                <w:t>3.4</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12">
              <w:r>
                <w:rPr>
                  <w:rStyle w:val="InternetLink"/>
                  <w:rFonts w:ascii="Times New Roman;serif" w:hAnsi="Times New Roman;serif"/>
                  <w:b w:val="false"/>
                  <w:sz w:val="16"/>
                  <w:u w:val="single"/>
                </w:rPr>
                <w:t>Certificate of Limited Partnership of CapitalSouth Fund III, L.P. (f/k/a CapitalSouth Partners SBIC Fund III, L.P.)</w:t>
              </w:r>
            </w:hyperlink>
            <w:hyperlink r:id="rId13">
              <w:r>
                <w:rPr>
                  <w:rStyle w:val="InternetLink"/>
                  <w:rFonts w:ascii="Times New Roman;serif" w:hAnsi="Times New Roman;serif"/>
                  <w:b w:val="false"/>
                  <w:sz w:val="11"/>
                  <w:u w:val="single"/>
                </w:rPr>
                <w:t>(2)</w:t>
              </w:r>
            </w:hyperlink>
          </w:p>
        </w:tc>
      </w:tr>
      <w:tr>
        <w:trPr/>
        <w:tc>
          <w:tcPr>
            <w:tcW w:w="745" w:type="dxa"/>
            <w:tcBorders/>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16"/>
                  <w:u w:val="single"/>
                </w:rPr>
                <w:t>3.5</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15">
              <w:r>
                <w:rPr>
                  <w:rStyle w:val="InternetLink"/>
                  <w:rFonts w:ascii="Times New Roman;serif" w:hAnsi="Times New Roman;serif"/>
                  <w:b w:val="false"/>
                  <w:sz w:val="16"/>
                  <w:u w:val="single"/>
                </w:rPr>
                <w:t>Bylaws</w:t>
              </w:r>
            </w:hyperlink>
            <w:hyperlink r:id="rId16">
              <w:r>
                <w:rPr>
                  <w:rStyle w:val="InternetLink"/>
                  <w:rFonts w:ascii="Times New Roman;serif" w:hAnsi="Times New Roman;serif"/>
                  <w:b w:val="false"/>
                  <w:sz w:val="11"/>
                  <w:u w:val="single"/>
                </w:rPr>
                <w:t>(1)</w:t>
              </w:r>
            </w:hyperlink>
          </w:p>
        </w:tc>
      </w:tr>
      <w:tr>
        <w:trPr/>
        <w:tc>
          <w:tcPr>
            <w:tcW w:w="745" w:type="dxa"/>
            <w:tcBorders/>
            <w:vAlign w:val="center"/>
          </w:tcPr>
          <w:p>
            <w:pPr>
              <w:pStyle w:val="TableContents"/>
              <w:bidi w:val="0"/>
              <w:spacing w:before="0" w:after="0"/>
              <w:ind w:left="0" w:right="0" w:hanging="0"/>
              <w:jc w:val="left"/>
              <w:rPr/>
            </w:pPr>
            <w:hyperlink r:id="rId17">
              <w:r>
                <w:rPr>
                  <w:rStyle w:val="InternetLink"/>
                  <w:rFonts w:ascii="Times New Roman;serif" w:hAnsi="Times New Roman;serif"/>
                  <w:b w:val="false"/>
                  <w:sz w:val="16"/>
                  <w:u w:val="single"/>
                </w:rPr>
                <w:t>3.6</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18">
              <w:r>
                <w:rPr>
                  <w:rStyle w:val="InternetLink"/>
                  <w:rFonts w:ascii="Times New Roman;serif" w:hAnsi="Times New Roman;serif"/>
                  <w:b w:val="false"/>
                  <w:sz w:val="16"/>
                  <w:u w:val="single"/>
                </w:rPr>
                <w:t>Form of Amended and Restated Limited Partnership Agreement of CapitalSouth Partners Fund II Limited Partnership</w:t>
              </w:r>
            </w:hyperlink>
            <w:hyperlink r:id="rId19">
              <w:r>
                <w:rPr>
                  <w:rStyle w:val="InternetLink"/>
                  <w:rFonts w:ascii="Times New Roman;serif" w:hAnsi="Times New Roman;serif"/>
                  <w:b w:val="false"/>
                  <w:sz w:val="11"/>
                  <w:u w:val="single"/>
                </w:rPr>
                <w:t>(3)</w:t>
              </w:r>
            </w:hyperlink>
          </w:p>
        </w:tc>
      </w:tr>
      <w:tr>
        <w:trPr/>
        <w:tc>
          <w:tcPr>
            <w:tcW w:w="745" w:type="dxa"/>
            <w:tcBorders/>
            <w:vAlign w:val="center"/>
          </w:tcPr>
          <w:p>
            <w:pPr>
              <w:pStyle w:val="TableContents"/>
              <w:bidi w:val="0"/>
              <w:spacing w:before="0" w:after="0"/>
              <w:ind w:left="0" w:right="0" w:hanging="0"/>
              <w:jc w:val="left"/>
              <w:rPr/>
            </w:pPr>
            <w:hyperlink r:id="rId20">
              <w:r>
                <w:rPr>
                  <w:rStyle w:val="InternetLink"/>
                  <w:rFonts w:ascii="Times New Roman;serif" w:hAnsi="Times New Roman;serif"/>
                  <w:b w:val="false"/>
                  <w:sz w:val="16"/>
                  <w:u w:val="single"/>
                </w:rPr>
                <w:t>3.7</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r:id="rId21">
              <w:r>
                <w:rPr>
                  <w:rStyle w:val="InternetLink"/>
                  <w:rFonts w:ascii="Times New Roman;serif" w:hAnsi="Times New Roman;serif"/>
                  <w:b w:val="false"/>
                  <w:sz w:val="16"/>
                  <w:u w:val="single"/>
                </w:rPr>
                <w:t>Form of Amended and Restated Agreement of Limited Partnership of Certificate of Limited Partnership of CapitalSouth Fund III, L.P. (f/k/a CapitalSouth Partners SBIC Fund III, L.P.)</w:t>
              </w:r>
            </w:hyperlink>
            <w:hyperlink r:id="rId22">
              <w:r>
                <w:rPr>
                  <w:rStyle w:val="InternetLink"/>
                  <w:rFonts w:ascii="Times New Roman;serif" w:hAnsi="Times New Roman;serif"/>
                  <w:b w:val="false"/>
                  <w:sz w:val="11"/>
                  <w:u w:val="single"/>
                </w:rPr>
                <w:t>(3)</w:t>
              </w:r>
            </w:hyperlink>
          </w:p>
        </w:tc>
      </w:tr>
      <w:tr>
        <w:trPr/>
        <w:tc>
          <w:tcPr>
            <w:tcW w:w="745" w:type="dxa"/>
            <w:tcBorders/>
            <w:vAlign w:val="center"/>
          </w:tcPr>
          <w:p>
            <w:pPr>
              <w:pStyle w:val="TableContents"/>
              <w:bidi w:val="0"/>
              <w:spacing w:before="0" w:after="0"/>
              <w:ind w:left="0" w:right="0" w:hanging="0"/>
              <w:jc w:val="left"/>
              <w:rPr/>
            </w:pPr>
            <w:hyperlink w:anchor="lrfc-ex31_1.htm">
              <w:r>
                <w:rPr>
                  <w:rStyle w:val="InternetLink"/>
                  <w:rFonts w:ascii="Times New Roman;serif" w:hAnsi="Times New Roman;serif"/>
                  <w:b w:val="false"/>
                  <w:sz w:val="16"/>
                  <w:u w:val="single"/>
                </w:rPr>
                <w:t>31.1</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w:anchor="lrfc-ex31_1.htm">
              <w:r>
                <w:rPr>
                  <w:rStyle w:val="InternetLink"/>
                  <w:rFonts w:ascii="Times New Roman;serif" w:hAnsi="Times New Roman;serif"/>
                  <w:b w:val="false"/>
                  <w:sz w:val="16"/>
                  <w:u w:val="single"/>
                </w:rPr>
                <w:t>Certification of Chief Executive Officer pursuant to Rule 13a-14 of the Securities Exchange Act of 1934, as adopted pursuant to Section 302 of the Sarbanes-Oxley Act of 2002 (filed herewith)</w:t>
              </w:r>
            </w:hyperlink>
          </w:p>
        </w:tc>
      </w:tr>
      <w:tr>
        <w:trPr/>
        <w:tc>
          <w:tcPr>
            <w:tcW w:w="745" w:type="dxa"/>
            <w:tcBorders/>
            <w:vAlign w:val="center"/>
          </w:tcPr>
          <w:p>
            <w:pPr>
              <w:pStyle w:val="TableContents"/>
              <w:bidi w:val="0"/>
              <w:spacing w:before="0" w:after="0"/>
              <w:ind w:left="0" w:right="0" w:hanging="0"/>
              <w:jc w:val="left"/>
              <w:rPr/>
            </w:pPr>
            <w:hyperlink w:anchor="lrfc-ex31_2.htm">
              <w:r>
                <w:rPr>
                  <w:rStyle w:val="InternetLink"/>
                  <w:rFonts w:ascii="Times New Roman;serif" w:hAnsi="Times New Roman;serif"/>
                  <w:b w:val="false"/>
                  <w:sz w:val="16"/>
                  <w:u w:val="single"/>
                </w:rPr>
                <w:t>31.2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w:anchor="lrfc-ex31_2.htm">
              <w:r>
                <w:rPr>
                  <w:rStyle w:val="InternetLink"/>
                  <w:rFonts w:ascii="Times New Roman;serif" w:hAnsi="Times New Roman;serif"/>
                  <w:b w:val="false"/>
                  <w:sz w:val="16"/>
                  <w:u w:val="single"/>
                </w:rPr>
                <w:t>Certification of Chief Financial Officer pursuant to Rule 13a-14 of the Securities Exchange Act of 1934, as adopted pursuant to Section 302 of the Sarbanes-Oxley Act of 2002 (filed herewith)</w:t>
              </w:r>
            </w:hyperlink>
          </w:p>
        </w:tc>
      </w:tr>
      <w:tr>
        <w:trPr/>
        <w:tc>
          <w:tcPr>
            <w:tcW w:w="745" w:type="dxa"/>
            <w:tcBorders/>
            <w:vAlign w:val="center"/>
          </w:tcPr>
          <w:p>
            <w:pPr>
              <w:pStyle w:val="TableContents"/>
              <w:bidi w:val="0"/>
              <w:spacing w:before="0" w:after="0"/>
              <w:ind w:left="0" w:right="0" w:hanging="0"/>
              <w:jc w:val="left"/>
              <w:rPr/>
            </w:pPr>
            <w:hyperlink w:anchor="lrfc-ex32_1.htm">
              <w:r>
                <w:rPr>
                  <w:rStyle w:val="InternetLink"/>
                  <w:rFonts w:ascii="Times New Roman;serif" w:hAnsi="Times New Roman;serif"/>
                  <w:b w:val="false"/>
                  <w:sz w:val="16"/>
                  <w:u w:val="single"/>
                </w:rPr>
                <w:t>32.1</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w:anchor="lrfc-ex32_1.htm">
              <w:r>
                <w:rPr>
                  <w:rStyle w:val="InternetLink"/>
                  <w:rFonts w:ascii="Times New Roman;serif" w:hAnsi="Times New Roman;serif"/>
                  <w:b w:val="false"/>
                  <w:sz w:val="16"/>
                  <w:u w:val="single"/>
                </w:rPr>
                <w:t>Certification of Chief Executive Officer pursuant to 18 U.S.C. Section 1350, as adopted pursuant to section 906 of the Sarbanes-Oxley Act of 2002 (filed herewith)</w:t>
              </w:r>
            </w:hyperlink>
          </w:p>
        </w:tc>
      </w:tr>
      <w:tr>
        <w:trPr/>
        <w:tc>
          <w:tcPr>
            <w:tcW w:w="745" w:type="dxa"/>
            <w:tcBorders/>
            <w:vAlign w:val="center"/>
          </w:tcPr>
          <w:p>
            <w:pPr>
              <w:pStyle w:val="TableContents"/>
              <w:bidi w:val="0"/>
              <w:spacing w:before="0" w:after="0"/>
              <w:ind w:left="0" w:right="0" w:hanging="0"/>
              <w:jc w:val="left"/>
              <w:rPr/>
            </w:pPr>
            <w:hyperlink w:anchor="lrfc-ex32_2.htm">
              <w:r>
                <w:rPr>
                  <w:rStyle w:val="InternetLink"/>
                  <w:rFonts w:ascii="Times New Roman;serif" w:hAnsi="Times New Roman;serif"/>
                  <w:b w:val="false"/>
                  <w:sz w:val="16"/>
                  <w:u w:val="single"/>
                </w:rPr>
                <w:t>32.2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14" w:type="dxa"/>
            <w:tcBorders/>
            <w:vAlign w:val="center"/>
          </w:tcPr>
          <w:p>
            <w:pPr>
              <w:pStyle w:val="TableContents"/>
              <w:bidi w:val="0"/>
              <w:spacing w:before="0" w:after="0"/>
              <w:ind w:left="0" w:right="0" w:hanging="0"/>
              <w:jc w:val="both"/>
              <w:rPr/>
            </w:pPr>
            <w:hyperlink w:anchor="lrfc-ex32_2.htm">
              <w:r>
                <w:rPr>
                  <w:rStyle w:val="InternetLink"/>
                  <w:rFonts w:ascii="Times New Roman;serif" w:hAnsi="Times New Roman;serif"/>
                  <w:b w:val="false"/>
                  <w:sz w:val="16"/>
                  <w:u w:val="single"/>
                </w:rPr>
                <w:t>Certification of Chief Financial Officer pursuant to 18 U.S.C. Section 1350, as adopted pursuant to section 906 of the Sarbanes-Oxley Act of 2002 (filed herewith)</w:t>
              </w:r>
            </w:hyperlink>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101.INS</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Instance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101.SHC</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Schema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101.CAL</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Calculation Linkbase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101.DEF</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Definition Linkbase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101.LAB</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Label Linkbase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101.PRE</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Presentation Linkbase Document (filed herewith)</w:t>
            </w:r>
          </w:p>
        </w:tc>
      </w:tr>
      <w:tr>
        <w:trPr/>
        <w:tc>
          <w:tcPr>
            <w:tcW w:w="74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104</w:t>
            </w:r>
          </w:p>
        </w:tc>
        <w:tc>
          <w:tcPr>
            <w:tcW w:w="146" w:type="dxa"/>
            <w:tcBorders/>
            <w:vAlign w:val="center"/>
          </w:tcPr>
          <w:p>
            <w:pPr>
              <w:pStyle w:val="TableContents"/>
              <w:bidi w:val="0"/>
              <w:spacing w:before="0" w:after="0"/>
              <w:ind w:left="0" w:right="0" w:hanging="0"/>
              <w:jc w:val="left"/>
              <w:rPr/>
            </w:pPr>
            <w:r>
              <w:rPr/>
              <w:t> </w:t>
            </w:r>
          </w:p>
        </w:tc>
        <w:tc>
          <w:tcPr>
            <w:tcW w:w="931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Cover Page Interactive Data File (embedded within the Inline XBRL Document (filed herewith)</w:t>
            </w:r>
          </w:p>
        </w:tc>
      </w:tr>
    </w:tbl>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the Pre-Effective Amendment No. 1 to Logan Ridge Finance Corporation’s registration statement on Form N-2 (File No. 333-188956) filed on September 9, 2013. </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Pre-Effective Amendment No. 2 to Logan Ridge Finance Corporation’s registration statement on Form N-2 (File No. 333-188956) filed on September 16, 2013. </w:t>
      </w:r>
    </w:p>
    <w:p>
      <w:pPr>
        <w:pStyle w:val="TextBody"/>
        <w:bidi w:val="0"/>
        <w:spacing w:before="0" w:after="0"/>
        <w:jc w:val="both"/>
        <w:rPr>
          <w:rFonts w:ascii="Times New Roman" w:hAnsi="Times New Roman"/>
          <w:b w:val="false"/>
          <w:sz w:val="16"/>
        </w:rPr>
      </w:pPr>
      <w:r>
        <w:rPr>
          <w:rFonts w:ascii="Times New Roman" w:hAnsi="Times New Roman"/>
          <w:b w:val="false"/>
          <w:sz w:val="16"/>
        </w:rPr>
        <w:t>(3)</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Pre-Effective Amendment No. 5 to Logan Ridge Finance Corporation’s registration statement on Form N-2 (File No. 333-188956) filed on September 24, 2013. </w:t>
      </w:r>
    </w:p>
    <w:p>
      <w:pPr>
        <w:pStyle w:val="TextBody"/>
        <w:bidi w:val="0"/>
        <w:spacing w:before="0" w:after="0"/>
        <w:jc w:val="both"/>
        <w:rPr>
          <w:rFonts w:ascii="Times New Roman" w:hAnsi="Times New Roman"/>
          <w:b w:val="false"/>
          <w:sz w:val="16"/>
        </w:rPr>
      </w:pPr>
      <w:r>
        <w:rPr>
          <w:rFonts w:ascii="Times New Roman" w:hAnsi="Times New Roman"/>
          <w:b w:val="false"/>
          <w:sz w:val="16"/>
        </w:rPr>
        <w:t>(4)</w:t>
      </w:r>
    </w:p>
    <w:p>
      <w:pPr>
        <w:pStyle w:val="TextBody"/>
        <w:bidi w:val="0"/>
        <w:jc w:val="both"/>
        <w:rPr>
          <w:rFonts w:ascii="Times New Roman;serif" w:hAnsi="Times New Roman;serif"/>
          <w:b w:val="false"/>
          <w:sz w:val="16"/>
        </w:rPr>
      </w:pPr>
      <w:r>
        <w:rPr>
          <w:rFonts w:ascii="Times New Roman;serif" w:hAnsi="Times New Roman;serif"/>
          <w:b w:val="false"/>
          <w:sz w:val="16"/>
        </w:rPr>
        <w:t>Previously filed in connection with Logan Ridge Finance Corporation’s report on Form 8-K filed on August 4, 2020.</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bookmarkStart w:id="21" w:name="signatures"/>
      <w:bookmarkEnd w:id="21"/>
      <w:r>
        <w:rPr>
          <w:rFonts w:ascii="Times New Roman;serif" w:hAnsi="Times New Roman;serif"/>
          <w:b/>
          <w:sz w:val="16"/>
        </w:rPr>
        <w:t>SIGNATURES</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4728" w:type="dxa"/>
        <w:jc w:val="left"/>
        <w:tblInd w:w="0" w:type="dxa"/>
        <w:tblLayout w:type="fixed"/>
        <w:tblCellMar>
          <w:top w:w="28" w:type="dxa"/>
          <w:left w:w="28" w:type="dxa"/>
          <w:bottom w:w="28" w:type="dxa"/>
          <w:right w:w="28" w:type="dxa"/>
        </w:tblCellMar>
      </w:tblPr>
      <w:tblGrid>
        <w:gridCol w:w="1606"/>
        <w:gridCol w:w="346"/>
        <w:gridCol w:w="2776"/>
      </w:tblGrid>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 August 9, 2023</w:t>
            </w:r>
          </w:p>
        </w:tc>
        <w:tc>
          <w:tcPr>
            <w:tcW w:w="34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By</w:t>
            </w:r>
            <w:r>
              <w:rPr>
                <w:rFonts w:ascii="Times New Roman" w:hAnsi="Times New Roman"/>
                <w:sz w:val="16"/>
              </w:rPr>
              <w:t xml:space="preserve"> </w:t>
            </w:r>
          </w:p>
        </w:tc>
        <w:tc>
          <w:tcPr>
            <w:tcW w:w="27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 August 9, 2023</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By</w:t>
            </w:r>
          </w:p>
        </w:tc>
        <w:tc>
          <w:tcPr>
            <w:tcW w:w="27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6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6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77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6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2" w:name="lrfc-ex31_1.htm"/>
      <w:bookmarkStart w:id="23" w:name="kslrfcex31_1"/>
      <w:bookmarkEnd w:id="22"/>
      <w:bookmarkEnd w:id="23"/>
      <w:r>
        <w:rPr/>
        <w:t> </w:t>
      </w:r>
      <w:r>
        <w:br w:type="page"/>
      </w:r>
    </w:p>
    <w:p>
      <w:pPr>
        <w:pStyle w:val="TextBody"/>
        <w:bidi w:val="0"/>
        <w:spacing w:before="0" w:after="0"/>
        <w:jc w:val="right"/>
        <w:rPr>
          <w:rFonts w:ascii="Times New Roman;serif" w:hAnsi="Times New Roman;serif"/>
          <w:b/>
          <w:sz w:val="16"/>
        </w:rPr>
      </w:pPr>
      <w:r>
        <w:rPr>
          <w:rFonts w:ascii="Times New Roman;serif" w:hAnsi="Times New Roman;serif"/>
          <w:b/>
          <w:sz w:val="16"/>
        </w:rPr>
        <w:t>Exhibit 31.1</w:t>
      </w:r>
    </w:p>
    <w:p>
      <w:pPr>
        <w:pStyle w:val="TextBody"/>
        <w:bidi w:val="0"/>
        <w:spacing w:before="0" w:after="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PURSUANT TO RULE 13A-14 OF THE SECURITIES EXCHANGE ACT OF 1934, AS ADOPTED</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 SECTION 302 OF THE SARBANES-OXLEY ACT OF 2002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 Ted Goldthorpe, certify that:</w:t>
      </w:r>
    </w:p>
    <w:tbl>
      <w:tblPr>
        <w:tblW w:w="6831" w:type="dxa"/>
        <w:jc w:val="left"/>
        <w:tblInd w:w="0" w:type="dxa"/>
        <w:tblLayout w:type="fixed"/>
        <w:tblCellMar>
          <w:top w:w="28" w:type="dxa"/>
          <w:left w:w="28" w:type="dxa"/>
          <w:bottom w:w="28" w:type="dxa"/>
          <w:right w:w="28" w:type="dxa"/>
        </w:tblCellMar>
      </w:tblPr>
      <w:tblGrid>
        <w:gridCol w:w="124"/>
        <w:gridCol w:w="24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64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865"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86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867"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5"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80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(c)</w:t>
            </w:r>
          </w:p>
        </w:tc>
        <w:tc>
          <w:tcPr>
            <w:tcW w:w="981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w:t>
            </w:r>
          </w:p>
        </w:tc>
        <w:tc>
          <w:tcPr>
            <w:tcW w:w="980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86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777"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 August 9, 2023</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lrfc-ex31_2.htm"/>
      <w:bookmarkStart w:id="25" w:name="kslrfcex31_2"/>
      <w:bookmarkEnd w:id="24"/>
      <w:bookmarkEnd w:id="25"/>
      <w:r>
        <w:rPr/>
        <w:t> </w:t>
      </w:r>
      <w:r>
        <w:br w:type="page"/>
      </w:r>
    </w:p>
    <w:p>
      <w:pPr>
        <w:pStyle w:val="TextBody"/>
        <w:bidi w:val="0"/>
        <w:spacing w:before="0" w:after="0"/>
        <w:jc w:val="right"/>
        <w:rPr>
          <w:rFonts w:ascii="Times New Roman;serif" w:hAnsi="Times New Roman;serif"/>
          <w:b/>
          <w:sz w:val="16"/>
        </w:rPr>
      </w:pPr>
      <w:r>
        <w:rPr>
          <w:rFonts w:ascii="Times New Roman;serif" w:hAnsi="Times New Roman;serif"/>
          <w:b/>
          <w:sz w:val="16"/>
        </w:rPr>
        <w:t>Exhibit 31.2</w:t>
      </w:r>
    </w:p>
    <w:p>
      <w:pPr>
        <w:pStyle w:val="TextBody"/>
        <w:bidi w:val="0"/>
        <w:spacing w:before="0" w:after="0"/>
        <w:jc w:val="center"/>
        <w:rPr>
          <w:rFonts w:ascii="Times New Roman" w:hAnsi="Times New Roman"/>
          <w:sz w:val="20"/>
        </w:rPr>
      </w:pPr>
      <w:r>
        <w:rPr>
          <w:rFonts w:ascii="Times New Roman;serif" w:hAnsi="Times New Roman;serif"/>
          <w:b/>
          <w:sz w:val="16"/>
        </w:rPr>
        <w:t>CERTIFICATION OF CHIEF FINANCIAL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PURSUANT TO RULE 13A-14 OF THE SECURITIES EXCHANGE ACT OF 1934, AS ADOPTED</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 SECTION 302 OF THE SARBANES-OXLEY ACT OF 2002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 Jason Roos, certify that:</w:t>
      </w:r>
    </w:p>
    <w:tbl>
      <w:tblPr>
        <w:tblW w:w="6722" w:type="dxa"/>
        <w:jc w:val="left"/>
        <w:tblInd w:w="0" w:type="dxa"/>
        <w:tblLayout w:type="fixed"/>
        <w:tblCellMar>
          <w:top w:w="28" w:type="dxa"/>
          <w:left w:w="28" w:type="dxa"/>
          <w:bottom w:w="28" w:type="dxa"/>
          <w:right w:w="28" w:type="dxa"/>
        </w:tblCellMar>
      </w:tblPr>
      <w:tblGrid>
        <w:gridCol w:w="256"/>
        <w:gridCol w:w="6466"/>
      </w:tblGrid>
      <w:tr>
        <w:trPr/>
        <w:tc>
          <w:tcPr>
            <w:tcW w:w="25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64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74"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73"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29"/>
        <w:gridCol w:w="9976"/>
      </w:tblGrid>
      <w:tr>
        <w:trPr/>
        <w:tc>
          <w:tcPr>
            <w:tcW w:w="229" w:type="dxa"/>
            <w:tcBorders/>
            <w:vAlign w:val="center"/>
          </w:tcPr>
          <w:p>
            <w:pPr>
              <w:pStyle w:val="TableContents"/>
              <w:bidi w:val="0"/>
              <w:spacing w:before="0" w:after="283"/>
              <w:jc w:val="left"/>
              <w:rPr>
                <w:sz w:val="4"/>
                <w:szCs w:val="4"/>
              </w:rPr>
            </w:pPr>
            <w:r>
              <w:rPr>
                <w:sz w:val="4"/>
                <w:szCs w:val="4"/>
              </w:rPr>
            </w:r>
          </w:p>
        </w:tc>
        <w:tc>
          <w:tcPr>
            <w:tcW w:w="9976" w:type="dxa"/>
            <w:tcBorders/>
            <w:vAlign w:val="center"/>
          </w:tcPr>
          <w:p>
            <w:pPr>
              <w:pStyle w:val="TableContents"/>
              <w:bidi w:val="0"/>
              <w:spacing w:before="0" w:after="283"/>
              <w:jc w:val="left"/>
              <w:rPr>
                <w:sz w:val="4"/>
                <w:szCs w:val="4"/>
              </w:rPr>
            </w:pPr>
            <w:r>
              <w:rPr>
                <w:sz w:val="4"/>
                <w:szCs w:val="4"/>
              </w:rPr>
            </w:r>
          </w:p>
        </w:tc>
      </w:tr>
      <w:tr>
        <w:trPr/>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97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5"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80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(c)</w:t>
            </w:r>
          </w:p>
        </w:tc>
        <w:tc>
          <w:tcPr>
            <w:tcW w:w="981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w:t>
            </w:r>
          </w:p>
        </w:tc>
        <w:tc>
          <w:tcPr>
            <w:tcW w:w="980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973"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777"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 August 9, 2023</w:t>
      </w:r>
    </w:p>
    <w:tbl>
      <w:tblPr>
        <w:tblW w:w="2645" w:type="dxa"/>
        <w:jc w:val="left"/>
        <w:tblInd w:w="0" w:type="dxa"/>
        <w:tblLayout w:type="fixed"/>
        <w:tblCellMar>
          <w:top w:w="28" w:type="dxa"/>
          <w:left w:w="28" w:type="dxa"/>
          <w:bottom w:w="28" w:type="dxa"/>
          <w:right w:w="28" w:type="dxa"/>
        </w:tblCellMar>
      </w:tblPr>
      <w:tblGrid>
        <w:gridCol w:w="124"/>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lrfc-ex32_1.htm"/>
      <w:bookmarkStart w:id="27" w:name="kslrfcex32_1"/>
      <w:bookmarkEnd w:id="26"/>
      <w:bookmarkEnd w:id="27"/>
      <w:r>
        <w:rPr/>
        <w:t> </w:t>
      </w:r>
      <w:r>
        <w:br w:type="page"/>
      </w:r>
    </w:p>
    <w:p>
      <w:pPr>
        <w:pStyle w:val="TextBody"/>
        <w:bidi w:val="0"/>
        <w:spacing w:before="0" w:after="0"/>
        <w:jc w:val="right"/>
        <w:rPr>
          <w:rFonts w:ascii="Times New Roman;serif" w:hAnsi="Times New Roman;serif"/>
          <w:b/>
          <w:sz w:val="16"/>
        </w:rPr>
      </w:pPr>
      <w:r>
        <w:rPr>
          <w:rFonts w:ascii="Times New Roman;serif" w:hAnsi="Times New Roman;serif"/>
          <w:b/>
          <w:sz w:val="16"/>
        </w:rPr>
        <w:t>Exhibit 32.1</w:t>
      </w:r>
    </w:p>
    <w:p>
      <w:pPr>
        <w:pStyle w:val="TextBody"/>
        <w:bidi w:val="0"/>
        <w:spacing w:before="0" w:after="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PURSUANT TO 18 U.S.C. SECTION 1350, AS ADOPTED</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 SECTION 906 OF THE SARBANES-OXLEY ACT OF 2002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 Ted Goldthorpe, Chief Executive Officer and President, in connection with the Quarterly Report of Logan Ridge Finance Corporation (the “Company”) on Form 10-Q for the quarterly period ended June 30, 2023, as filed with the U.S. Securities and Exchange Commission on the date hereof (the “Quarterly Report”), certify, pursuant to Section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40"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1.</w:t>
            </w:r>
          </w:p>
        </w:tc>
        <w:tc>
          <w:tcPr>
            <w:tcW w:w="984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2.</w:t>
            </w:r>
          </w:p>
        </w:tc>
        <w:tc>
          <w:tcPr>
            <w:tcW w:w="9845"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information contained in the Quarterly Report fairly presents, in all material respects, the financial condition and results of operations of the Company.</w:t>
            </w:r>
          </w:p>
        </w:tc>
      </w:tr>
    </w:tbl>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 August 9, 2023</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lrfc-ex32_2.htm"/>
      <w:bookmarkStart w:id="29" w:name="kslrfcex32_2"/>
      <w:bookmarkEnd w:id="28"/>
      <w:bookmarkEnd w:id="29"/>
      <w:r>
        <w:rPr/>
        <w:t> </w:t>
      </w:r>
      <w:r>
        <w:br w:type="page"/>
      </w:r>
    </w:p>
    <w:p>
      <w:pPr>
        <w:pStyle w:val="TextBody"/>
        <w:bidi w:val="0"/>
        <w:spacing w:before="0" w:after="0"/>
        <w:jc w:val="right"/>
        <w:rPr>
          <w:rFonts w:ascii="Times New Roman;serif" w:hAnsi="Times New Roman;serif"/>
          <w:b/>
          <w:sz w:val="16"/>
        </w:rPr>
      </w:pPr>
      <w:r>
        <w:rPr>
          <w:rFonts w:ascii="Times New Roman;serif" w:hAnsi="Times New Roman;serif"/>
          <w:b/>
          <w:sz w:val="16"/>
        </w:rPr>
        <w:t>Exhibit 32.2</w:t>
      </w:r>
    </w:p>
    <w:p>
      <w:pPr>
        <w:pStyle w:val="TextBody"/>
        <w:bidi w:val="0"/>
        <w:spacing w:before="0" w:after="0"/>
        <w:jc w:val="center"/>
        <w:rPr>
          <w:rFonts w:ascii="Times New Roman" w:hAnsi="Times New Roman"/>
          <w:sz w:val="20"/>
        </w:rPr>
      </w:pPr>
      <w:r>
        <w:rPr>
          <w:rFonts w:ascii="Times New Roman;serif" w:hAnsi="Times New Roman;serif"/>
          <w:b/>
          <w:sz w:val="16"/>
        </w:rPr>
        <w:t>CERTIFICATION OF CHIEF FINANCIAL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PURSUANT TO 18 U.S.C. SECTION 1350, AS ADOPTED</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 SECTION 906 OF THE SARBANES-OXLEY ACT OF 2002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 Jason Roos, Chief Financial Officer, in connection with the Quarterly Report of Logan Ridge Finance Corporation (the “Company”) on Form 10-Q for the quarterly period ended June 30, 2023, as filed with the U.S. Securities and Exchange Commission on the date hereof (the “Quarterly Report”), certify, pursuant to Section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84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2.</w:t>
            </w:r>
          </w:p>
        </w:tc>
        <w:tc>
          <w:tcPr>
            <w:tcW w:w="9845"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information contained in the Quarterly Report fairly presents, in all material respects, the financial condition and results of operations of the Company.</w:t>
            </w:r>
          </w:p>
        </w:tc>
      </w:tr>
    </w:tbl>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 August 9, 2023</w:t>
      </w:r>
    </w:p>
    <w:tbl>
      <w:tblPr>
        <w:tblW w:w="2645" w:type="dxa"/>
        <w:jc w:val="left"/>
        <w:tblInd w:w="0" w:type="dxa"/>
        <w:tblLayout w:type="fixed"/>
        <w:tblCellMar>
          <w:top w:w="28" w:type="dxa"/>
          <w:left w:w="28" w:type="dxa"/>
          <w:bottom w:w="28" w:type="dxa"/>
          <w:right w:w="28" w:type="dxa"/>
        </w:tblCellMar>
      </w:tblPr>
      <w:tblGrid>
        <w:gridCol w:w="124"/>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Wingdings">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38913</Words>
  <Characters>212066</Characters>
  <CharactersWithSpaces>255080</CharactersWithSpaces>
  <Paragraphs>15343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