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ectPr>
          <w:pgSz w:w="11900" w:h="16838" w:orient="portrait"/>
          <w:cols w:equalWidth="0" w:num="1">
            <w:col w:w="11400"/>
          </w:cols>
          <w:pgMar w:left="240" w:top="443" w:right="259" w:bottom="1440" w:gutter="0" w:footer="0" w:header="0"/>
        </w:sectPr>
      </w:pPr>
    </w:p>
    <w:p>
      <w:pPr>
        <w:spacing w:after="0" w:line="238" w:lineRule="exact"/>
        <w:rPr>
          <w:sz w:val="24"/>
          <w:szCs w:val="24"/>
          <w:color w:val="auto"/>
        </w:rPr>
      </w:pPr>
    </w:p>
    <w:p>
      <w:pPr>
        <w:ind w:left="580" w:hanging="45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2014</w:t>
      </w:r>
    </w:p>
    <w:p>
      <w:pPr>
        <w:spacing w:after="0" w:line="225" w:lineRule="exact"/>
        <w:rPr>
          <w:sz w:val="24"/>
          <w:szCs w:val="24"/>
          <w:color w:val="auto"/>
        </w:rPr>
      </w:pPr>
    </w:p>
    <w:p>
      <w:pPr>
        <w:ind w:left="580" w:hanging="450"/>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6" w:lineRule="exact"/>
        <w:rPr>
          <w:sz w:val="24"/>
          <w:szCs w:val="24"/>
          <w:color w:val="auto"/>
        </w:rPr>
      </w:pPr>
    </w:p>
    <w:p>
      <w:pPr>
        <w:ind w:left="320"/>
        <w:spacing w:after="0"/>
        <w:tabs>
          <w:tab w:leader="none" w:pos="2800" w:val="left"/>
        </w:tabs>
        <w:rPr>
          <w:sz w:val="20"/>
          <w:szCs w:val="20"/>
          <w:color w:val="auto"/>
        </w:rPr>
      </w:pPr>
      <w:r>
        <w:rPr>
          <w:rFonts w:ascii="Times New Roman" w:cs="Times New Roman" w:eastAsia="Times New Roman" w:hAnsi="Times New Roman"/>
          <w:sz w:val="14"/>
          <w:szCs w:val="14"/>
          <w:b w:val="1"/>
          <w:bCs w:val="1"/>
          <w:color w:val="auto"/>
        </w:rPr>
        <w:t>Commission</w:t>
      </w:r>
      <w:r>
        <w:rPr>
          <w:sz w:val="20"/>
          <w:szCs w:val="20"/>
          <w:color w:val="auto"/>
        </w:rPr>
        <w:tab/>
      </w:r>
      <w:r>
        <w:rPr>
          <w:rFonts w:ascii="Times New Roman" w:cs="Times New Roman" w:eastAsia="Times New Roman" w:hAnsi="Times New Roman"/>
          <w:sz w:val="14"/>
          <w:szCs w:val="14"/>
          <w:b w:val="1"/>
          <w:bCs w:val="1"/>
          <w:color w:val="auto"/>
        </w:rPr>
        <w:t>Exact name of registrants as specified in their charters, addresses of principal executive</w:t>
      </w:r>
    </w:p>
    <w:p>
      <w:pPr>
        <w:spacing w:after="0" w:line="6" w:lineRule="exact"/>
        <w:rPr>
          <w:sz w:val="24"/>
          <w:szCs w:val="24"/>
          <w:color w:val="auto"/>
        </w:rPr>
      </w:pPr>
    </w:p>
    <w:p>
      <w:pPr>
        <w:ind w:left="300"/>
        <w:spacing w:after="0"/>
        <w:tabs>
          <w:tab w:leader="none" w:pos="2660" w:val="left"/>
        </w:tabs>
        <w:rPr>
          <w:sz w:val="20"/>
          <w:szCs w:val="20"/>
          <w:color w:val="auto"/>
        </w:rPr>
      </w:pPr>
      <w:r>
        <w:rPr>
          <w:rFonts w:ascii="Times New Roman" w:cs="Times New Roman" w:eastAsia="Times New Roman" w:hAnsi="Times New Roman"/>
          <w:sz w:val="14"/>
          <w:szCs w:val="14"/>
          <w:b w:val="1"/>
          <w:bCs w:val="1"/>
          <w:color w:val="auto"/>
        </w:rPr>
        <w:t>File Number</w:t>
      </w:r>
      <w:r>
        <w:rPr>
          <w:sz w:val="20"/>
          <w:szCs w:val="20"/>
          <w:color w:val="auto"/>
        </w:rPr>
        <w:tab/>
      </w:r>
      <w:r>
        <w:rPr>
          <w:rFonts w:ascii="Times New Roman" w:cs="Times New Roman" w:eastAsia="Times New Roman" w:hAnsi="Times New Roman"/>
          <w:sz w:val="14"/>
          <w:szCs w:val="14"/>
          <w:b w:val="1"/>
          <w:bCs w:val="1"/>
          <w:color w:val="auto"/>
        </w:rPr>
        <w:t>offices, telephone numbers and states or other jurisdictions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9518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-209550</wp:posOffset>
            </wp:positionH>
            <wp:positionV relativeFrom="paragraph">
              <wp:posOffset>5080</wp:posOffset>
            </wp:positionV>
            <wp:extent cx="1226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4" w:lineRule="exact"/>
        <w:rPr>
          <w:sz w:val="24"/>
          <w:szCs w:val="24"/>
          <w:color w:val="auto"/>
        </w:rPr>
      </w:pPr>
    </w:p>
    <w:p>
      <w:pPr>
        <w:sectPr>
          <w:pgSz w:w="11900" w:h="16838" w:orient="portrait"/>
          <w:cols w:equalWidth="0" w:num="2">
            <w:col w:w="9100" w:space="720"/>
            <w:col w:w="1580"/>
          </w:cols>
          <w:pgMar w:left="240" w:top="443" w:right="259" w:bottom="1440" w:gutter="0" w:footer="0" w:header="0"/>
          <w:type w:val="continuous"/>
        </w:sectPr>
      </w:pPr>
    </w:p>
    <w:p>
      <w:pPr>
        <w:ind w:left="300"/>
        <w:spacing w:after="0"/>
        <w:tabs>
          <w:tab w:leader="none" w:pos="4340" w:val="left"/>
          <w:tab w:leader="none" w:pos="10000" w:val="left"/>
        </w:tabs>
        <w:rPr>
          <w:sz w:val="20"/>
          <w:szCs w:val="20"/>
          <w:color w:val="auto"/>
        </w:rPr>
      </w:pPr>
      <w:r>
        <w:rPr>
          <w:rFonts w:ascii="Times New Roman" w:cs="Times New Roman" w:eastAsia="Times New Roman" w:hAnsi="Times New Roman"/>
          <w:sz w:val="18"/>
          <w:szCs w:val="18"/>
          <w:b w:val="1"/>
          <w:bCs w:val="1"/>
          <w:color w:val="auto"/>
        </w:rPr>
        <w:t>814-01022</w:t>
      </w:r>
      <w:r>
        <w:rPr>
          <w:sz w:val="20"/>
          <w:szCs w:val="20"/>
          <w:color w:val="auto"/>
        </w:rPr>
        <w:tab/>
      </w:r>
      <w:r>
        <w:rPr>
          <w:rFonts w:ascii="Times New Roman" w:cs="Times New Roman" w:eastAsia="Times New Roman" w:hAnsi="Times New Roman"/>
          <w:sz w:val="22"/>
          <w:szCs w:val="22"/>
          <w:b w:val="1"/>
          <w:bCs w:val="1"/>
          <w:color w:val="auto"/>
        </w:rPr>
        <w:t>Capitala Finance Corp.</w:t>
      </w:r>
      <w:r>
        <w:rPr>
          <w:sz w:val="20"/>
          <w:szCs w:val="20"/>
          <w:color w:val="auto"/>
        </w:rPr>
        <w:tab/>
      </w:r>
      <w:r>
        <w:rPr>
          <w:rFonts w:ascii="Times New Roman" w:cs="Times New Roman" w:eastAsia="Times New Roman" w:hAnsi="Times New Roman"/>
          <w:sz w:val="17"/>
          <w:szCs w:val="17"/>
          <w:b w:val="1"/>
          <w:bCs w:val="1"/>
          <w:color w:val="auto"/>
        </w:rPr>
        <w:t>90-0945675</w:t>
      </w: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4201 Congress St., Suite 360</w:t>
      </w:r>
    </w:p>
    <w:p>
      <w:pPr>
        <w:spacing w:after="0" w:line="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Charlotte, North Carolina</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Telephone: (704) 376-5502</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State of Incorporation: Maryland</w:t>
      </w:r>
    </w:p>
    <w:p>
      <w:pPr>
        <w:spacing w:after="0" w:line="207" w:lineRule="exact"/>
        <w:rPr>
          <w:sz w:val="24"/>
          <w:szCs w:val="24"/>
          <w:color w:val="auto"/>
        </w:rPr>
      </w:pPr>
    </w:p>
    <w:p>
      <w:pPr>
        <w:ind w:right="60" w:firstLine="88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ind w:left="1300"/>
        <w:spacing w:after="0" w:line="207" w:lineRule="exact"/>
        <w:tabs>
          <w:tab w:leader="none" w:pos="6840" w:val="left"/>
          <w:tab w:leader="none" w:pos="7900" w:val="left"/>
        </w:tabs>
        <w:rPr>
          <w:sz w:val="20"/>
          <w:szCs w:val="20"/>
          <w:color w:val="auto"/>
        </w:rPr>
      </w:pPr>
      <w:r>
        <w:rPr>
          <w:rFonts w:ascii="Times New Roman" w:cs="Times New Roman" w:eastAsia="Times New Roman" w:hAnsi="Times New Roman"/>
          <w:sz w:val="18"/>
          <w:szCs w:val="18"/>
          <w:color w:val="auto"/>
        </w:rPr>
        <w:t>Capitala Finance Corp.</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88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7" w:lineRule="exact"/>
        <w:rPr>
          <w:sz w:val="24"/>
          <w:szCs w:val="24"/>
          <w:color w:val="auto"/>
        </w:rPr>
      </w:pPr>
    </w:p>
    <w:p>
      <w:pPr>
        <w:ind w:left="1300"/>
        <w:spacing w:after="0" w:line="207" w:lineRule="exact"/>
        <w:tabs>
          <w:tab w:leader="none" w:pos="6840" w:val="left"/>
          <w:tab w:leader="none" w:pos="7900" w:val="left"/>
        </w:tabs>
        <w:rPr>
          <w:sz w:val="20"/>
          <w:szCs w:val="20"/>
          <w:color w:val="auto"/>
        </w:rPr>
      </w:pPr>
      <w:r>
        <w:rPr>
          <w:rFonts w:ascii="Times New Roman" w:cs="Times New Roman" w:eastAsia="Times New Roman" w:hAnsi="Times New Roman"/>
          <w:sz w:val="18"/>
          <w:szCs w:val="18"/>
          <w:color w:val="auto"/>
        </w:rPr>
        <w:t>Capitala Finance Corp.</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right="380" w:firstLine="88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p>
      <w:pPr>
        <w:spacing w:after="0" w:line="207" w:lineRule="exact"/>
        <w:tabs>
          <w:tab w:leader="none" w:pos="3180" w:val="left"/>
          <w:tab w:leader="none" w:pos="6060" w:val="left"/>
          <w:tab w:leader="none" w:pos="6620" w:val="left"/>
          <w:tab w:leader="none" w:pos="10840" w:val="left"/>
        </w:tabs>
        <w:rPr>
          <w:sz w:val="20"/>
          <w:szCs w:val="20"/>
          <w:color w:val="auto"/>
        </w:rPr>
      </w:pPr>
      <w:r>
        <w:rPr>
          <w:rFonts w:ascii="Times New Roman" w:cs="Times New Roman" w:eastAsia="Times New Roman" w:hAnsi="Times New Roman"/>
          <w:sz w:val="18"/>
          <w:szCs w:val="18"/>
          <w:color w:val="auto"/>
        </w:rPr>
        <w:t>Capitala Finance Corp.</w:t>
      </w:r>
      <w:r>
        <w:rPr>
          <w:sz w:val="20"/>
          <w:szCs w:val="20"/>
          <w:color w:val="auto"/>
        </w:rPr>
        <w:tab/>
      </w: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ind w:left="3200"/>
        <w:spacing w:after="0" w:line="207" w:lineRule="exact"/>
        <w:tabs>
          <w:tab w:leader="none" w:pos="6060" w:val="left"/>
          <w:tab w:leader="none" w:pos="6620" w:val="left"/>
          <w:tab w:leader="none" w:pos="1084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97" w:lineRule="exact"/>
        <w:rPr>
          <w:sz w:val="24"/>
          <w:szCs w:val="24"/>
          <w:color w:val="auto"/>
        </w:rPr>
      </w:pPr>
    </w:p>
    <w:p>
      <w:pPr>
        <w:ind w:left="1300"/>
        <w:spacing w:after="0" w:line="207" w:lineRule="exact"/>
        <w:tabs>
          <w:tab w:leader="none" w:pos="6840" w:val="left"/>
          <w:tab w:leader="none" w:pos="7900" w:val="left"/>
        </w:tabs>
        <w:rPr>
          <w:sz w:val="20"/>
          <w:szCs w:val="20"/>
          <w:color w:val="auto"/>
        </w:rPr>
      </w:pPr>
      <w:r>
        <w:rPr>
          <w:rFonts w:ascii="Times New Roman" w:cs="Times New Roman" w:eastAsia="Times New Roman" w:hAnsi="Times New Roman"/>
          <w:sz w:val="18"/>
          <w:szCs w:val="18"/>
          <w:color w:val="auto"/>
        </w:rPr>
        <w:t>Capitala Finance Corp.</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number of shares of Capitala Finance Corp.’s common stock, $0.01 par value, outstanding as of November 10, 2014 was 12,974,420.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gridSpan w:val="10"/>
          </w:tcPr>
          <w:p>
            <w:pPr>
              <w:ind w:left="1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Assets and Liabilities as of September 30, 2014 (unaudited) and December 31, 2013</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for the three and nine months ended September 30, 2014 (unaudited) and September</w:t>
              </w:r>
            </w:hyperlink>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0000EE"/>
            </w:tcBorders>
            <w:gridSpan w:val="19"/>
            <w:shd w:val="clear" w:color="auto" w:fill="CCEEFF"/>
          </w:tcPr>
          <w:p>
            <w:pPr>
              <w:ind w:left="220"/>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30, 2013 (unaudited)</w:t>
              </w:r>
            </w:hyperlink>
          </w:p>
        </w:tc>
        <w:tc>
          <w:tcPr>
            <w:tcW w:w="200" w:type="dxa"/>
            <w:vAlign w:val="bottom"/>
            <w:tcBorders>
              <w:top w:val="single" w:sz="8" w:color="CCEEFF"/>
            </w:tcBorders>
            <w:gridSpan w:val="3"/>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6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Changes in Net Assets for the nine months ended September 30, 2014 (unaudited) and September</w:t>
              </w:r>
            </w:hyperlink>
          </w:p>
        </w:tc>
        <w:tc>
          <w:tcPr>
            <w:tcW w:w="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120" w:type="dxa"/>
            <w:vAlign w:val="bottom"/>
            <w:gridSpan w:val="22"/>
            <w:shd w:val="clear" w:color="auto" w:fill="CCEEFF"/>
          </w:tcPr>
          <w:p>
            <w:pPr>
              <w:ind w:left="22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30, 2013 (unaudited)</w:t>
              </w:r>
            </w:hyperlink>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nine months ended September 30, 2014 (unaudited) and September 30, 2013</w:t>
              </w:r>
            </w:hyperlink>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940" w:type="dxa"/>
            <w:vAlign w:val="bottom"/>
            <w:tcBorders>
              <w:top w:val="single" w:sz="8" w:color="0000EE"/>
            </w:tcBorders>
            <w:gridSpan w:val="20"/>
            <w:shd w:val="clear" w:color="auto" w:fill="CCEEFF"/>
          </w:tcPr>
          <w:p>
            <w:pPr>
              <w:ind w:left="22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w:t>
              </w:r>
            </w:hyperlink>
          </w:p>
        </w:tc>
        <w:tc>
          <w:tcPr>
            <w:tcW w:w="180" w:type="dxa"/>
            <w:vAlign w:val="bottom"/>
            <w:tcBorders>
              <w:top w:val="single" w:sz="8" w:color="CCEEFF"/>
            </w:tcBorders>
            <w:gridSpan w:val="2"/>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Schedules of Investments as of September 30, 2014 (unaudited) and December 31, 2013</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Notes to Consolidated Financial Statements as of September 30, 2014 (unaudited)</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57">
              <w:r>
                <w:rPr>
                  <w:rFonts w:ascii="Times New Roman" w:cs="Times New Roman" w:eastAsia="Times New Roman" w:hAnsi="Times New Roman"/>
                  <w:sz w:val="18"/>
                  <w:szCs w:val="18"/>
                  <w:b w:val="1"/>
                  <w:bCs w:val="1"/>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Signatures</w:t>
              </w:r>
            </w:hyperlink>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900" w:type="dxa"/>
            <w:vAlign w:val="bottom"/>
            <w:tcBorders>
              <w:top w:val="single" w:sz="8" w:color="CCEEFF"/>
              <w:bottom w:val="single" w:sz="8" w:color="auto"/>
            </w:tcBorders>
            <w:gridSpan w:val="15"/>
          </w:tcPr>
          <w:p>
            <w:pPr>
              <w:ind w:left="45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2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Capitala Finance Corp.</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12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2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2014</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Non-control/non-affiliate investments (amortized cost of $158,338 and $84,138, respectively)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181,245</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 investments (amortized cost of $161,730 and $159,104, respectively)</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185,051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 investments (amortized cost of $67,422 and $58,057, respectively)</w:t>
            </w: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78,830</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investments at fair value (amortized cost of $387,490 and $301,299, respectively)</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445,126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107,576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receivable</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fees (net of accumulated amortization of $2,873 and $2,216, respectively)</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SBA debentures payable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192,200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113,438</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307,296</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2)</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common shares authorized, 12,974,420 common shares issued</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188,408</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undistributed net investment income</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13,363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undistributed net realized loss from investments</w:t>
            </w: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(1,421)</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57,636</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net assets</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258,116</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565,412</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476,428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19.89</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2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20" w:type="dxa"/>
            <w:vAlign w:val="bottom"/>
            <w:tcBorders>
              <w:bottom w:val="single" w:sz="8" w:color="auto"/>
            </w:tcBorders>
          </w:tcPr>
          <w:p>
            <w:pPr>
              <w:jc w:val="center"/>
              <w:ind w:left="317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9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INCOME</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fee income: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Non-control/Non-affiliate investments</w:t>
            </w:r>
          </w:p>
        </w:tc>
        <w:tc>
          <w:tcPr>
            <w:tcW w:w="4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4,104</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2,061</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10,170</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Affiliate investments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4,790</w:t>
            </w: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2,796</w:t>
            </w:r>
          </w:p>
        </w:tc>
        <w:tc>
          <w:tcPr>
            <w:tcW w:w="240" w:type="dxa"/>
            <w:vAlign w:val="bottom"/>
          </w:tcPr>
          <w:p>
            <w:pPr>
              <w:spacing w:after="0"/>
              <w:rPr>
                <w:sz w:val="12"/>
                <w:szCs w:val="12"/>
                <w:color w:val="auto"/>
              </w:rPr>
            </w:pPr>
          </w:p>
        </w:tc>
        <w:tc>
          <w:tcPr>
            <w:tcW w:w="11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12,415</w:t>
            </w:r>
          </w:p>
        </w:tc>
        <w:tc>
          <w:tcPr>
            <w:tcW w:w="1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Control investments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1,422</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1,088</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4,259</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interest and fee income</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10,316</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5,945</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26,844</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Payment-in-kind interest and dividend income:</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Non-control/Non-affiliate investments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1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Affiliate investments</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Control investments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479</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CCEEFF"/>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payment-in-kind interest and dividend income</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728</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422</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2,061</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Dividend income: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Non-control/Non-affiliate investments</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1,666</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Affiliate investments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Control investments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2,127</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4,734</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dividend income</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2,158</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7,145</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Interest income from cash and cash equivalents</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investment income</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11,167</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8,801</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36,067</w:t>
            </w: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and amortization of deferred financing fees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4,268</w:t>
            </w: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2,237</w:t>
            </w:r>
          </w:p>
        </w:tc>
        <w:tc>
          <w:tcPr>
            <w:tcW w:w="240" w:type="dxa"/>
            <w:vAlign w:val="bottom"/>
          </w:tcPr>
          <w:p>
            <w:pPr>
              <w:spacing w:after="0"/>
              <w:rPr>
                <w:sz w:val="12"/>
                <w:szCs w:val="12"/>
                <w:color w:val="auto"/>
              </w:rPr>
            </w:pPr>
          </w:p>
        </w:tc>
        <w:tc>
          <w:tcPr>
            <w:tcW w:w="11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8,870</w:t>
            </w:r>
          </w:p>
        </w:tc>
        <w:tc>
          <w:tcPr>
            <w:tcW w:w="1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2,536</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6,830</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2,838</w:t>
            </w:r>
          </w:p>
        </w:tc>
        <w:tc>
          <w:tcPr>
            <w:tcW w:w="1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857</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2,870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Expenses before management fee waiver</w:t>
            </w: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7,661</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3,364</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21,408</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Management fee waiver (See Note 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expenses net of management fee waiver</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7,623</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3,364</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21,170</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9,903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INVESTMENT INCOME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3,544</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5,437</w:t>
            </w:r>
          </w:p>
        </w:tc>
        <w:tc>
          <w:tcPr>
            <w:tcW w:w="240" w:type="dxa"/>
            <w:vAlign w:val="bottom"/>
          </w:tcPr>
          <w:p>
            <w:pPr>
              <w:spacing w:after="0"/>
              <w:rPr>
                <w:sz w:val="14"/>
                <w:szCs w:val="14"/>
                <w:color w:val="auto"/>
              </w:rPr>
            </w:pPr>
          </w:p>
        </w:tc>
        <w:tc>
          <w:tcPr>
            <w:tcW w:w="11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14,897</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AND UNREALIZED GAIN (LOSS) ON INVESTMENTS: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realized gain (loss) from investments:</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Non-control/Non-affiliate investments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6,011</w:t>
            </w:r>
          </w:p>
        </w:tc>
        <w:tc>
          <w:tcPr>
            <w:tcW w:w="240" w:type="dxa"/>
            <w:vAlign w:val="bottom"/>
          </w:tcPr>
          <w:p>
            <w:pPr>
              <w:spacing w:after="0"/>
              <w:rPr>
                <w:sz w:val="12"/>
                <w:szCs w:val="12"/>
                <w:color w:val="auto"/>
              </w:rPr>
            </w:pPr>
          </w:p>
        </w:tc>
        <w:tc>
          <w:tcPr>
            <w:tcW w:w="11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1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Affiliate investments</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(3,055)</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(4,140)</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(2,704)</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Control investments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173</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CCEEFF"/>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realized gain (loss) from investments</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(3,055)</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1,871</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(1,373)</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2,235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(5,784)</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CCEEFF"/>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Net gain/(loss) on investments</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(3,233</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2,472</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(7,157</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8,677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7,909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7,740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5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INCREASE IN NET ASSETS PER SHARE RESULTING FROM OPERATIONS – BASIC</w:t>
            </w:r>
          </w:p>
        </w:tc>
        <w:tc>
          <w:tcPr>
            <w:tcW w:w="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0.61</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0.60</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DILUTED</w:t>
            </w:r>
          </w:p>
        </w:tc>
        <w:tc>
          <w:tcPr>
            <w:tcW w:w="42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COMMON STOCK OUTSTANDING - BASIC AND DILUTED</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12,974,420</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12,974,420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12,974,420</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12,974,420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3"/>
                <w:szCs w:val="13"/>
                <w:color w:val="auto"/>
              </w:rPr>
            </w:pPr>
          </w:p>
        </w:tc>
        <w:tc>
          <w:tcPr>
            <w:tcW w:w="1200" w:type="dxa"/>
            <w:vAlign w:val="bottom"/>
            <w:gridSpan w:val="2"/>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13"/>
                <w:szCs w:val="13"/>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Net Unrealized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280"/>
              <w:spacing w:after="0" w:line="113" w:lineRule="exact"/>
              <w:rPr>
                <w:sz w:val="20"/>
                <w:szCs w:val="20"/>
                <w:color w:val="auto"/>
              </w:rPr>
            </w:pPr>
            <w:r>
              <w:rPr>
                <w:rFonts w:ascii="Times New Roman" w:cs="Times New Roman" w:eastAsia="Times New Roman" w:hAnsi="Times New Roman"/>
                <w:sz w:val="11"/>
                <w:szCs w:val="11"/>
                <w:b w:val="1"/>
                <w:bCs w:val="1"/>
                <w:color w:val="auto"/>
              </w:rPr>
              <w:t>General</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right"/>
              <w:ind w:right="380"/>
              <w:spacing w:after="0" w:line="113" w:lineRule="exact"/>
              <w:rPr>
                <w:sz w:val="20"/>
                <w:szCs w:val="20"/>
                <w:color w:val="auto"/>
              </w:rPr>
            </w:pPr>
            <w:r>
              <w:rPr>
                <w:rFonts w:ascii="Times New Roman" w:cs="Times New Roman" w:eastAsia="Times New Roman" w:hAnsi="Times New Roman"/>
                <w:sz w:val="11"/>
                <w:szCs w:val="11"/>
                <w:b w:val="1"/>
                <w:bCs w:val="1"/>
                <w:color w:val="auto"/>
              </w:rPr>
              <w:t>Limited</w:t>
            </w:r>
          </w:p>
        </w:tc>
        <w:tc>
          <w:tcPr>
            <w:tcW w:w="9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520" w:type="dxa"/>
            <w:vAlign w:val="bottom"/>
          </w:tcPr>
          <w:p>
            <w:pPr>
              <w:jc w:val="right"/>
              <w:ind w:right="26"/>
              <w:spacing w:after="0" w:line="113" w:lineRule="exact"/>
              <w:rPr>
                <w:sz w:val="20"/>
                <w:szCs w:val="20"/>
                <w:color w:val="auto"/>
              </w:rPr>
            </w:pPr>
            <w:r>
              <w:rPr>
                <w:rFonts w:ascii="Times New Roman" w:cs="Times New Roman" w:eastAsia="Times New Roman" w:hAnsi="Times New Roman"/>
                <w:sz w:val="11"/>
                <w:szCs w:val="11"/>
                <w:b w:val="1"/>
                <w:bCs w:val="1"/>
                <w:color w:val="auto"/>
              </w:rPr>
              <w:t>Par</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rPr>
              <w:t>Paid in</w:t>
            </w:r>
          </w:p>
        </w:tc>
        <w:tc>
          <w:tcPr>
            <w:tcW w:w="108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Undistributed Net</w:t>
            </w:r>
          </w:p>
        </w:tc>
        <w:tc>
          <w:tcPr>
            <w:tcW w:w="80" w:type="dxa"/>
            <w:vAlign w:val="bottom"/>
          </w:tcPr>
          <w:p>
            <w:pPr>
              <w:spacing w:after="0"/>
              <w:rPr>
                <w:sz w:val="9"/>
                <w:szCs w:val="9"/>
                <w:color w:val="auto"/>
              </w:rPr>
            </w:pPr>
          </w:p>
        </w:tc>
        <w:tc>
          <w:tcPr>
            <w:tcW w:w="1200" w:type="dxa"/>
            <w:vAlign w:val="bottom"/>
            <w:gridSpan w:val="2"/>
          </w:tcPr>
          <w:p>
            <w:pPr>
              <w:jc w:val="right"/>
              <w:ind w:right="315"/>
              <w:spacing w:after="0" w:line="113" w:lineRule="exact"/>
              <w:rPr>
                <w:sz w:val="20"/>
                <w:szCs w:val="20"/>
                <w:color w:val="auto"/>
              </w:rPr>
            </w:pPr>
            <w:r>
              <w:rPr>
                <w:rFonts w:ascii="Times New Roman" w:cs="Times New Roman" w:eastAsia="Times New Roman" w:hAnsi="Times New Roman"/>
                <w:sz w:val="11"/>
                <w:szCs w:val="11"/>
                <w:b w:val="1"/>
                <w:bCs w:val="1"/>
                <w:color w:val="auto"/>
              </w:rPr>
              <w:t>Undistributed Net</w:t>
            </w:r>
          </w:p>
        </w:tc>
        <w:tc>
          <w:tcPr>
            <w:tcW w:w="1620" w:type="dxa"/>
            <w:vAlign w:val="bottom"/>
            <w:gridSpan w:val="3"/>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Appreciation (Depreciation) on</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Partner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Partners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Investment Income</w:t>
            </w:r>
          </w:p>
        </w:tc>
        <w:tc>
          <w:tcPr>
            <w:tcW w:w="12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Realized Gains (Losses)</w:t>
            </w:r>
          </w:p>
        </w:tc>
        <w:tc>
          <w:tcPr>
            <w:tcW w:w="200" w:type="dxa"/>
            <w:vAlign w:val="bottom"/>
          </w:tcPr>
          <w:p>
            <w:pPr>
              <w:spacing w:after="0"/>
              <w:rPr>
                <w:sz w:val="11"/>
                <w:szCs w:val="11"/>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60" w:type="dxa"/>
            <w:vAlign w:val="bottom"/>
          </w:tcPr>
          <w:p>
            <w:pPr>
              <w:spacing w:after="0"/>
              <w:rPr>
                <w:sz w:val="11"/>
                <w:szCs w:val="11"/>
                <w:color w:val="auto"/>
              </w:rPr>
            </w:pPr>
          </w:p>
        </w:tc>
        <w:tc>
          <w:tcPr>
            <w:tcW w:w="70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BALANCE, December 31, 2012</w:t>
            </w:r>
          </w:p>
        </w:tc>
        <w:tc>
          <w:tcPr>
            <w:tcW w:w="20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282</w:t>
            </w:r>
          </w:p>
        </w:tc>
        <w:tc>
          <w:tcPr>
            <w:tcW w:w="20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77,358</w:t>
            </w:r>
          </w:p>
        </w:tc>
        <w:tc>
          <w:tcPr>
            <w:tcW w:w="9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40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8,560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CEEFF"/>
          </w:tcPr>
          <w:p>
            <w:pPr>
              <w:jc w:val="right"/>
              <w:ind w:right="195"/>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56,233</w:t>
            </w:r>
          </w:p>
        </w:tc>
        <w:tc>
          <w:tcPr>
            <w:tcW w:w="16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142,433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Partners' capital contributions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24,852</w:t>
            </w:r>
          </w:p>
        </w:tc>
        <w:tc>
          <w:tcPr>
            <w:tcW w:w="9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0" w:type="dxa"/>
            <w:vAlign w:val="bottom"/>
            <w:gridSpan w:val="2"/>
          </w:tcPr>
          <w:p>
            <w:pPr>
              <w:jc w:val="right"/>
              <w:ind w:right="195"/>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4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24,852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Distribution to partners</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(5,186)</w:t>
            </w: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75"/>
              <w:spacing w:after="0" w:line="122" w:lineRule="exact"/>
              <w:rPr>
                <w:sz w:val="20"/>
                <w:szCs w:val="20"/>
                <w:color w:val="auto"/>
              </w:rPr>
            </w:pPr>
            <w:r>
              <w:rPr>
                <w:rFonts w:ascii="Times New Roman" w:cs="Times New Roman" w:eastAsia="Times New Roman" w:hAnsi="Times New Roman"/>
                <w:sz w:val="11"/>
                <w:szCs w:val="11"/>
                <w:color w:val="auto"/>
              </w:rPr>
              <w:t>(2,235)</w:t>
            </w:r>
          </w:p>
        </w:tc>
        <w:tc>
          <w:tcPr>
            <w:tcW w:w="20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(7,421)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Formation Transactions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(282)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(102,210)</w:t>
            </w:r>
          </w:p>
        </w:tc>
        <w:tc>
          <w:tcPr>
            <w:tcW w:w="9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8,974,420</w:t>
            </w:r>
          </w:p>
        </w:tc>
        <w:tc>
          <w:tcPr>
            <w:tcW w:w="5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114,198</w:t>
            </w:r>
          </w:p>
        </w:tc>
        <w:tc>
          <w:tcPr>
            <w:tcW w:w="80" w:type="dxa"/>
            <w:vAlign w:val="bottom"/>
          </w:tcPr>
          <w:p>
            <w:pPr>
              <w:spacing w:after="0"/>
              <w:rPr>
                <w:sz w:val="10"/>
                <w:szCs w:val="10"/>
                <w:color w:val="auto"/>
              </w:rPr>
            </w:pPr>
          </w:p>
        </w:tc>
        <w:tc>
          <w:tcPr>
            <w:tcW w:w="10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0" w:type="dxa"/>
            <w:vAlign w:val="bottom"/>
            <w:gridSpan w:val="2"/>
          </w:tcPr>
          <w:p>
            <w:pPr>
              <w:jc w:val="right"/>
              <w:ind w:right="195"/>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4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11,796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Public offering of common stock</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4,000,000</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74,210</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95"/>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74,250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Net investment 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13,385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195"/>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4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13,385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1"/>
                <w:szCs w:val="11"/>
                <w:color w:val="auto"/>
              </w:rPr>
              <w:t>Net realized gain on portfolio</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investments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2,235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Net change in unrealized appreciation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on portfolio investments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195"/>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6,442</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6,442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BALANCE, September 30, 2013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12,974,420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188,408</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16,759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62,675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267,972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BALANCE, December 31, 2013</w:t>
            </w:r>
          </w:p>
        </w:tc>
        <w:tc>
          <w:tcPr>
            <w:tcW w:w="20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12,974,420</w:t>
            </w:r>
          </w:p>
        </w:tc>
        <w:tc>
          <w:tcPr>
            <w:tcW w:w="520" w:type="dxa"/>
            <w:vAlign w:val="bottom"/>
            <w:shd w:val="clear" w:color="auto" w:fill="CCEEFF"/>
          </w:tcPr>
          <w:p>
            <w:pPr>
              <w:jc w:val="right"/>
              <w:ind w:right="40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188,408</w:t>
            </w:r>
          </w:p>
        </w:tc>
        <w:tc>
          <w:tcPr>
            <w:tcW w:w="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16,760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CEEFF"/>
          </w:tcPr>
          <w:p>
            <w:pPr>
              <w:jc w:val="right"/>
              <w:ind w:right="175"/>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2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63,420</w:t>
            </w:r>
          </w:p>
        </w:tc>
        <w:tc>
          <w:tcPr>
            <w:tcW w:w="16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268,670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investment income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14,897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195"/>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14,897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1"/>
                <w:szCs w:val="11"/>
                <w:color w:val="auto"/>
              </w:rPr>
              <w:t>Net realized loss on portfolio</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investments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1"/>
                <w:szCs w:val="11"/>
                <w:color w:val="auto"/>
              </w:rPr>
              <w:t>(1,373)</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(1,373)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Net change in unrealized appreciation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on portfolio investments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(5,784)</w:t>
            </w:r>
          </w:p>
        </w:tc>
        <w:tc>
          <w:tcPr>
            <w:tcW w:w="16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(5,784)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Dividends declared and paid</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(18,294)</w:t>
            </w:r>
          </w:p>
        </w:tc>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(18,294)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BALANCE, September 30, 2014</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12,974,420</w:t>
            </w:r>
          </w:p>
        </w:tc>
        <w:tc>
          <w:tcPr>
            <w:tcW w:w="18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188,408</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13,363</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(1,421</w:t>
            </w:r>
          </w:p>
        </w:tc>
        <w:tc>
          <w:tcPr>
            <w:tcW w:w="200" w:type="dxa"/>
            <w:vAlign w:val="bottom"/>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57,636</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258,116</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80" w:type="dxa"/>
            <w:vAlign w:val="bottom"/>
            <w:gridSpan w:val="3"/>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Capitala Finance Corp.</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80" w:type="dxa"/>
            <w:vAlign w:val="bottom"/>
            <w:gridSpan w:val="3"/>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jc w:val="center"/>
              <w:ind w:left="4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80" w:type="dxa"/>
            <w:vAlign w:val="bottom"/>
          </w:tcPr>
          <w:p>
            <w:pPr>
              <w:jc w:val="center"/>
              <w:ind w:left="4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7,740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in net assets resulting from operations to net cash</w:t>
            </w:r>
          </w:p>
        </w:tc>
        <w:tc>
          <w:tcPr>
            <w:tcW w:w="2000" w:type="dxa"/>
            <w:vAlign w:val="bottom"/>
            <w:gridSpan w:val="2"/>
            <w:shd w:val="clear" w:color="auto" w:fill="CCEEFF"/>
          </w:tcPr>
          <w:p>
            <w:pPr>
              <w:jc w:val="right"/>
              <w:ind w:right="610"/>
              <w:spacing w:after="0" w:line="198" w:lineRule="exact"/>
              <w:rPr>
                <w:sz w:val="20"/>
                <w:szCs w:val="20"/>
                <w:color w:val="auto"/>
              </w:rPr>
            </w:pPr>
            <w:r>
              <w:rPr>
                <w:rFonts w:ascii="Times New Roman" w:cs="Times New Roman" w:eastAsia="Times New Roman" w:hAnsi="Times New Roman"/>
                <w:sz w:val="18"/>
                <w:szCs w:val="18"/>
                <w:color w:val="auto"/>
              </w:rPr>
              <w:t>used in operating</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activities:</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portfolio investments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(150,304)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Repayments of portfolio investments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realized (gain)/loss on portfolio investments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net unrealized appreciation on portfolio investments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Payment-in-kind interest accrued, net of payments received</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Accretion of original issue discount on portfolio investments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and dividend receivable</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Due to related parties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Incentive fee payable</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payable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(74,824</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SBA-guaranteed debentures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Partners' capital contributions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IPO, net of underwriting expense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Paydowns on SBA-guaranteed debentures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notes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financing fees paid</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73" w:right="239" w:bottom="1440" w:gutter="0" w:footer="0" w:header="0"/>
        </w:sectPr>
      </w:pPr>
    </w:p>
    <w:p>
      <w:pPr>
        <w:jc w:val="both"/>
        <w:ind w:right="3180"/>
        <w:spacing w:after="0" w:line="286" w:lineRule="auto"/>
        <w:rPr>
          <w:sz w:val="20"/>
          <w:szCs w:val="20"/>
          <w:color w:val="auto"/>
        </w:rPr>
      </w:pPr>
      <w:r>
        <w:rPr>
          <w:rFonts w:ascii="Times New Roman" w:cs="Times New Roman" w:eastAsia="Times New Roman" w:hAnsi="Times New Roman"/>
          <w:sz w:val="17"/>
          <w:szCs w:val="17"/>
          <w:color w:val="auto"/>
        </w:rPr>
        <w:t>NET INCREASE IN CASH AND CASH EQUIVALENTS 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4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103,058</w:t>
            </w: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101,622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r>
      <w:tr>
        <w:trPr>
          <w:trHeight w:val="223"/>
        </w:trPr>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60" w:space="720"/>
            <w:col w:w="3240"/>
          </w:cols>
          <w:pgMar w:left="240" w:top="87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15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9,964</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TRANSACTIONS</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In-kind contribution of assets</w:t>
            </w: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(3, 4)</w:t>
            </w:r>
          </w:p>
        </w:tc>
        <w:tc>
          <w:tcPr>
            <w:tcW w:w="40" w:type="dxa"/>
            <w:vAlign w:val="bottom"/>
          </w:tcPr>
          <w:p>
            <w:pPr>
              <w:spacing w:after="0"/>
              <w:rPr>
                <w:sz w:val="13"/>
                <w:szCs w:val="13"/>
                <w:color w:val="auto"/>
              </w:rPr>
            </w:pP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Investment Interest Rate / Maturity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Non-control/Non-affiliated investments - 70.4%</w:t>
            </w: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AAE Acquisition, LLC</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Industrial Equipment</w:t>
            </w:r>
          </w:p>
        </w:tc>
        <w:tc>
          <w:tcPr>
            <w:tcW w:w="2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Term Debt (12% Cash, Due</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11,000</w:t>
            </w: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10,997</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Rental</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5/6/15)</w:t>
            </w:r>
          </w:p>
        </w:tc>
        <w:tc>
          <w:tcPr>
            <w:tcW w:w="2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Industrial Equipment</w:t>
            </w: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AAE Acquisition, LLC</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Rental</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Units (14% fully diluted)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2,212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11,014</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13,212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Cellular Device</w:t>
            </w: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 Wireless Holding Company</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Retailer</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(12% Cash, Due 9/09/19)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12,000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12,000</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12,000</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American Exteriors, LLC </w:t>
            </w:r>
            <w:r>
              <w:rPr>
                <w:rFonts w:ascii="Times New Roman" w:cs="Times New Roman" w:eastAsia="Times New Roman" w:hAnsi="Times New Roman"/>
                <w:sz w:val="23"/>
                <w:szCs w:val="23"/>
                <w:color w:val="auto"/>
                <w:vertAlign w:val="superscript"/>
              </w:rPr>
              <w:t>(1)</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Replacement Window</w:t>
            </w:r>
          </w:p>
        </w:tc>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Debt (17% Cash, Due 6/30/15)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4,404</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3,204</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4,404</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Manufacturer</w:t>
            </w:r>
          </w:p>
        </w:tc>
        <w:tc>
          <w:tcPr>
            <w:tcW w:w="2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American Exteriors, LLC </w:t>
            </w:r>
            <w:r>
              <w:rPr>
                <w:rFonts w:ascii="Times New Roman" w:cs="Times New Roman" w:eastAsia="Times New Roman" w:hAnsi="Times New Roman"/>
                <w:sz w:val="23"/>
                <w:szCs w:val="23"/>
                <w:color w:val="auto"/>
                <w:vertAlign w:val="superscript"/>
              </w:rPr>
              <w:t>(1)</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Replacement Window</w:t>
            </w:r>
          </w:p>
        </w:tc>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Jr. Convertible Note (10% Cash, Due 6/30/16)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Manufacturer</w:t>
            </w:r>
          </w:p>
        </w:tc>
        <w:tc>
          <w:tcPr>
            <w:tcW w:w="2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American Exteriors, LLC </w:t>
            </w:r>
            <w:r>
              <w:rPr>
                <w:rFonts w:ascii="Times New Roman" w:cs="Times New Roman" w:eastAsia="Times New Roman" w:hAnsi="Times New Roman"/>
                <w:sz w:val="23"/>
                <w:szCs w:val="23"/>
                <w:color w:val="auto"/>
                <w:vertAlign w:val="superscript"/>
              </w:rPr>
              <w:t>(7)</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Replacement Window</w:t>
            </w: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vMerge w:val="continue"/>
            <w:shd w:val="clear" w:color="auto" w:fill="CCEEFF"/>
          </w:tcPr>
          <w:p>
            <w:pPr>
              <w:spacing w:after="0"/>
              <w:rPr>
                <w:sz w:val="16"/>
                <w:szCs w:val="16"/>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Manufacturer</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Warrants (15% fully diluted)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3,619</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4,904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Boot Barn Holding Corporation</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Western Wear Retail</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(2,400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2,400</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2,400</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Caregiver Services, Inc.</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In-Home Healthcare</w:t>
            </w:r>
          </w:p>
        </w:tc>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(293,186 shares)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Services</w:t>
            </w:r>
          </w:p>
        </w:tc>
        <w:tc>
          <w:tcPr>
            <w:tcW w:w="2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Caregiver Services, Inc. </w:t>
            </w:r>
            <w:r>
              <w:rPr>
                <w:rFonts w:ascii="Times New Roman" w:cs="Times New Roman" w:eastAsia="Times New Roman" w:hAnsi="Times New Roman"/>
                <w:sz w:val="23"/>
                <w:szCs w:val="23"/>
                <w:color w:val="auto"/>
                <w:vertAlign w:val="superscript"/>
              </w:rPr>
              <w:t>(7)</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In-Home Healthcare</w:t>
            </w: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vMerge w:val="continue"/>
            <w:shd w:val="clear" w:color="auto" w:fill="CCEEFF"/>
          </w:tcPr>
          <w:p>
            <w:pPr>
              <w:spacing w:after="0"/>
              <w:rPr>
                <w:sz w:val="16"/>
                <w:szCs w:val="16"/>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Services</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Warrants (655,908 units)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Crowley Holdings, Inc. </w:t>
            </w:r>
            <w:r>
              <w:rPr>
                <w:rFonts w:ascii="Times New Roman" w:cs="Times New Roman" w:eastAsia="Times New Roman" w:hAnsi="Times New Roman"/>
                <w:sz w:val="23"/>
                <w:szCs w:val="23"/>
                <w:color w:val="auto"/>
                <w:vertAlign w:val="superscript"/>
              </w:rPr>
              <w:t>(5)</w:t>
            </w:r>
          </w:p>
        </w:tc>
        <w:tc>
          <w:tcPr>
            <w:tcW w:w="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A Income Preferred Shares (6,000 shares,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vMerge w:val="continue"/>
            <w:shd w:val="clear" w:color="auto" w:fill="CCEEFF"/>
          </w:tcPr>
          <w:p>
            <w:pPr>
              <w:spacing w:after="0"/>
              <w:rPr>
                <w:sz w:val="16"/>
                <w:szCs w:val="16"/>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Transportation</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 cash, 2% PIK dividend)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6,114</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6,114</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Bakery Supplies</w:t>
            </w:r>
          </w:p>
        </w:tc>
        <w:tc>
          <w:tcPr>
            <w:tcW w:w="2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(L+7.75%, 1% Floor, Due</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CSM Bakery Solutions, LLC</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Distributor</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8/7/22)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17,000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16,628</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16,628</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Immersive Media Tactical Solutions, LLC</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Specialty Defense</w:t>
            </w:r>
          </w:p>
        </w:tc>
        <w:tc>
          <w:tcPr>
            <w:tcW w:w="2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Term Debt (13% Cash, Due</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Contractor</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10/6/16)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Specialty Defense</w:t>
            </w: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Immersive Media Tactical Solutions, LLC</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Contractor</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Unit Warrants (12% fully diluted)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Kelle's Transport Service, LLC</w:t>
            </w:r>
          </w:p>
        </w:tc>
        <w:tc>
          <w:tcPr>
            <w:tcW w:w="15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Transportation</w:t>
            </w:r>
          </w:p>
        </w:tc>
        <w:tc>
          <w:tcPr>
            <w:tcW w:w="2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Senior Secured Debt (14% Cash, Due 3/31/19)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15,603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15,586</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15,603</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Kelle's Transport Service, LLC </w:t>
            </w:r>
            <w:r>
              <w:rPr>
                <w:rFonts w:ascii="Times New Roman" w:cs="Times New Roman" w:eastAsia="Times New Roman" w:hAnsi="Times New Roman"/>
                <w:sz w:val="21"/>
                <w:szCs w:val="21"/>
                <w:color w:val="auto"/>
                <w:vertAlign w:val="superscript"/>
              </w:rPr>
              <w:t>(5)</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Transportation</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Units (1,000 units, 10% PIK Dividend)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2,732</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2,732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Kelle's Transport Service, LLC</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Transportation</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Warrants (15%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18,341</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20,824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Medical Depot, Inc. </w:t>
            </w:r>
            <w:r>
              <w:rPr>
                <w:rFonts w:ascii="Times New Roman" w:cs="Times New Roman" w:eastAsia="Times New Roman" w:hAnsi="Times New Roman"/>
                <w:sz w:val="23"/>
                <w:szCs w:val="23"/>
                <w:color w:val="auto"/>
                <w:vertAlign w:val="superscript"/>
              </w:rPr>
              <w:t>(1)</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(14% Cash, Due 9/27/20)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4,667</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4,667</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4,667</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Distributor</w:t>
            </w:r>
          </w:p>
        </w:tc>
        <w:tc>
          <w:tcPr>
            <w:tcW w:w="2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Medical Depot, Inc.</w:t>
            </w: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2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C Convertible Preferred Stock (740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5,408</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Distributor</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10,075</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Meritas Schools Holdings, LLC</w:t>
            </w:r>
          </w:p>
        </w:tc>
        <w:tc>
          <w:tcPr>
            <w:tcW w:w="15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Education Services</w:t>
            </w:r>
          </w:p>
        </w:tc>
        <w:tc>
          <w:tcPr>
            <w:tcW w:w="2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(L+9%, 1% Floor, Due</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2,985</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shd w:val="clear" w:color="auto" w:fill="CCEEFF"/>
          </w:tcPr>
          <w:p>
            <w:pPr>
              <w:spacing w:after="0"/>
              <w:rPr>
                <w:sz w:val="14"/>
                <w:szCs w:val="14"/>
                <w:color w:val="auto"/>
              </w:rPr>
            </w:pPr>
          </w:p>
        </w:tc>
        <w:tc>
          <w:tcPr>
            <w:tcW w:w="1540" w:type="dxa"/>
            <w:vAlign w:val="bottom"/>
            <w:gridSpan w:val="3"/>
            <w:vMerge w:val="continue"/>
            <w:shd w:val="clear" w:color="auto" w:fill="CCEEFF"/>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1/23/2021)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2,985</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Naples Lumber &amp; Supply Co </w:t>
            </w:r>
            <w:r>
              <w:rPr>
                <w:rFonts w:ascii="Times New Roman" w:cs="Times New Roman" w:eastAsia="Times New Roman" w:hAnsi="Times New Roman"/>
                <w:sz w:val="21"/>
                <w:szCs w:val="21"/>
                <w:color w:val="auto"/>
                <w:vertAlign w:val="superscript"/>
              </w:rPr>
              <w:t>(1)</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Building Supplies</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(7% cash, Due 6/30/15)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2,109</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1,309</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Naples Lumber &amp; Supply Co</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Building Supplies</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Warrants (10%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1,309</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Home Décor</w:t>
            </w:r>
          </w:p>
        </w:tc>
        <w:tc>
          <w:tcPr>
            <w:tcW w:w="2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(L+9.25%, 1% Floor, Due</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Nielsen &amp; Bainbridge, LLC</w:t>
            </w:r>
          </w:p>
        </w:tc>
        <w:tc>
          <w:tcPr>
            <w:tcW w:w="1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Manufacturer</w:t>
            </w: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8/15/21)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15,000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14,777</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14,777</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73"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Pickaway Plains Ambulance Services, Inc. </w:t>
            </w:r>
            <w:r>
              <w:rPr>
                <w:rFonts w:ascii="Times New Roman" w:cs="Times New Roman" w:eastAsia="Times New Roman" w:hAnsi="Times New Roman"/>
                <w:sz w:val="23"/>
                <w:szCs w:val="23"/>
                <w:color w:val="auto"/>
                <w:vertAlign w:val="superscript"/>
              </w:rPr>
              <w:t>(1) (2)</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Medical Transportation</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Senior Secured Term Debt (13% Cash, Due</w:t>
            </w: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1,548</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12/31/15)</w:t>
            </w:r>
          </w:p>
        </w:tc>
        <w:tc>
          <w:tcPr>
            <w:tcW w:w="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Medical Transportation</w:t>
            </w:r>
          </w:p>
        </w:tc>
        <w:tc>
          <w:tcPr>
            <w:tcW w:w="3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Pickaway Plains Ambulance Services, Inc.</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Common Stock Warrants (5% fully diluted)</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Precision Manufacturing, LLC </w:t>
            </w:r>
            <w:r>
              <w:rPr>
                <w:rFonts w:ascii="Times New Roman" w:cs="Times New Roman" w:eastAsia="Times New Roman" w:hAnsi="Times New Roman"/>
                <w:sz w:val="23"/>
                <w:szCs w:val="23"/>
                <w:color w:val="auto"/>
                <w:vertAlign w:val="superscript"/>
              </w:rPr>
              <w:t>(2)</w:t>
            </w: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Industrial Boiler</w:t>
            </w:r>
          </w:p>
        </w:tc>
        <w:tc>
          <w:tcPr>
            <w:tcW w:w="3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Subordinated Debt (14% PIK, Due 2/13/15)</w:t>
            </w: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219</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Precision Manufacturing, LLC </w:t>
            </w:r>
            <w:r>
              <w:rPr>
                <w:rFonts w:ascii="Times New Roman" w:cs="Times New Roman" w:eastAsia="Times New Roman" w:hAnsi="Times New Roman"/>
                <w:sz w:val="23"/>
                <w:szCs w:val="23"/>
                <w:color w:val="auto"/>
                <w:vertAlign w:val="superscript"/>
              </w:rPr>
              <w:t>(2)</w:t>
            </w: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Industrial Boiler</w:t>
            </w:r>
          </w:p>
        </w:tc>
        <w:tc>
          <w:tcPr>
            <w:tcW w:w="3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Subordinated Debt (14% Cash, Due 10/31/14)</w:t>
            </w: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300</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Precision Manufacturing, LLC </w:t>
            </w:r>
            <w:r>
              <w:rPr>
                <w:rFonts w:ascii="Times New Roman" w:cs="Times New Roman" w:eastAsia="Times New Roman" w:hAnsi="Times New Roman"/>
                <w:sz w:val="23"/>
                <w:szCs w:val="23"/>
                <w:color w:val="auto"/>
                <w:vertAlign w:val="superscript"/>
              </w:rPr>
              <w:t>(2)</w:t>
            </w: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Industrial Boiler</w:t>
            </w:r>
          </w:p>
        </w:tc>
        <w:tc>
          <w:tcPr>
            <w:tcW w:w="3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Subordinated Debt (6.5% Cash, 6.5% PIK, Due</w:t>
            </w: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2,611</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1,602</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2/10/17)</w:t>
            </w:r>
          </w:p>
        </w:tc>
        <w:tc>
          <w:tcPr>
            <w:tcW w:w="9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Industrial Boiler</w:t>
            </w:r>
          </w:p>
        </w:tc>
        <w:tc>
          <w:tcPr>
            <w:tcW w:w="3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Precision Manufacturing, LLC</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Membership Unit Warrants (6.65% fully diluted)</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Healthcare</w:t>
            </w:r>
          </w:p>
        </w:tc>
        <w:tc>
          <w:tcPr>
            <w:tcW w:w="3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Senior Secured Debt (12% cash, 4% PIK, due</w:t>
            </w:r>
          </w:p>
        </w:tc>
        <w:tc>
          <w:tcPr>
            <w:tcW w:w="9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Sequoia Healthcare Management, LLC</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Management</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7/17/2019)</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12,604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12,365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12,604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12,365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12,604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Oil &amp; Gas Engineering</w:t>
            </w:r>
          </w:p>
        </w:tc>
        <w:tc>
          <w:tcPr>
            <w:tcW w:w="3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Senior Secured Debt (12.25% Cash, Due</w:t>
            </w:r>
          </w:p>
        </w:tc>
        <w:tc>
          <w:tcPr>
            <w:tcW w:w="9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Sierra Hamilton, LLC</w:t>
            </w:r>
          </w:p>
        </w:tc>
        <w:tc>
          <w:tcPr>
            <w:tcW w:w="1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Consulting</w:t>
            </w:r>
          </w:p>
        </w:tc>
        <w:tc>
          <w:tcPr>
            <w:tcW w:w="3180" w:type="dxa"/>
            <w:vAlign w:val="bottom"/>
            <w:vMerge w:val="continue"/>
            <w:shd w:val="clear" w:color="auto" w:fill="CCEEFF"/>
          </w:tcPr>
          <w:p>
            <w:pPr>
              <w:spacing w:after="0"/>
              <w:rPr>
                <w:sz w:val="12"/>
                <w:szCs w:val="12"/>
                <w:color w:val="auto"/>
              </w:rPr>
            </w:pP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15,491</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12/15/18)</w:t>
            </w:r>
          </w:p>
        </w:tc>
        <w:tc>
          <w:tcPr>
            <w:tcW w:w="9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15,491</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Southern Pump &amp; Tank Company, LLC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Petroleum Equipment</w:t>
            </w:r>
          </w:p>
        </w:tc>
        <w:tc>
          <w:tcPr>
            <w:tcW w:w="3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Senior Secured Term Debt (13% Cash, 6% PIK,</w:t>
            </w: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4,235</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3,436</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3,802</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Supplier</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Due 1/15/15)</w:t>
            </w:r>
          </w:p>
        </w:tc>
        <w:tc>
          <w:tcPr>
            <w:tcW w:w="9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Petroleum Equipment</w:t>
            </w:r>
          </w:p>
        </w:tc>
        <w:tc>
          <w:tcPr>
            <w:tcW w:w="3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Southern Pump &amp; Tank Company, LLC</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Supplier</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Common Stock Warrants (10% fully diluted)</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3,436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Stoddard Hill Media Holdings, LLC</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 Hosting Services</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Class D Preferred Units (132,159 shares)</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5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Industrial</w:t>
            </w:r>
          </w:p>
        </w:tc>
        <w:tc>
          <w:tcPr>
            <w:tcW w:w="3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Senior Secured Term Debt (11% Cash, 2% PIK,</w:t>
            </w:r>
          </w:p>
        </w:tc>
        <w:tc>
          <w:tcPr>
            <w:tcW w:w="9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Tenere, Inc.</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Manufacturing</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Due 12/15/17)</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3,487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3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Subordinated Debt (L+8.25%, 1% Floor, Due</w:t>
            </w:r>
          </w:p>
        </w:tc>
        <w:tc>
          <w:tcPr>
            <w:tcW w:w="9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TGI Friday's, Inc.</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Restaurant</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7/15/21)</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9,960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9,960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3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Senior Secured Debt (L+11.50%, 0.5% floor,</w:t>
            </w:r>
          </w:p>
        </w:tc>
        <w:tc>
          <w:tcPr>
            <w:tcW w:w="9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Well Services, LLC</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&amp; Gas Services</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Due 5/2/19)</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4,883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4,781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4,883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Velum Global Credit Management, LLC </w:t>
            </w:r>
            <w:r>
              <w:rPr>
                <w:rFonts w:ascii="Times New Roman" w:cs="Times New Roman" w:eastAsia="Times New Roman" w:hAnsi="Times New Roman"/>
                <w:sz w:val="23"/>
                <w:szCs w:val="23"/>
                <w:color w:val="auto"/>
                <w:vertAlign w:val="superscript"/>
              </w:rPr>
              <w:t>(8)</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Financial Services</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Debt (15% Cash, Due 12/31/15)</w:t>
            </w: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8,300</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8,300</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8,300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8,300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Worklife America, Inc.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Professional Employer</w:t>
            </w:r>
          </w:p>
        </w:tc>
        <w:tc>
          <w:tcPr>
            <w:tcW w:w="29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Unit Warrants (3.84% ownership)</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2,964</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Organization</w:t>
            </w:r>
          </w:p>
        </w:tc>
        <w:tc>
          <w:tcPr>
            <w:tcW w:w="29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Professional Employer</w:t>
            </w:r>
          </w:p>
        </w:tc>
        <w:tc>
          <w:tcPr>
            <w:tcW w:w="2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Worklife America, Inc.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Organization</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Unit Warrants (3.84% ownership)</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2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3,463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Non-control/Non-affiliated investments</w:t>
            </w:r>
          </w:p>
        </w:tc>
        <w:tc>
          <w:tcPr>
            <w:tcW w:w="2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158,338</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181,245</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2"/>
                <w:szCs w:val="12"/>
                <w:color w:val="auto"/>
              </w:rPr>
              <w:t>70.4</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Affiliate investments - 71.6%</w:t>
            </w:r>
          </w:p>
        </w:tc>
        <w:tc>
          <w:tcPr>
            <w:tcW w:w="16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Burgaflex Holdings, LLC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Automobile Part</w:t>
            </w:r>
          </w:p>
        </w:tc>
        <w:tc>
          <w:tcPr>
            <w:tcW w:w="29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Senior Subordinated Debt (14% cash, due</w:t>
            </w:r>
          </w:p>
        </w:tc>
        <w:tc>
          <w:tcPr>
            <w:tcW w:w="3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5,000</w:t>
            </w:r>
          </w:p>
        </w:tc>
        <w:tc>
          <w:tcPr>
            <w:tcW w:w="2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1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Manufacturer</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8/14/2019)</w:t>
            </w:r>
          </w:p>
        </w:tc>
        <w:tc>
          <w:tcPr>
            <w:tcW w:w="3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Burgaflex Holdings, LLC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Automobile Part</w:t>
            </w:r>
          </w:p>
        </w:tc>
        <w:tc>
          <w:tcPr>
            <w:tcW w:w="29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Junior Subordinated Debt (12% cash, due</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7,225</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7,225</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7,225</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Manufacturer</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8/14/2019)</w:t>
            </w: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Automobile Part</w:t>
            </w:r>
          </w:p>
        </w:tc>
        <w:tc>
          <w:tcPr>
            <w:tcW w:w="2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Burgaflex Holdings, LLC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Manufacturer</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(11.54% Ownership)</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2,104</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2,314</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14,329</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14,539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Chef'N Corporation</w:t>
            </w:r>
          </w:p>
        </w:tc>
        <w:tc>
          <w:tcPr>
            <w:tcW w:w="1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Culinary Products</w:t>
            </w:r>
          </w:p>
        </w:tc>
        <w:tc>
          <w:tcPr>
            <w:tcW w:w="29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Subordinated Debt (13%, 2% PIK at company's</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6,300</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6,300</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6,300</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vMerge w:val="continue"/>
            <w:shd w:val="clear" w:color="auto" w:fill="CCEEFF"/>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option, Due 5/16/18)</w:t>
            </w: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Chef'N Corporation</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Culinary Products</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Series A Preferred Stock (1,000,000 shares)</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5,206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7,300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11,506</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City Gear, LLC</w:t>
            </w:r>
          </w:p>
        </w:tc>
        <w:tc>
          <w:tcPr>
            <w:tcW w:w="1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Footwear Retail</w:t>
            </w:r>
          </w:p>
        </w:tc>
        <w:tc>
          <w:tcPr>
            <w:tcW w:w="29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Subordinated Debt (13% Cash, Due 9/28/16)</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8,231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8,231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8,231</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City Gear, LLC </w:t>
            </w:r>
            <w:r>
              <w:rPr>
                <w:rFonts w:ascii="Times New Roman" w:cs="Times New Roman" w:eastAsia="Times New Roman" w:hAnsi="Times New Roman"/>
                <w:sz w:val="21"/>
                <w:szCs w:val="21"/>
                <w:color w:val="auto"/>
                <w:vertAlign w:val="superscript"/>
              </w:rPr>
              <w:t>(5)</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Footwear Retail</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Membership Units (9% cash dividend)</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29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Membership Unit Warrants (14.15% fully</w:t>
            </w: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City Gear, LLC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Footwear Retail</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6,213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15,713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Visions, Inc.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Sales &amp; Marketing</w:t>
            </w:r>
          </w:p>
        </w:tc>
        <w:tc>
          <w:tcPr>
            <w:tcW w:w="29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Subordinated Debt (14% Cash, 2% PIK, Due</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11,344</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11,344</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11,344</w:t>
            </w:r>
          </w:p>
        </w:tc>
        <w:tc>
          <w:tcPr>
            <w:tcW w:w="2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Services</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3/22/18)</w:t>
            </w: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Visions, Inc.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Sales &amp; Marketing</w:t>
            </w:r>
          </w:p>
        </w:tc>
        <w:tc>
          <w:tcPr>
            <w:tcW w:w="29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(2,216,463 shares)</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2,576</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w:t>
            </w:r>
          </w:p>
        </w:tc>
        <w:tc>
          <w:tcPr>
            <w:tcW w:w="2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Services</w:t>
            </w:r>
          </w:p>
        </w:tc>
        <w:tc>
          <w:tcPr>
            <w:tcW w:w="29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Sales &amp; Marketing</w:t>
            </w:r>
          </w:p>
        </w:tc>
        <w:tc>
          <w:tcPr>
            <w:tcW w:w="2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Visions, Inc.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Services</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Warrant (403,257 shares)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2,016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13,920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24,442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GA Communications, Inc.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Advertising &amp;</w:t>
            </w:r>
          </w:p>
        </w:tc>
        <w:tc>
          <w:tcPr>
            <w:tcW w:w="29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Series A-1 Preferred Stock (1,998 shares, 8%</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2,145</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2,510</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Marketing Services</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PIK dividend)</w:t>
            </w: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Advertising &amp;</w:t>
            </w:r>
          </w:p>
        </w:tc>
        <w:tc>
          <w:tcPr>
            <w:tcW w:w="2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 Communications, Inc.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Marketing Services</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Series B-1 Common Stock (200,000 shares)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2,147</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4,440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Impresa Aerospace Holdings, LLC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Aerospace Parts</w:t>
            </w:r>
          </w:p>
        </w:tc>
        <w:tc>
          <w:tcPr>
            <w:tcW w:w="29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A Membership Units (1,006,621 units)</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Manufacturer</w:t>
            </w:r>
          </w:p>
        </w:tc>
        <w:tc>
          <w:tcPr>
            <w:tcW w:w="29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Impresa Aerospace Holdings, LLC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Aerospace Parts</w:t>
            </w:r>
          </w:p>
        </w:tc>
        <w:tc>
          <w:tcPr>
            <w:tcW w:w="29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C Membership Units (362,416 units)</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Manufacturer</w:t>
            </w:r>
          </w:p>
        </w:tc>
        <w:tc>
          <w:tcPr>
            <w:tcW w:w="29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Aerospace Parts</w:t>
            </w:r>
          </w:p>
        </w:tc>
        <w:tc>
          <w:tcPr>
            <w:tcW w:w="2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Impresa Aerospace Holdings, LLC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Manufacturer</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F Membership Units (604,504 units)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1,867</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1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9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Subordinated Debt (13% Cash, Due 7/16/18)</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1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9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(8,182 shares)</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2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J&amp;J Produce Holdings, Inc.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Produce Distribution</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Warrants (4,506 shares)</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6,179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LJS Partners, LLC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QSR Franchisor</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(1,500,000 shares)</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2,959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2,959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MJC Holdings, LLC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Specialty Clothing</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Series A Preferred Units (2,000,000 units)</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4,941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4,941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MMI Holdings, LLC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29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Debt (12% Cash, Due 10/17/14)</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2,600</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2,600</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2,600</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Distributor</w:t>
            </w:r>
          </w:p>
        </w:tc>
        <w:tc>
          <w:tcPr>
            <w:tcW w:w="29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MMI Holdings, LLC</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29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Subordinated Debt (6% Cash, Due 8/15/15)</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Distributor</w:t>
            </w:r>
          </w:p>
        </w:tc>
        <w:tc>
          <w:tcPr>
            <w:tcW w:w="29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MMI Holdings, LLC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29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Units (1,000 units, 6% PIK dividend)</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1,116</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1,254</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vMerge w:val="continue"/>
            <w:shd w:val="clear" w:color="auto" w:fill="CCEEFF"/>
          </w:tcPr>
          <w:p>
            <w:pPr>
              <w:spacing w:after="0"/>
              <w:rPr>
                <w:sz w:val="14"/>
                <w:szCs w:val="14"/>
                <w:color w:val="auto"/>
              </w:rPr>
            </w:pP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Distributor</w:t>
            </w:r>
          </w:p>
        </w:tc>
        <w:tc>
          <w:tcPr>
            <w:tcW w:w="29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MMI Holdings, LLC</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Medical Device</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Units (45 units)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04"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Distributor</w:t>
            </w:r>
          </w:p>
        </w:tc>
        <w:tc>
          <w:tcPr>
            <w:tcW w:w="3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4,104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4,406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MTI Holdings, LLC</w:t>
            </w: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Retail Display &amp;</w:t>
            </w:r>
          </w:p>
        </w:tc>
        <w:tc>
          <w:tcPr>
            <w:tcW w:w="3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Subordinated Debt (12% Cash, Due 11/1/18)</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Security Services</w:t>
            </w:r>
          </w:p>
        </w:tc>
        <w:tc>
          <w:tcPr>
            <w:tcW w:w="318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Retail Display &amp;</w:t>
            </w:r>
          </w:p>
        </w:tc>
        <w:tc>
          <w:tcPr>
            <w:tcW w:w="3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MTI Holdings, LLC</w:t>
            </w: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Security Services</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 Units (2,000,000 units)</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4,392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12,392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ABUTEC, LLC</w:t>
            </w: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Environmental</w:t>
            </w:r>
          </w:p>
        </w:tc>
        <w:tc>
          <w:tcPr>
            <w:tcW w:w="31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Senior Secured Debt (12% Cash, 3% PIK, Due</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5,243</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5,243</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5,243</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Services Products</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12/28/17)</w:t>
            </w:r>
          </w:p>
        </w:tc>
        <w:tc>
          <w:tcPr>
            <w:tcW w:w="9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Environmental</w:t>
            </w:r>
          </w:p>
        </w:tc>
        <w:tc>
          <w:tcPr>
            <w:tcW w:w="31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Preferred Membership Units (10.8% fully</w:t>
            </w: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ABUTEC, LLC</w:t>
            </w: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Services Products</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6,483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Penray, LLC</w:t>
            </w: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Automotive Chemicals</w:t>
            </w:r>
          </w:p>
        </w:tc>
        <w:tc>
          <w:tcPr>
            <w:tcW w:w="3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Subordinated Debt (13% Cash, Due 2/17/17)</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&amp; Lubricants</w:t>
            </w:r>
          </w:p>
        </w:tc>
        <w:tc>
          <w:tcPr>
            <w:tcW w:w="318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Penray, LLC</w:t>
            </w: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Automotive Chemicals</w:t>
            </w:r>
          </w:p>
        </w:tc>
        <w:tc>
          <w:tcPr>
            <w:tcW w:w="3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Warrants (6.65% ownership)</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&amp; Lubricants</w:t>
            </w:r>
          </w:p>
        </w:tc>
        <w:tc>
          <w:tcPr>
            <w:tcW w:w="318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Automotive Chemicals</w:t>
            </w:r>
          </w:p>
        </w:tc>
        <w:tc>
          <w:tcPr>
            <w:tcW w:w="3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Penray, LLC</w:t>
            </w: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&amp; Lubricants</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Membership Units (11.3% ownership)</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SSCR, LLC</w:t>
            </w: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Personal Product</w:t>
            </w:r>
          </w:p>
        </w:tc>
        <w:tc>
          <w:tcPr>
            <w:tcW w:w="31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Senior Secured Term Debt (10% Cash, Due</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2,824</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6/12/17)</w:t>
            </w:r>
          </w:p>
        </w:tc>
        <w:tc>
          <w:tcPr>
            <w:tcW w:w="9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SSCR, LLC</w:t>
            </w: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Personal Product</w:t>
            </w:r>
          </w:p>
        </w:tc>
        <w:tc>
          <w:tcPr>
            <w:tcW w:w="3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Subordinated Debt (14% Cash, Due 9/15/17)</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17,125</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17,125</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13,613</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SSCR, LLC</w:t>
            </w: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Personal Product</w:t>
            </w:r>
          </w:p>
        </w:tc>
        <w:tc>
          <w:tcPr>
            <w:tcW w:w="3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Membership Units (15.8% ownership)</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1,878</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00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Personal Product</w:t>
            </w:r>
          </w:p>
        </w:tc>
        <w:tc>
          <w:tcPr>
            <w:tcW w:w="3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Capital SSCR, LLC</w:t>
            </w: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Membership Unit Warrant (0.31% ownership)</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22,013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16,437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Source Recycling, LLC </w:t>
            </w:r>
            <w:r>
              <w:rPr>
                <w:rFonts w:ascii="Times New Roman" w:cs="Times New Roman" w:eastAsia="Times New Roman" w:hAnsi="Times New Roman"/>
                <w:sz w:val="21"/>
                <w:szCs w:val="21"/>
                <w:color w:val="auto"/>
                <w:vertAlign w:val="superscript"/>
              </w:rPr>
              <w:t>(2)</w:t>
            </w: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Metal Recycler</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Subordinated Debt (13% Cash, Due 9/2/16)</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Source Recycling, LLC</w:t>
            </w:r>
          </w:p>
        </w:tc>
        <w:tc>
          <w:tcPr>
            <w:tcW w:w="2000" w:type="dxa"/>
            <w:vAlign w:val="bottom"/>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Metal Recycler</w:t>
            </w:r>
          </w:p>
        </w:tc>
        <w:tc>
          <w:tcPr>
            <w:tcW w:w="3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Membership Units (68,656 units)</w:t>
            </w:r>
          </w:p>
        </w:tc>
        <w:tc>
          <w:tcPr>
            <w:tcW w:w="9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Recycling, LLC</w:t>
            </w: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Metal Recycler</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Membership Unit Warrants (1% fully diluted)</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6,590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Sparus Holdings, Inc. </w:t>
            </w:r>
            <w:r>
              <w:rPr>
                <w:rFonts w:ascii="Times New Roman" w:cs="Times New Roman" w:eastAsia="Times New Roman" w:hAnsi="Times New Roman"/>
                <w:sz w:val="23"/>
                <w:szCs w:val="23"/>
                <w:color w:val="auto"/>
                <w:vertAlign w:val="superscript"/>
              </w:rPr>
              <w:t>(1)</w:t>
            </w:r>
          </w:p>
        </w:tc>
        <w:tc>
          <w:tcPr>
            <w:tcW w:w="20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Energy Services</w:t>
            </w:r>
          </w:p>
        </w:tc>
        <w:tc>
          <w:tcPr>
            <w:tcW w:w="31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Senior Secured Debt (12% Cash, 2% PIK, Due</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12,078</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12,078</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2000" w:type="dxa"/>
            <w:vAlign w:val="bottom"/>
            <w:vMerge w:val="continue"/>
            <w:shd w:val="clear" w:color="auto" w:fill="CCEEFF"/>
          </w:tcPr>
          <w:p>
            <w:pPr>
              <w:spacing w:after="0"/>
              <w:rPr>
                <w:sz w:val="14"/>
                <w:szCs w:val="14"/>
                <w:color w:val="auto"/>
              </w:rPr>
            </w:pP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3/21/16)</w:t>
            </w:r>
          </w:p>
        </w:tc>
        <w:tc>
          <w:tcPr>
            <w:tcW w:w="9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Sparus Holdings, Inc.</w:t>
            </w:r>
          </w:p>
        </w:tc>
        <w:tc>
          <w:tcPr>
            <w:tcW w:w="2000" w:type="dxa"/>
            <w:vAlign w:val="bottom"/>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Energy Services</w:t>
            </w:r>
          </w:p>
        </w:tc>
        <w:tc>
          <w:tcPr>
            <w:tcW w:w="3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Series B Preferred Stock (5,703 shares)</w:t>
            </w:r>
          </w:p>
        </w:tc>
        <w:tc>
          <w:tcPr>
            <w:tcW w:w="9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Sparus Holdings, Inc.</w:t>
            </w: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Energy Services</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Warrants (3,491 shares)</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13,251</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STX Healthcare Management Services, Inc.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Dental Practice</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Debt (14% Cash, Due 7/31/15)</w:t>
            </w:r>
          </w:p>
        </w:tc>
        <w:tc>
          <w:tcPr>
            <w:tcW w:w="3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7,425</w:t>
            </w:r>
          </w:p>
        </w:tc>
        <w:tc>
          <w:tcPr>
            <w:tcW w:w="2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7,425</w:t>
            </w:r>
          </w:p>
        </w:tc>
        <w:tc>
          <w:tcPr>
            <w:tcW w:w="2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7,425</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STX Healthcare Management Services, Inc.</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Dental Practice</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(1,200,000 shares)</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1,200</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Dental Practice</w:t>
            </w:r>
          </w:p>
        </w:tc>
        <w:tc>
          <w:tcPr>
            <w:tcW w:w="30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STX Healthcare Management Services, Inc.</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Warrants (1,154,254 shares)</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8,843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8,818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TCE Holdings, Inc.</w:t>
            </w:r>
          </w:p>
        </w:tc>
        <w:tc>
          <w:tcPr>
            <w:tcW w:w="1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Oil &amp; Gas Services</w:t>
            </w:r>
          </w:p>
        </w:tc>
        <w:tc>
          <w:tcPr>
            <w:tcW w:w="30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Subordinated Debt (12% Cash, 2% PIK, Due</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12,273</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12,273</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12,273</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11/22/18)</w:t>
            </w: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TCE Holdings, Inc.</w:t>
            </w:r>
          </w:p>
        </w:tc>
        <w:tc>
          <w:tcPr>
            <w:tcW w:w="1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Oil &amp; Gas Services</w:t>
            </w:r>
          </w:p>
        </w:tc>
        <w:tc>
          <w:tcPr>
            <w:tcW w:w="30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Subordinated Debt (12% Cash, 2% PIK, Due</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9,779</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9,779</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9,779</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2/1/19)</w:t>
            </w: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TCE Holdings, Inc.</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Oil &amp; Gas Services</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 Stock (3,600 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3,600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25,652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25,652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V12 Holdings, Inc.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Bridge Note (0% Cash, Due 12/31/14)</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663</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V12 Holdings, Inc.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Tier 2 Note (0% Cash, Due 12/31/14)</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V12 Holdings, Inc.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Subordinated Note (0% Cash, Due</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3,563</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2,369</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3,563</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12/31/14)</w:t>
            </w: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V12 Holdings, Inc.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Tier 3 Note (0% Cash, Due 12/31/14)</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V12 Holdings, Inc.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Jr. Subordinated Note (0% Cash, Due 12/31/14)</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2,750</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2,750</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V12 Holdings, Inc.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Tier 4 Note (0% Cash, Due 12/31/14)</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V12 Holdings, Inc.</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Series A-1 Preferred Stock (255,102 shares)</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V12 Holdings, Inc.</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Series A-3 Preferred Stock (88,194 shares)</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V12 Holdings, Inc.</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Series A-5 Preferred Stock (20,530 shares)</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Data Processing &amp;</w:t>
            </w:r>
          </w:p>
        </w:tc>
        <w:tc>
          <w:tcPr>
            <w:tcW w:w="30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V12 Holdings, Inc.</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Marketing</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Warrants (2,063,629 warrants)</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2,981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7,599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Affiliate investments</w:t>
            </w:r>
          </w:p>
        </w:tc>
        <w:tc>
          <w:tcPr>
            <w:tcW w:w="152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161,730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185,051</w:t>
            </w:r>
          </w:p>
        </w:tc>
        <w:tc>
          <w:tcPr>
            <w:tcW w:w="9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2"/>
                <w:szCs w:val="12"/>
                <w:color w:val="auto"/>
              </w:rPr>
              <w:t>71.6</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 - 30.5%</w:t>
            </w:r>
          </w:p>
        </w:tc>
        <w:tc>
          <w:tcPr>
            <w:tcW w:w="152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CableOrganizer Acquisition, LLC</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Computer Supply</w:t>
            </w:r>
          </w:p>
        </w:tc>
        <w:tc>
          <w:tcPr>
            <w:tcW w:w="30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Secured Term Debt (12% Cash, 4% PIK,</w:t>
            </w:r>
          </w:p>
        </w:tc>
        <w:tc>
          <w:tcPr>
            <w:tcW w:w="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10,715</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10,715</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10,715</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Due 5/24/18)</w:t>
            </w:r>
          </w:p>
        </w:tc>
        <w:tc>
          <w:tcPr>
            <w:tcW w:w="3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Computer Supply</w:t>
            </w:r>
          </w:p>
        </w:tc>
        <w:tc>
          <w:tcPr>
            <w:tcW w:w="30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CableOrganizer Acquisition, LLC</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(1,125,000 shares)</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1,125</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1,366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12,081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KBP Investments, LLC </w:t>
            </w:r>
            <w:r>
              <w:rPr>
                <w:rFonts w:ascii="Times New Roman" w:cs="Times New Roman" w:eastAsia="Times New Roman" w:hAnsi="Times New Roman"/>
                <w:sz w:val="23"/>
                <w:szCs w:val="23"/>
                <w:color w:val="auto"/>
                <w:vertAlign w:val="superscript"/>
              </w:rPr>
              <w:t>(5) (6)</w:t>
            </w:r>
          </w:p>
        </w:tc>
        <w:tc>
          <w:tcPr>
            <w:tcW w:w="1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QSR Franchisee</w:t>
            </w:r>
          </w:p>
        </w:tc>
        <w:tc>
          <w:tcPr>
            <w:tcW w:w="30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Preferred Stock (8,270 shares, 10% Cash</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8,269</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8,269</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w:t>
            </w: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KBP Investments, LLC</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QSR Franchisee</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 Stock (380,413 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11,735</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8,269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20,004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Market E's, LLC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Online Travel Sales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Senior Secured Debt (10% Cash, Due 5/31/15)</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1,033</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54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Market E's, LLC </w:t>
            </w:r>
            <w:r>
              <w:rPr>
                <w:rFonts w:ascii="Times New Roman" w:cs="Times New Roman" w:eastAsia="Times New Roman" w:hAnsi="Times New Roman"/>
                <w:sz w:val="23"/>
                <w:szCs w:val="23"/>
                <w:color w:val="auto"/>
                <w:vertAlign w:val="superscript"/>
              </w:rPr>
              <w:t>(1) (2)</w:t>
            </w:r>
          </w:p>
        </w:tc>
        <w:tc>
          <w:tcPr>
            <w:tcW w:w="454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Online Travel Sales &amp;   Subordinated Debt (14% Cash, 3% PIK, Due</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2,897</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2,833</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Marketing</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12/31/14)</w:t>
            </w: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E's, LLC</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Online Travel Sales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Preferred Stock (600 shares)</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E's, LLC</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Online Travel Sales &amp;</w:t>
            </w:r>
          </w:p>
        </w:tc>
        <w:tc>
          <w:tcPr>
            <w:tcW w:w="3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B Preferred Stock (2,411 shares)</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Marketing</w:t>
            </w:r>
          </w:p>
        </w:tc>
        <w:tc>
          <w:tcPr>
            <w:tcW w:w="30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Online Travel Sales &amp;</w:t>
            </w:r>
          </w:p>
        </w:tc>
        <w:tc>
          <w:tcPr>
            <w:tcW w:w="30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E's, LLC</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Marketing</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 Stock (600 shares)</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5,003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1,750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Micro Precision, LLC</w:t>
            </w:r>
          </w:p>
        </w:tc>
        <w:tc>
          <w:tcPr>
            <w:tcW w:w="15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3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Subordinated Debt (10% Cash, Due 9/16/16)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Micro Precision, LLC</w:t>
            </w:r>
          </w:p>
        </w:tc>
        <w:tc>
          <w:tcPr>
            <w:tcW w:w="1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Conglomerate</w:t>
            </w:r>
          </w:p>
        </w:tc>
        <w:tc>
          <w:tcPr>
            <w:tcW w:w="30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Subordinated Debt (14% Cash, 4% PIK, Due</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3,655</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3,655</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3,655</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9/16/16)</w:t>
            </w: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Micro Precision, LLC</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Conglomerate</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Series A Preferred Units (47 units)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1,906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7,146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7,423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Navis Holdings, Inc.</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Textile Equipment</w:t>
            </w:r>
          </w:p>
        </w:tc>
        <w:tc>
          <w:tcPr>
            <w:tcW w:w="30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Secured Term Debt (17% Cash, 3% PIK</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6,500</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6,500</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6,500</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Manufacturer</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Company's option, Due 2/1/16)</w:t>
            </w: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Navis Holdings, Inc. </w:t>
            </w:r>
            <w:r>
              <w:rPr>
                <w:rFonts w:ascii="Times New Roman" w:cs="Times New Roman" w:eastAsia="Times New Roman" w:hAnsi="Times New Roman"/>
                <w:sz w:val="23"/>
                <w:szCs w:val="23"/>
                <w:color w:val="auto"/>
                <w:vertAlign w:val="superscript"/>
              </w:rPr>
              <w:t>(5)</w:t>
            </w:r>
          </w:p>
        </w:tc>
        <w:tc>
          <w:tcPr>
            <w:tcW w:w="15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Textile Equipment</w:t>
            </w:r>
          </w:p>
        </w:tc>
        <w:tc>
          <w:tcPr>
            <w:tcW w:w="30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Preferred Stock (1,000 shares, 10% Cash</w:t>
            </w:r>
          </w:p>
        </w:tc>
        <w:tc>
          <w:tcPr>
            <w:tcW w:w="3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Manufacturer</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w:t>
            </w:r>
          </w:p>
        </w:tc>
        <w:tc>
          <w:tcPr>
            <w:tcW w:w="3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888"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Textile Equipment</w:t>
            </w:r>
          </w:p>
        </w:tc>
        <w:tc>
          <w:tcPr>
            <w:tcW w:w="3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Navis Holdings, Inc.</w:t>
            </w:r>
          </w:p>
        </w:tc>
        <w:tc>
          <w:tcPr>
            <w:tcW w:w="1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Manufacturer</w:t>
            </w:r>
          </w:p>
        </w:tc>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(300,000 shares)</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2,441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7,501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9,941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On-Site Fuel Services, Inc.</w:t>
            </w:r>
          </w:p>
        </w:tc>
        <w:tc>
          <w:tcPr>
            <w:tcW w:w="1720" w:type="dxa"/>
            <w:vAlign w:val="bottom"/>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Fuel Transportation</w:t>
            </w:r>
          </w:p>
        </w:tc>
        <w:tc>
          <w:tcPr>
            <w:tcW w:w="31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Subordinated Debt (14% Cash, 4% PIK, Due</w:t>
            </w: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4,997</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4,997</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4,997</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vMerge w:val="continue"/>
            <w:shd w:val="clear" w:color="auto" w:fill="CCEEFF"/>
          </w:tcPr>
          <w:p>
            <w:pPr>
              <w:spacing w:after="0"/>
              <w:rPr>
                <w:sz w:val="14"/>
                <w:szCs w:val="14"/>
                <w:color w:val="auto"/>
              </w:rPr>
            </w:pPr>
          </w:p>
        </w:tc>
        <w:tc>
          <w:tcPr>
            <w:tcW w:w="1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Services</w:t>
            </w:r>
          </w:p>
        </w:tc>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12/19/16)</w:t>
            </w: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On-Site Fuel Services, Inc.</w:t>
            </w:r>
          </w:p>
        </w:tc>
        <w:tc>
          <w:tcPr>
            <w:tcW w:w="1720" w:type="dxa"/>
            <w:vAlign w:val="bottom"/>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Fuel Transportation</w:t>
            </w:r>
          </w:p>
        </w:tc>
        <w:tc>
          <w:tcPr>
            <w:tcW w:w="31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A Preferred Stock (32,782 shares)</w:t>
            </w: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3,278</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vMerge w:val="continue"/>
            <w:shd w:val="clear" w:color="auto" w:fill="CCEEFF"/>
          </w:tcPr>
          <w:p>
            <w:pPr>
              <w:spacing w:after="0"/>
              <w:rPr>
                <w:sz w:val="14"/>
                <w:szCs w:val="14"/>
                <w:color w:val="auto"/>
              </w:rPr>
            </w:pPr>
          </w:p>
        </w:tc>
        <w:tc>
          <w:tcPr>
            <w:tcW w:w="1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Services</w:t>
            </w:r>
          </w:p>
        </w:tc>
        <w:tc>
          <w:tcPr>
            <w:tcW w:w="318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On-Site Fuel Services, Inc.</w:t>
            </w:r>
          </w:p>
        </w:tc>
        <w:tc>
          <w:tcPr>
            <w:tcW w:w="1720" w:type="dxa"/>
            <w:vAlign w:val="bottom"/>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Fuel Transportation</w:t>
            </w:r>
          </w:p>
        </w:tc>
        <w:tc>
          <w:tcPr>
            <w:tcW w:w="31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B Preferred Stock (23,648 shares)</w:t>
            </w: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2,365</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2,300</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vMerge w:val="continue"/>
            <w:shd w:val="clear" w:color="auto" w:fill="CCEEFF"/>
          </w:tcPr>
          <w:p>
            <w:pPr>
              <w:spacing w:after="0"/>
              <w:rPr>
                <w:sz w:val="14"/>
                <w:szCs w:val="14"/>
                <w:color w:val="auto"/>
              </w:rPr>
            </w:pPr>
          </w:p>
        </w:tc>
        <w:tc>
          <w:tcPr>
            <w:tcW w:w="1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Services</w:t>
            </w:r>
          </w:p>
        </w:tc>
        <w:tc>
          <w:tcPr>
            <w:tcW w:w="318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720" w:type="dxa"/>
            <w:vAlign w:val="bottom"/>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Fuel Transportation</w:t>
            </w:r>
          </w:p>
        </w:tc>
        <w:tc>
          <w:tcPr>
            <w:tcW w:w="3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On-Site Fuel Services, Inc.</w:t>
            </w:r>
          </w:p>
        </w:tc>
        <w:tc>
          <w:tcPr>
            <w:tcW w:w="1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Services</w:t>
            </w:r>
          </w:p>
        </w:tc>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(33,107 shares)</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10,673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7,297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 Direction, Inc.</w:t>
            </w:r>
          </w:p>
        </w:tc>
        <w:tc>
          <w:tcPr>
            <w:tcW w:w="17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Printing Services</w:t>
            </w:r>
          </w:p>
        </w:tc>
        <w:tc>
          <w:tcPr>
            <w:tcW w:w="31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Senior Secured Term Debt (15% Cash, Due</w:t>
            </w: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14,000</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14,000</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14,000</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vMerge w:val="continue"/>
            <w:shd w:val="clear" w:color="auto" w:fill="CCEEFF"/>
          </w:tcPr>
          <w:p>
            <w:pPr>
              <w:spacing w:after="0"/>
              <w:rPr>
                <w:sz w:val="14"/>
                <w:szCs w:val="14"/>
                <w:color w:val="auto"/>
              </w:rPr>
            </w:pPr>
          </w:p>
        </w:tc>
        <w:tc>
          <w:tcPr>
            <w:tcW w:w="1720" w:type="dxa"/>
            <w:vAlign w:val="bottom"/>
            <w:vMerge w:val="continue"/>
            <w:shd w:val="clear" w:color="auto" w:fill="CCEEFF"/>
          </w:tcPr>
          <w:p>
            <w:pPr>
              <w:spacing w:after="0"/>
              <w:rPr>
                <w:sz w:val="14"/>
                <w:szCs w:val="14"/>
                <w:color w:val="auto"/>
              </w:rPr>
            </w:pPr>
          </w:p>
        </w:tc>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2/24/19)</w:t>
            </w: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 Direction, Inc.</w:t>
            </w:r>
          </w:p>
        </w:tc>
        <w:tc>
          <w:tcPr>
            <w:tcW w:w="1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Printing Services</w:t>
            </w:r>
          </w:p>
        </w:tc>
        <w:tc>
          <w:tcPr>
            <w:tcW w:w="31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(19,363 shares)</w:t>
            </w:r>
          </w:p>
        </w:tc>
        <w:tc>
          <w:tcPr>
            <w:tcW w:w="100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6,066</w:t>
            </w: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 Direction, Inc.</w:t>
            </w:r>
          </w:p>
        </w:tc>
        <w:tc>
          <w:tcPr>
            <w:tcW w:w="1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Printing Services</w:t>
            </w:r>
          </w:p>
        </w:tc>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Warrants (3% fully diluted)</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16,990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20,334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Control investments</w:t>
            </w:r>
          </w:p>
        </w:tc>
        <w:tc>
          <w:tcPr>
            <w:tcW w:w="17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67,422</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78,830</w:t>
            </w:r>
          </w:p>
        </w:tc>
        <w:tc>
          <w:tcPr>
            <w:tcW w:w="9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2"/>
                <w:szCs w:val="12"/>
                <w:color w:val="auto"/>
              </w:rPr>
              <w:t>30.5</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INVESTMENTS - 172.5%</w:t>
            </w:r>
          </w:p>
        </w:tc>
        <w:tc>
          <w:tcPr>
            <w:tcW w:w="17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387,490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445,126</w:t>
            </w:r>
          </w:p>
        </w:tc>
        <w:tc>
          <w:tcPr>
            <w:tcW w:w="9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2"/>
                <w:szCs w:val="12"/>
                <w:b w:val="1"/>
                <w:bCs w:val="1"/>
                <w:color w:val="auto"/>
              </w:rPr>
              <w:t>172.5</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original investment has been extended.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deterioration in credit quality, this investment is on non-accrual status.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investments are income producing. Equity and warrant investments are non-income producing, unless otherwise noted.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net assets of $258,116 as of September 30, 2014.</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is income producing, based on rate disclosed.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2013, the Company accepted a consent fee that waives its right to dividends through September 30, 2014.</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has an exercisable put option.</w:t>
      </w:r>
    </w:p>
    <w:p>
      <w:pPr>
        <w:spacing w:after="0" w:line="9"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3"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units)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ectPr>
          <w:pgSz w:w="11900" w:h="16838" w:orient="portrait"/>
          <w:cols w:equalWidth="0" w:num="1">
            <w:col w:w="11420"/>
          </w:cols>
          <w:pgMar w:left="240" w:top="873"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(4, 5)</w:t>
      </w:r>
    </w:p>
    <w:p>
      <w:pPr>
        <w:ind w:right="1120"/>
        <w:spacing w:after="0" w:line="233" w:lineRule="auto"/>
        <w:rPr>
          <w:sz w:val="20"/>
          <w:szCs w:val="20"/>
          <w:color w:val="auto"/>
        </w:rPr>
      </w:pPr>
      <w:r>
        <w:rPr>
          <w:rFonts w:ascii="Times New Roman" w:cs="Times New Roman" w:eastAsia="Times New Roman" w:hAnsi="Times New Roman"/>
          <w:sz w:val="14"/>
          <w:szCs w:val="14"/>
          <w:b w:val="1"/>
          <w:bCs w:val="1"/>
          <w:color w:val="auto"/>
        </w:rPr>
        <w:t xml:space="preserve">Non-control/Non-affiliated investments - 36.9% </w:t>
      </w:r>
      <w:r>
        <w:rPr>
          <w:rFonts w:ascii="Times New Roman" w:cs="Times New Roman" w:eastAsia="Times New Roman" w:hAnsi="Times New Roman"/>
          <w:sz w:val="14"/>
          <w:szCs w:val="14"/>
          <w:color w:val="auto"/>
        </w:rPr>
        <w:t>AAE Acquisition,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AAE Acquisition, LLC</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American Exteriors, LLC</w:t>
      </w:r>
      <w:r>
        <w:rPr>
          <w:rFonts w:ascii="Times New Roman" w:cs="Times New Roman" w:eastAsia="Times New Roman" w:hAnsi="Times New Roman"/>
          <w:sz w:val="23"/>
          <w:szCs w:val="23"/>
          <w:color w:val="auto"/>
          <w:vertAlign w:val="superscript"/>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American Exteriors, LLC </w:t>
      </w:r>
      <w:r>
        <w:rPr>
          <w:rFonts w:ascii="Times New Roman" w:cs="Times New Roman" w:eastAsia="Times New Roman" w:hAnsi="Times New Roman"/>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American Exteriors, LLC </w:t>
      </w:r>
      <w:r>
        <w:rPr>
          <w:rFonts w:ascii="Times New Roman" w:cs="Times New Roman" w:eastAsia="Times New Roman" w:hAnsi="Times New Roman"/>
          <w:sz w:val="23"/>
          <w:szCs w:val="23"/>
          <w:color w:val="auto"/>
          <w:vertAlign w:val="superscript"/>
        </w:rPr>
        <w:t>(8)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Boot Barn Holding Corporation</w:t>
      </w:r>
    </w:p>
    <w:p>
      <w:pPr>
        <w:spacing w:after="0" w:line="163" w:lineRule="exact"/>
        <w:rPr>
          <w:sz w:val="20"/>
          <w:szCs w:val="20"/>
          <w:color w:val="auto"/>
        </w:rPr>
      </w:pPr>
    </w:p>
    <w:p>
      <w:pPr>
        <w:ind w:right="1200"/>
        <w:spacing w:after="0" w:line="297" w:lineRule="auto"/>
        <w:rPr>
          <w:sz w:val="20"/>
          <w:szCs w:val="20"/>
          <w:color w:val="auto"/>
        </w:rPr>
      </w:pPr>
      <w:r>
        <w:rPr>
          <w:rFonts w:ascii="Times New Roman" w:cs="Times New Roman" w:eastAsia="Times New Roman" w:hAnsi="Times New Roman"/>
          <w:sz w:val="14"/>
          <w:szCs w:val="14"/>
          <w:color w:val="auto"/>
        </w:rPr>
        <w:t xml:space="preserve">Caregiver Services, Inc. Caregiver Services, Inc. </w:t>
      </w:r>
      <w:r>
        <w:rPr>
          <w:rFonts w:ascii="Times New Roman" w:cs="Times New Roman" w:eastAsia="Times New Roman" w:hAnsi="Times New Roman"/>
          <w:sz w:val="23"/>
          <w:szCs w:val="23"/>
          <w:color w:val="auto"/>
          <w:vertAlign w:val="superscript"/>
        </w:rPr>
        <w:t>(8)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Crowley Holdings, Inc. </w:t>
      </w:r>
      <w:r>
        <w:rPr>
          <w:rFonts w:ascii="Times New Roman" w:cs="Times New Roman" w:eastAsia="Times New Roman" w:hAnsi="Times New Roman"/>
          <w:sz w:val="23"/>
          <w:szCs w:val="23"/>
          <w:color w:val="auto"/>
          <w:vertAlign w:val="superscript"/>
        </w:rPr>
        <w:t>(6)</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Immersive Media Tactical Solutions,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Immersive Media Tactical Solutions, LLC</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Medical Depot,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Medical Depot,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Naples Lumber &amp; Supply Co </w:t>
      </w:r>
      <w:r>
        <w:rPr>
          <w:rFonts w:ascii="Times New Roman" w:cs="Times New Roman" w:eastAsia="Times New Roman" w:hAnsi="Times New Roman"/>
          <w:sz w:val="23"/>
          <w:szCs w:val="23"/>
          <w:color w:val="auto"/>
          <w:vertAlign w:val="superscript"/>
        </w:rPr>
        <w:t>(1)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Naples Lumber &amp; Supply Co</w:t>
      </w:r>
    </w:p>
    <w:p>
      <w:pPr>
        <w:spacing w:after="0" w:line="308"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4"/>
          <w:szCs w:val="14"/>
          <w:color w:val="auto"/>
        </w:rPr>
        <w:t xml:space="preserve">Pickaway Plains Ambulance Services, Inc. </w:t>
      </w:r>
      <w:r>
        <w:rPr>
          <w:rFonts w:ascii="Times New Roman" w:cs="Times New Roman" w:eastAsia="Times New Roman" w:hAnsi="Times New Roman"/>
          <w:sz w:val="23"/>
          <w:szCs w:val="23"/>
          <w:color w:val="auto"/>
          <w:vertAlign w:val="superscript"/>
        </w:rPr>
        <w:t>(1, 2)</w:t>
      </w:r>
      <w:r>
        <w:rPr>
          <w:rFonts w:ascii="Times New Roman" w:cs="Times New Roman" w:eastAsia="Times New Roman" w:hAnsi="Times New Roman"/>
          <w:sz w:val="14"/>
          <w:szCs w:val="14"/>
          <w:color w:val="auto"/>
        </w:rPr>
        <w:t xml:space="preserve"> Pickaway Plains Ambulance Services, Inc.</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Precision Manufacturing, LLC </w:t>
      </w:r>
      <w:r>
        <w:rPr>
          <w:rFonts w:ascii="Times New Roman" w:cs="Times New Roman" w:eastAsia="Times New Roman" w:hAnsi="Times New Roman"/>
          <w:sz w:val="23"/>
          <w:szCs w:val="23"/>
          <w:color w:val="auto"/>
          <w:vertAlign w:val="superscript"/>
        </w:rPr>
        <w:t>(2)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Precision Manufacturing, LLC</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Interest Rate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gridSpan w:val="3"/>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vMerge w:val="restart"/>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2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Industrial Equipment Rental</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Secured Term Debt (12%</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19,000</w:t>
            </w: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18,992</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19,000</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Industrial Equipment Rental</w:t>
            </w: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Due 5/6/15)</w:t>
            </w:r>
          </w:p>
        </w:tc>
        <w:tc>
          <w:tcPr>
            <w:tcW w:w="1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Membership Units (21% fully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Replacement Window</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Senior Secured Debt (14.0% Cash,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19,017</w:t>
            </w: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22,500</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80" w:type="dxa"/>
            <w:vAlign w:val="bottom"/>
            <w:gridSpan w:val="2"/>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4,565</w:t>
            </w:r>
          </w:p>
        </w:tc>
        <w:tc>
          <w:tcPr>
            <w:tcW w:w="1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3,365</w:t>
            </w:r>
          </w:p>
        </w:tc>
        <w:tc>
          <w:tcPr>
            <w:tcW w:w="14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4,565</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Manufacturer</w:t>
            </w: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Due 6/30/14)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Replacement Window</w:t>
            </w: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Jr. Convertible Note (10.0% Cash,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22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Manufacturer</w:t>
            </w: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Due 6/30/15)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Replacement Window</w:t>
            </w: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Warrants (15%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Manufacturer</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fully diluted)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1,106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3,781</w:t>
            </w:r>
          </w:p>
        </w:tc>
        <w:tc>
          <w:tcPr>
            <w:tcW w:w="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6,283</w:t>
            </w:r>
          </w:p>
        </w:tc>
        <w:tc>
          <w:tcPr>
            <w:tcW w:w="220" w:type="dxa"/>
            <w:vAlign w:val="bottom"/>
            <w:vMerge w:val="continue"/>
          </w:tcPr>
          <w:p>
            <w:pPr>
              <w:spacing w:after="0"/>
              <w:rPr>
                <w:sz w:val="10"/>
                <w:szCs w:val="10"/>
                <w:color w:val="auto"/>
              </w:rPr>
            </w:pPr>
          </w:p>
        </w:tc>
        <w:tc>
          <w:tcPr>
            <w:tcW w:w="8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Western Wear Retail</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Stock (2,400 shares)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19"/>
        </w:trPr>
        <w:tc>
          <w:tcPr>
            <w:tcW w:w="2180" w:type="dxa"/>
            <w:vAlign w:val="bottom"/>
            <w:gridSpan w:val="2"/>
            <w:vMerge w:val="continue"/>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2,400</w:t>
            </w:r>
          </w:p>
        </w:tc>
        <w:tc>
          <w:tcPr>
            <w:tcW w:w="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4,774</w:t>
            </w:r>
          </w:p>
        </w:tc>
        <w:tc>
          <w:tcPr>
            <w:tcW w:w="220" w:type="dxa"/>
            <w:vAlign w:val="bottom"/>
            <w:vMerge w:val="continue"/>
          </w:tcPr>
          <w:p>
            <w:pPr>
              <w:spacing w:after="0"/>
              <w:rPr>
                <w:sz w:val="10"/>
                <w:szCs w:val="10"/>
                <w:color w:val="auto"/>
              </w:rPr>
            </w:pPr>
          </w:p>
        </w:tc>
        <w:tc>
          <w:tcPr>
            <w:tcW w:w="8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In-Home Healthcare Services</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Stock (293,186 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2,400</w:t>
            </w: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4,774</w:t>
            </w:r>
          </w:p>
        </w:tc>
        <w:tc>
          <w:tcPr>
            <w:tcW w:w="220" w:type="dxa"/>
            <w:vAlign w:val="bottom"/>
            <w:vMerge w:val="continue"/>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80" w:type="dxa"/>
            <w:vAlign w:val="bottom"/>
            <w:gridSpan w:val="2"/>
            <w:vMerge w:val="continue"/>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258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231</w:t>
            </w:r>
          </w:p>
        </w:tc>
        <w:tc>
          <w:tcPr>
            <w:tcW w:w="220" w:type="dxa"/>
            <w:vAlign w:val="bottom"/>
          </w:tcPr>
          <w:p>
            <w:pPr>
              <w:spacing w:after="0"/>
              <w:rPr>
                <w:sz w:val="10"/>
                <w:szCs w:val="10"/>
                <w:color w:val="auto"/>
              </w:rPr>
            </w:pPr>
          </w:p>
        </w:tc>
        <w:tc>
          <w:tcPr>
            <w:tcW w:w="90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49"/>
        </w:trPr>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In-Home Healthcare Services</w:t>
            </w: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Warrants (655,908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2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Transportation</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A Income Preferred 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22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80" w:type="dxa"/>
            <w:vAlign w:val="bottom"/>
            <w:gridSpan w:val="2"/>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(6,000 shares, 10% cash, 2% PIK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6,000</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Specialty Defense Contractor</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Senior Secured Term Debt (13%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w:t>
            </w: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80" w:type="dxa"/>
            <w:vAlign w:val="bottom"/>
            <w:gridSpan w:val="2"/>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4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Specialty Defense Contractor</w:t>
            </w: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Due 10/6/16)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Unit Warrants (12% fully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Medical Device Distributor</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(14% Cash, Due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w:t>
            </w: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2,800</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80" w:type="dxa"/>
            <w:vAlign w:val="bottom"/>
            <w:gridSpan w:val="2"/>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4,667</w:t>
            </w:r>
          </w:p>
        </w:tc>
        <w:tc>
          <w:tcPr>
            <w:tcW w:w="1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4,667</w:t>
            </w:r>
          </w:p>
        </w:tc>
        <w:tc>
          <w:tcPr>
            <w:tcW w:w="14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4,667</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Medical Device Distributor</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10/11/16)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C Convertible Preferred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14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2,129</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8"/>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(740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Building Supplies</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(6% cash, Due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6,796</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80" w:type="dxa"/>
            <w:vAlign w:val="bottom"/>
            <w:gridSpan w:val="2"/>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2,109</w:t>
            </w:r>
          </w:p>
        </w:tc>
        <w:tc>
          <w:tcPr>
            <w:tcW w:w="1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1,309</w:t>
            </w:r>
          </w:p>
        </w:tc>
        <w:tc>
          <w:tcPr>
            <w:tcW w:w="14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2,109</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Building Supplies</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2/15/14)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Warrants (10%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fully diluted)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Medical Transportation Services</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Senior Secured Term Debt (13%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1,309</w:t>
            </w: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2,509</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80" w:type="dxa"/>
            <w:vAlign w:val="bottom"/>
            <w:gridSpan w:val="2"/>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1,548</w:t>
            </w:r>
          </w:p>
        </w:tc>
        <w:tc>
          <w:tcPr>
            <w:tcW w:w="1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Medical Transportation Services</w:t>
            </w: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Due 12/31/15)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Warrants (5% fully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Industrial Boiler Manufacturer</w:t>
            </w: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(13% Cash, Due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80" w:type="dxa"/>
            <w:vAlign w:val="bottom"/>
            <w:gridSpan w:val="2"/>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2,500</w:t>
            </w:r>
          </w:p>
        </w:tc>
        <w:tc>
          <w:tcPr>
            <w:tcW w:w="1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1,536</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Industrial Boiler Manufacturer</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Membership Unit Warrants (70,000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-4411345</wp:posOffset>
            </wp:positionV>
            <wp:extent cx="724662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-4111625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-3734435</wp:posOffset>
            </wp:positionV>
            <wp:extent cx="72466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-3434080</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-3228340</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-2927985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-2533650</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-2242185</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-1941830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-1564640</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-1358900</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-972820</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-681355</wp:posOffset>
            </wp:positionV>
            <wp:extent cx="724662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-381000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-4797425</wp:posOffset>
            </wp:positionV>
            <wp:extent cx="724662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60" w:space="340"/>
            <w:col w:w="8320"/>
          </w:cols>
          <w:pgMar w:left="240" w:top="873"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18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top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06"/>
        </w:trPr>
        <w:tc>
          <w:tcPr>
            <w:tcW w:w="21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Sierra Hamilton, LLC</w:t>
            </w:r>
          </w:p>
        </w:tc>
        <w:tc>
          <w:tcPr>
            <w:tcW w:w="2800" w:type="dxa"/>
            <w:vAlign w:val="bottom"/>
          </w:tcPr>
          <w:p>
            <w:pPr>
              <w:ind w:left="920"/>
              <w:spacing w:after="0" w:line="106" w:lineRule="exact"/>
              <w:rPr>
                <w:sz w:val="20"/>
                <w:szCs w:val="20"/>
                <w:color w:val="auto"/>
              </w:rPr>
            </w:pPr>
            <w:r>
              <w:rPr>
                <w:rFonts w:ascii="Times New Roman" w:cs="Times New Roman" w:eastAsia="Times New Roman" w:hAnsi="Times New Roman"/>
                <w:sz w:val="12"/>
                <w:szCs w:val="12"/>
                <w:color w:val="auto"/>
              </w:rPr>
              <w:t>Oil &amp; Gas Engineering and</w:t>
            </w:r>
          </w:p>
        </w:tc>
        <w:tc>
          <w:tcPr>
            <w:tcW w:w="2460" w:type="dxa"/>
            <w:vAlign w:val="bottom"/>
          </w:tcPr>
          <w:p>
            <w:pPr>
              <w:ind w:left="300"/>
              <w:spacing w:after="0" w:line="106" w:lineRule="exact"/>
              <w:rPr>
                <w:sz w:val="20"/>
                <w:szCs w:val="20"/>
                <w:color w:val="auto"/>
              </w:rPr>
            </w:pPr>
            <w:r>
              <w:rPr>
                <w:rFonts w:ascii="Times New Roman" w:cs="Times New Roman" w:eastAsia="Times New Roman" w:hAnsi="Times New Roman"/>
                <w:sz w:val="12"/>
                <w:szCs w:val="12"/>
                <w:color w:val="auto"/>
              </w:rPr>
              <w:t>Senior Secured Debt (12.25%</w:t>
            </w: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85"/>
        </w:trPr>
        <w:tc>
          <w:tcPr>
            <w:tcW w:w="2180" w:type="dxa"/>
            <w:vAlign w:val="bottom"/>
          </w:tcPr>
          <w:p>
            <w:pPr>
              <w:spacing w:after="0"/>
              <w:rPr>
                <w:sz w:val="16"/>
                <w:szCs w:val="16"/>
                <w:color w:val="auto"/>
              </w:rPr>
            </w:pPr>
          </w:p>
        </w:tc>
        <w:tc>
          <w:tcPr>
            <w:tcW w:w="28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Consulting Services</w:t>
            </w:r>
          </w:p>
        </w:tc>
        <w:tc>
          <w:tcPr>
            <w:tcW w:w="24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Cash, 12/15/18)</w:t>
            </w: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42"/>
        </w:trPr>
        <w:tc>
          <w:tcPr>
            <w:tcW w:w="218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6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Southern Pump &amp; Tank Company, LLC </w:t>
            </w:r>
            <w:r>
              <w:rPr>
                <w:rFonts w:ascii="Times New Roman" w:cs="Times New Roman" w:eastAsia="Times New Roman" w:hAnsi="Times New Roman"/>
                <w:sz w:val="23"/>
                <w:szCs w:val="23"/>
                <w:color w:val="auto"/>
                <w:vertAlign w:val="superscript"/>
              </w:rPr>
              <w:t>(1)</w:t>
            </w:r>
          </w:p>
        </w:tc>
        <w:tc>
          <w:tcPr>
            <w:tcW w:w="2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Petroleum Equipment Supplier</w:t>
            </w: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Term Debt (13%</w:t>
            </w: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3,633</w:t>
            </w:r>
          </w:p>
        </w:tc>
        <w:tc>
          <w:tcPr>
            <w:tcW w:w="22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3,213</w:t>
            </w:r>
          </w:p>
        </w:tc>
        <w:tc>
          <w:tcPr>
            <w:tcW w:w="22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3,624</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25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Cash, 6% PIK, Due 6/15/14)</w:t>
            </w:r>
          </w:p>
        </w:tc>
        <w:tc>
          <w:tcPr>
            <w:tcW w:w="80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Southern Pump &amp; Tank Company, LLC</w:t>
            </w:r>
          </w:p>
        </w:tc>
        <w:tc>
          <w:tcPr>
            <w:tcW w:w="240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Petroleum Equipment Supplier</w:t>
            </w:r>
          </w:p>
        </w:tc>
        <w:tc>
          <w:tcPr>
            <w:tcW w:w="25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Warrants (10%</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fully diluted)</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2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3,213</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3,624</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Stoddard Hill Media Holdings, LLC</w:t>
            </w:r>
          </w:p>
        </w:tc>
        <w:tc>
          <w:tcPr>
            <w:tcW w:w="2400" w:type="dxa"/>
            <w:vAlign w:val="bottom"/>
          </w:tcPr>
          <w:p>
            <w:pPr>
              <w:ind w:left="320"/>
              <w:spacing w:after="0" w:line="106" w:lineRule="exact"/>
              <w:rPr>
                <w:sz w:val="20"/>
                <w:szCs w:val="20"/>
                <w:color w:val="auto"/>
              </w:rPr>
            </w:pPr>
            <w:r>
              <w:rPr>
                <w:rFonts w:ascii="Times New Roman" w:cs="Times New Roman" w:eastAsia="Times New Roman" w:hAnsi="Times New Roman"/>
                <w:sz w:val="12"/>
                <w:szCs w:val="12"/>
                <w:color w:val="auto"/>
              </w:rPr>
              <w:t>IT Hosting Services</w:t>
            </w:r>
          </w:p>
        </w:tc>
        <w:tc>
          <w:tcPr>
            <w:tcW w:w="2540" w:type="dxa"/>
            <w:vAlign w:val="bottom"/>
          </w:tcPr>
          <w:p>
            <w:pPr>
              <w:ind w:left="100"/>
              <w:spacing w:after="0" w:line="106" w:lineRule="exact"/>
              <w:rPr>
                <w:sz w:val="20"/>
                <w:szCs w:val="20"/>
                <w:color w:val="auto"/>
              </w:rPr>
            </w:pPr>
            <w:r>
              <w:rPr>
                <w:rFonts w:ascii="Times New Roman" w:cs="Times New Roman" w:eastAsia="Times New Roman" w:hAnsi="Times New Roman"/>
                <w:sz w:val="12"/>
                <w:szCs w:val="12"/>
                <w:color w:val="auto"/>
              </w:rPr>
              <w:t>Class D Preferred Units (132,159</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2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453</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Tenere, Inc.</w:t>
            </w:r>
          </w:p>
        </w:tc>
        <w:tc>
          <w:tcPr>
            <w:tcW w:w="2400" w:type="dxa"/>
            <w:vAlign w:val="bottom"/>
          </w:tcPr>
          <w:p>
            <w:pPr>
              <w:ind w:left="320"/>
              <w:spacing w:after="0" w:line="106" w:lineRule="exact"/>
              <w:rPr>
                <w:sz w:val="20"/>
                <w:szCs w:val="20"/>
                <w:color w:val="auto"/>
              </w:rPr>
            </w:pPr>
            <w:r>
              <w:rPr>
                <w:rFonts w:ascii="Times New Roman" w:cs="Times New Roman" w:eastAsia="Times New Roman" w:hAnsi="Times New Roman"/>
                <w:sz w:val="12"/>
                <w:szCs w:val="12"/>
                <w:color w:val="auto"/>
              </w:rPr>
              <w:t>Industrial Manufacturing</w:t>
            </w:r>
          </w:p>
        </w:tc>
        <w:tc>
          <w:tcPr>
            <w:tcW w:w="2540" w:type="dxa"/>
            <w:vAlign w:val="bottom"/>
          </w:tcPr>
          <w:p>
            <w:pPr>
              <w:ind w:left="100"/>
              <w:spacing w:after="0" w:line="106" w:lineRule="exact"/>
              <w:rPr>
                <w:sz w:val="20"/>
                <w:szCs w:val="20"/>
                <w:color w:val="auto"/>
              </w:rPr>
            </w:pPr>
            <w:r>
              <w:rPr>
                <w:rFonts w:ascii="Times New Roman" w:cs="Times New Roman" w:eastAsia="Times New Roman" w:hAnsi="Times New Roman"/>
                <w:sz w:val="12"/>
                <w:szCs w:val="12"/>
                <w:color w:val="auto"/>
              </w:rPr>
              <w:t>Senior Secured Term Debt (11%</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2% PIK, Due 12/17/17)</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3,440</w:t>
            </w:r>
          </w:p>
        </w:tc>
        <w:tc>
          <w:tcPr>
            <w:tcW w:w="2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3,440</w:t>
            </w:r>
          </w:p>
        </w:tc>
        <w:tc>
          <w:tcPr>
            <w:tcW w:w="2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2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3,440</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3,440</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Worklife America, Inc.</w:t>
            </w:r>
          </w:p>
        </w:tc>
        <w:tc>
          <w:tcPr>
            <w:tcW w:w="2400" w:type="dxa"/>
            <w:vAlign w:val="bottom"/>
          </w:tcPr>
          <w:p>
            <w:pPr>
              <w:ind w:left="320"/>
              <w:spacing w:after="0" w:line="106" w:lineRule="exact"/>
              <w:rPr>
                <w:sz w:val="20"/>
                <w:szCs w:val="20"/>
                <w:color w:val="auto"/>
              </w:rPr>
            </w:pPr>
            <w:r>
              <w:rPr>
                <w:rFonts w:ascii="Times New Roman" w:cs="Times New Roman" w:eastAsia="Times New Roman" w:hAnsi="Times New Roman"/>
                <w:sz w:val="12"/>
                <w:szCs w:val="12"/>
                <w:color w:val="auto"/>
              </w:rPr>
              <w:t>Professional Employer</w:t>
            </w:r>
          </w:p>
        </w:tc>
        <w:tc>
          <w:tcPr>
            <w:tcW w:w="2540" w:type="dxa"/>
            <w:vAlign w:val="bottom"/>
          </w:tcPr>
          <w:p>
            <w:pPr>
              <w:ind w:left="100"/>
              <w:spacing w:after="0" w:line="106" w:lineRule="exact"/>
              <w:rPr>
                <w:sz w:val="20"/>
                <w:szCs w:val="20"/>
                <w:color w:val="auto"/>
              </w:rPr>
            </w:pPr>
            <w:r>
              <w:rPr>
                <w:rFonts w:ascii="Times New Roman" w:cs="Times New Roman" w:eastAsia="Times New Roman" w:hAnsi="Times New Roman"/>
                <w:sz w:val="12"/>
                <w:szCs w:val="12"/>
                <w:color w:val="auto"/>
              </w:rPr>
              <w:t>Senior Secured Debt (12% Cash,</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18,656</w:t>
            </w:r>
          </w:p>
        </w:tc>
        <w:tc>
          <w:tcPr>
            <w:tcW w:w="22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18,656</w:t>
            </w:r>
          </w:p>
        </w:tc>
        <w:tc>
          <w:tcPr>
            <w:tcW w:w="22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18,656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Organization</w:t>
            </w:r>
          </w:p>
        </w:tc>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Due 12/28/16)</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Worklife America, Inc.</w:t>
            </w:r>
          </w:p>
        </w:tc>
        <w:tc>
          <w:tcPr>
            <w:tcW w:w="240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Professional Employer</w:t>
            </w:r>
          </w:p>
        </w:tc>
        <w:tc>
          <w:tcPr>
            <w:tcW w:w="25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Unit Warrants (3.84%</w:t>
            </w: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3,441</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14"/>
                <w:szCs w:val="14"/>
                <w:color w:val="auto"/>
              </w:rPr>
            </w:pPr>
          </w:p>
        </w:tc>
        <w:tc>
          <w:tcPr>
            <w:tcW w:w="2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Organization</w:t>
            </w: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ownership)</w:t>
            </w: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Worklife America, Inc.</w:t>
            </w:r>
          </w:p>
        </w:tc>
        <w:tc>
          <w:tcPr>
            <w:tcW w:w="240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Professional Employer</w:t>
            </w:r>
          </w:p>
        </w:tc>
        <w:tc>
          <w:tcPr>
            <w:tcW w:w="25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Preferred Unit Warrants (3.84%</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Organization</w:t>
            </w:r>
          </w:p>
        </w:tc>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ownership)</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2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18,656</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22,677</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04"/>
        </w:trPr>
        <w:tc>
          <w:tcPr>
            <w:tcW w:w="278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Sub Total Non-control/Non-affiliated</w:t>
            </w:r>
          </w:p>
        </w:tc>
        <w:tc>
          <w:tcPr>
            <w:tcW w:w="24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84,138</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99,140</w:t>
            </w:r>
          </w:p>
        </w:tc>
        <w:tc>
          <w:tcPr>
            <w:tcW w:w="9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36.9</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129"/>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Affiliate investments - 70.4%</w:t>
            </w:r>
          </w:p>
        </w:tc>
        <w:tc>
          <w:tcPr>
            <w:tcW w:w="2400" w:type="dxa"/>
            <w:vAlign w:val="bottom"/>
            <w:tcBorders>
              <w:top w:val="single" w:sz="8" w:color="CCEEFF"/>
            </w:tcBorders>
            <w:shd w:val="clear" w:color="auto" w:fill="CCEEFF"/>
          </w:tcPr>
          <w:p>
            <w:pPr>
              <w:spacing w:after="0"/>
              <w:rPr>
                <w:sz w:val="11"/>
                <w:szCs w:val="11"/>
                <w:color w:val="auto"/>
              </w:rPr>
            </w:pPr>
          </w:p>
        </w:tc>
        <w:tc>
          <w:tcPr>
            <w:tcW w:w="25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Chef'N Corporation</w:t>
            </w:r>
          </w:p>
        </w:tc>
        <w:tc>
          <w:tcPr>
            <w:tcW w:w="240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Culinary Products</w:t>
            </w:r>
          </w:p>
        </w:tc>
        <w:tc>
          <w:tcPr>
            <w:tcW w:w="25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Subordinated Debt (15%, 3% PIK</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6,300</w:t>
            </w:r>
          </w:p>
        </w:tc>
        <w:tc>
          <w:tcPr>
            <w:tcW w:w="2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6,300</w:t>
            </w:r>
          </w:p>
        </w:tc>
        <w:tc>
          <w:tcPr>
            <w:tcW w:w="2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at company's option, Due 5/16/18)   $</w:t>
            </w:r>
          </w:p>
        </w:tc>
        <w:tc>
          <w:tcPr>
            <w:tcW w:w="8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Chef'N Corporation</w:t>
            </w:r>
          </w:p>
        </w:tc>
        <w:tc>
          <w:tcPr>
            <w:tcW w:w="240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Culinary Products</w:t>
            </w:r>
          </w:p>
        </w:tc>
        <w:tc>
          <w:tcPr>
            <w:tcW w:w="25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Series A Preferred Stock</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(1,000,000 shares)</w:t>
            </w: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7,300</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10,302</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06"/>
        </w:trPr>
        <w:tc>
          <w:tcPr>
            <w:tcW w:w="27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City Gear, LLC</w:t>
            </w:r>
          </w:p>
        </w:tc>
        <w:tc>
          <w:tcPr>
            <w:tcW w:w="2400" w:type="dxa"/>
            <w:vAlign w:val="bottom"/>
            <w:shd w:val="clear" w:color="auto" w:fill="CCEEFF"/>
          </w:tcPr>
          <w:p>
            <w:pPr>
              <w:ind w:left="320"/>
              <w:spacing w:after="0" w:line="106" w:lineRule="exact"/>
              <w:rPr>
                <w:sz w:val="20"/>
                <w:szCs w:val="20"/>
                <w:color w:val="auto"/>
              </w:rPr>
            </w:pPr>
            <w:r>
              <w:rPr>
                <w:rFonts w:ascii="Times New Roman" w:cs="Times New Roman" w:eastAsia="Times New Roman" w:hAnsi="Times New Roman"/>
                <w:sz w:val="12"/>
                <w:szCs w:val="12"/>
                <w:color w:val="auto"/>
              </w:rPr>
              <w:t>Footwear Retail</w:t>
            </w:r>
          </w:p>
        </w:tc>
        <w:tc>
          <w:tcPr>
            <w:tcW w:w="2540" w:type="dxa"/>
            <w:vAlign w:val="bottom"/>
            <w:shd w:val="clear" w:color="auto" w:fill="CCEEFF"/>
          </w:tcPr>
          <w:p>
            <w:pPr>
              <w:ind w:left="100"/>
              <w:spacing w:after="0" w:line="106" w:lineRule="exact"/>
              <w:rPr>
                <w:sz w:val="20"/>
                <w:szCs w:val="20"/>
                <w:color w:val="auto"/>
              </w:rPr>
            </w:pPr>
            <w:r>
              <w:rPr>
                <w:rFonts w:ascii="Times New Roman" w:cs="Times New Roman" w:eastAsia="Times New Roman" w:hAnsi="Times New Roman"/>
                <w:sz w:val="12"/>
                <w:szCs w:val="12"/>
                <w:color w:val="auto"/>
              </w:rPr>
              <w:t>Subordinated Debt (13% Cash, Due</w:t>
            </w: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8,231</w:t>
            </w:r>
          </w:p>
        </w:tc>
        <w:tc>
          <w:tcPr>
            <w:tcW w:w="2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8,231</w:t>
            </w:r>
          </w:p>
        </w:tc>
        <w:tc>
          <w:tcPr>
            <w:tcW w:w="2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8,231</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9/28/16)</w:t>
            </w: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line="142" w:lineRule="exact"/>
              <w:rPr>
                <w:sz w:val="20"/>
                <w:szCs w:val="20"/>
                <w:color w:val="auto"/>
              </w:rPr>
            </w:pPr>
            <w:r>
              <w:rPr>
                <w:rFonts w:ascii="Times New Roman" w:cs="Times New Roman" w:eastAsia="Times New Roman" w:hAnsi="Times New Roman"/>
                <w:sz w:val="11"/>
                <w:szCs w:val="11"/>
                <w:color w:val="auto"/>
              </w:rPr>
              <w:t xml:space="preserve">City Gear, LLC </w:t>
            </w:r>
            <w:r>
              <w:rPr>
                <w:rFonts w:ascii="Times New Roman" w:cs="Times New Roman" w:eastAsia="Times New Roman" w:hAnsi="Times New Roman"/>
                <w:sz w:val="16"/>
                <w:szCs w:val="16"/>
                <w:color w:val="auto"/>
                <w:vertAlign w:val="superscript"/>
              </w:rPr>
              <w:t>(6)</w:t>
            </w:r>
          </w:p>
        </w:tc>
        <w:tc>
          <w:tcPr>
            <w:tcW w:w="240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Footwear Retail</w:t>
            </w:r>
          </w:p>
        </w:tc>
        <w:tc>
          <w:tcPr>
            <w:tcW w:w="25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Preferred Membership Units</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2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54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color w:val="auto"/>
              </w:rPr>
              <w:t>(2.78% fully diluted, 9% dividend)</w:t>
            </w: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City Gear, LLC</w:t>
            </w:r>
          </w:p>
        </w:tc>
        <w:tc>
          <w:tcPr>
            <w:tcW w:w="240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5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Membership Unit Warrants</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(11.37% fully diluted)</w:t>
            </w: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9,500</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14,807</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06"/>
        </w:trPr>
        <w:tc>
          <w:tcPr>
            <w:tcW w:w="27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Corporate Visions, Inc.</w:t>
            </w:r>
          </w:p>
        </w:tc>
        <w:tc>
          <w:tcPr>
            <w:tcW w:w="2400" w:type="dxa"/>
            <w:vAlign w:val="bottom"/>
            <w:shd w:val="clear" w:color="auto" w:fill="CCEEFF"/>
          </w:tcPr>
          <w:p>
            <w:pPr>
              <w:ind w:left="320"/>
              <w:spacing w:after="0" w:line="106" w:lineRule="exact"/>
              <w:rPr>
                <w:sz w:val="20"/>
                <w:szCs w:val="20"/>
                <w:color w:val="auto"/>
              </w:rPr>
            </w:pPr>
            <w:r>
              <w:rPr>
                <w:rFonts w:ascii="Times New Roman" w:cs="Times New Roman" w:eastAsia="Times New Roman" w:hAnsi="Times New Roman"/>
                <w:sz w:val="12"/>
                <w:szCs w:val="12"/>
                <w:color w:val="auto"/>
              </w:rPr>
              <w:t>Sales &amp; Marketing Services</w:t>
            </w:r>
          </w:p>
        </w:tc>
        <w:tc>
          <w:tcPr>
            <w:tcW w:w="2540" w:type="dxa"/>
            <w:vAlign w:val="bottom"/>
            <w:shd w:val="clear" w:color="auto" w:fill="CCEEFF"/>
          </w:tcPr>
          <w:p>
            <w:pPr>
              <w:ind w:left="100"/>
              <w:spacing w:after="0" w:line="106" w:lineRule="exact"/>
              <w:rPr>
                <w:sz w:val="20"/>
                <w:szCs w:val="20"/>
                <w:color w:val="auto"/>
              </w:rPr>
            </w:pPr>
            <w:r>
              <w:rPr>
                <w:rFonts w:ascii="Times New Roman" w:cs="Times New Roman" w:eastAsia="Times New Roman" w:hAnsi="Times New Roman"/>
                <w:sz w:val="12"/>
                <w:szCs w:val="12"/>
                <w:color w:val="auto"/>
              </w:rPr>
              <w:t>Subordinated Debt (14% Cash, 2%</w:t>
            </w: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11,174</w:t>
            </w:r>
          </w:p>
        </w:tc>
        <w:tc>
          <w:tcPr>
            <w:tcW w:w="2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11,174</w:t>
            </w:r>
          </w:p>
        </w:tc>
        <w:tc>
          <w:tcPr>
            <w:tcW w:w="2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11,174</w:t>
            </w:r>
          </w:p>
        </w:tc>
        <w:tc>
          <w:tcPr>
            <w:tcW w:w="2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PIK, Due 3/22/18)</w:t>
            </w: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 Visions, Inc.</w:t>
            </w:r>
          </w:p>
        </w:tc>
        <w:tc>
          <w:tcPr>
            <w:tcW w:w="2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Sales &amp; Marketing Services</w:t>
            </w:r>
          </w:p>
        </w:tc>
        <w:tc>
          <w:tcPr>
            <w:tcW w:w="2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(2,216,463 shares)</w:t>
            </w:r>
          </w:p>
        </w:tc>
        <w:tc>
          <w:tcPr>
            <w:tcW w:w="8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2,576</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9,797</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Corporate Visions, Inc.</w:t>
            </w:r>
          </w:p>
        </w:tc>
        <w:tc>
          <w:tcPr>
            <w:tcW w:w="240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Sales &amp; Marketing Services</w:t>
            </w:r>
          </w:p>
        </w:tc>
        <w:tc>
          <w:tcPr>
            <w:tcW w:w="25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Warrant (403,257</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13,750</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22,753</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06"/>
        </w:trPr>
        <w:tc>
          <w:tcPr>
            <w:tcW w:w="27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GA Communications, Inc.</w:t>
            </w:r>
          </w:p>
        </w:tc>
        <w:tc>
          <w:tcPr>
            <w:tcW w:w="2400" w:type="dxa"/>
            <w:vAlign w:val="bottom"/>
            <w:shd w:val="clear" w:color="auto" w:fill="CCEEFF"/>
          </w:tcPr>
          <w:p>
            <w:pPr>
              <w:ind w:left="320"/>
              <w:spacing w:after="0" w:line="106" w:lineRule="exact"/>
              <w:rPr>
                <w:sz w:val="20"/>
                <w:szCs w:val="20"/>
                <w:color w:val="auto"/>
              </w:rPr>
            </w:pPr>
            <w:r>
              <w:rPr>
                <w:rFonts w:ascii="Times New Roman" w:cs="Times New Roman" w:eastAsia="Times New Roman" w:hAnsi="Times New Roman"/>
                <w:sz w:val="12"/>
                <w:szCs w:val="12"/>
                <w:color w:val="auto"/>
              </w:rPr>
              <w:t>Advertising &amp; Marketing Services</w:t>
            </w:r>
          </w:p>
        </w:tc>
        <w:tc>
          <w:tcPr>
            <w:tcW w:w="2540" w:type="dxa"/>
            <w:vAlign w:val="bottom"/>
            <w:shd w:val="clear" w:color="auto" w:fill="CCEEFF"/>
          </w:tcPr>
          <w:p>
            <w:pPr>
              <w:ind w:left="100"/>
              <w:spacing w:after="0" w:line="106" w:lineRule="exact"/>
              <w:rPr>
                <w:sz w:val="20"/>
                <w:szCs w:val="20"/>
                <w:color w:val="auto"/>
              </w:rPr>
            </w:pPr>
            <w:r>
              <w:rPr>
                <w:rFonts w:ascii="Times New Roman" w:cs="Times New Roman" w:eastAsia="Times New Roman" w:hAnsi="Times New Roman"/>
                <w:sz w:val="12"/>
                <w:szCs w:val="12"/>
                <w:color w:val="auto"/>
              </w:rPr>
              <w:t>Series A-1 Preferred Stock (1,998</w:t>
            </w: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1,998</w:t>
            </w:r>
          </w:p>
        </w:tc>
        <w:tc>
          <w:tcPr>
            <w:tcW w:w="2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2,370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GA Communications, Inc.</w:t>
            </w:r>
          </w:p>
        </w:tc>
        <w:tc>
          <w:tcPr>
            <w:tcW w:w="240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5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Series B-1 Common Stock</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(200,000 shares)</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2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4,911</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780" w:type="dxa"/>
            <w:vAlign w:val="bottom"/>
          </w:tcPr>
          <w:p>
            <w:pPr>
              <w:spacing w:after="0" w:line="142" w:lineRule="exact"/>
              <w:rPr>
                <w:sz w:val="20"/>
                <w:szCs w:val="20"/>
                <w:color w:val="auto"/>
              </w:rPr>
            </w:pPr>
            <w:r>
              <w:rPr>
                <w:rFonts w:ascii="Times New Roman" w:cs="Times New Roman" w:eastAsia="Times New Roman" w:hAnsi="Times New Roman"/>
                <w:sz w:val="11"/>
                <w:szCs w:val="11"/>
                <w:color w:val="auto"/>
              </w:rPr>
              <w:t xml:space="preserve">Impresa Aerospace Holdings, LLC </w:t>
            </w:r>
            <w:r>
              <w:rPr>
                <w:rFonts w:ascii="Times New Roman" w:cs="Times New Roman" w:eastAsia="Times New Roman" w:hAnsi="Times New Roman"/>
                <w:sz w:val="16"/>
                <w:szCs w:val="16"/>
                <w:color w:val="auto"/>
                <w:vertAlign w:val="superscript"/>
              </w:rPr>
              <w:t>(3)</w:t>
            </w:r>
          </w:p>
        </w:tc>
        <w:tc>
          <w:tcPr>
            <w:tcW w:w="240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5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Subordinated Debt (4.1% Cash,</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13,274</w:t>
            </w:r>
          </w:p>
        </w:tc>
        <w:tc>
          <w:tcPr>
            <w:tcW w:w="2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12,258</w:t>
            </w:r>
          </w:p>
        </w:tc>
        <w:tc>
          <w:tcPr>
            <w:tcW w:w="2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10,064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54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Due 4/28/16)</w:t>
            </w: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Impresa Aerospace Holdings, LLC</w:t>
            </w:r>
          </w:p>
        </w:tc>
        <w:tc>
          <w:tcPr>
            <w:tcW w:w="240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5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A Membership Units</w:t>
            </w: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(1,006,621 units)</w:t>
            </w: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Impresa Aerospace Holdings, LLC</w:t>
            </w:r>
          </w:p>
        </w:tc>
        <w:tc>
          <w:tcPr>
            <w:tcW w:w="240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5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C Membership Units</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(362,416 units)</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Impresa Aerospace Holdings, LLC</w:t>
            </w:r>
          </w:p>
        </w:tc>
        <w:tc>
          <w:tcPr>
            <w:tcW w:w="240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5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F Membership Units</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(604,504 units)</w:t>
            </w: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14,124</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10,064</w:t>
            </w:r>
          </w:p>
        </w:tc>
        <w:tc>
          <w:tcPr>
            <w:tcW w:w="2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Interest Rate /</w:t>
            </w: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(4, 5)</w:t>
            </w:r>
          </w:p>
        </w:tc>
        <w:tc>
          <w:tcPr>
            <w:tcW w:w="120" w:type="dxa"/>
            <w:vAlign w:val="bottom"/>
            <w:vMerge w:val="restart"/>
          </w:tcPr>
          <w:p>
            <w:pPr>
              <w:spacing w:after="0"/>
              <w:rPr>
                <w:sz w:val="12"/>
                <w:szCs w:val="12"/>
                <w:color w:val="auto"/>
              </w:rPr>
            </w:pPr>
          </w:p>
        </w:tc>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vMerge w:val="restart"/>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2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9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J&amp;J Produce Holdings, Inc.</w:t>
            </w:r>
          </w:p>
        </w:tc>
        <w:tc>
          <w:tcPr>
            <w:tcW w:w="12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Produce Distribution</w:t>
            </w:r>
          </w:p>
        </w:tc>
        <w:tc>
          <w:tcPr>
            <w:tcW w:w="1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Subordinated Debt (13% Cash, Due</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5,182</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5,182</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5,182</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7/16/18)</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(8,182 Shares)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934</w:t>
            </w:r>
          </w:p>
        </w:tc>
        <w:tc>
          <w:tcPr>
            <w:tcW w:w="2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26"/>
        </w:trPr>
        <w:tc>
          <w:tcPr>
            <w:tcW w:w="3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J&amp;J Produce Holdings, Inc.</w:t>
            </w:r>
          </w:p>
        </w:tc>
        <w:tc>
          <w:tcPr>
            <w:tcW w:w="2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Produce Distribution</w:t>
            </w:r>
          </w:p>
        </w:tc>
        <w:tc>
          <w:tcPr>
            <w:tcW w:w="2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Warrants (4,506</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6,631</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LJS Partners, LLC</w:t>
            </w:r>
          </w:p>
        </w:tc>
        <w:tc>
          <w:tcPr>
            <w:tcW w:w="21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QSR Franchisor</w:t>
            </w:r>
          </w:p>
        </w:tc>
        <w:tc>
          <w:tcPr>
            <w:tcW w:w="22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Stock (1,500,000 shares)</w:t>
            </w:r>
          </w:p>
        </w:tc>
        <w:tc>
          <w:tcPr>
            <w:tcW w:w="104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14,622</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14,622</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6"/>
        </w:trPr>
        <w:tc>
          <w:tcPr>
            <w:tcW w:w="31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MJC Holdings, LLC</w:t>
            </w:r>
          </w:p>
        </w:tc>
        <w:tc>
          <w:tcPr>
            <w:tcW w:w="218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Specialty Clothing</w:t>
            </w:r>
          </w:p>
        </w:tc>
        <w:tc>
          <w:tcPr>
            <w:tcW w:w="22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Subordinated Debt (14%, 2% PIK</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7,500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2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 company's option, Due 1/16/18)</w:t>
            </w:r>
          </w:p>
        </w:tc>
        <w:tc>
          <w:tcPr>
            <w:tcW w:w="10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MJC Holdings, LLC</w:t>
            </w: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Specialty Clothing</w:t>
            </w: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Series A Preferred Units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(2,000,000 units)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9,500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12,724</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6"/>
        </w:trPr>
        <w:tc>
          <w:tcPr>
            <w:tcW w:w="310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MMI Holdings, LLC</w:t>
            </w:r>
          </w:p>
        </w:tc>
        <w:tc>
          <w:tcPr>
            <w:tcW w:w="218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Medical Device Distributor</w:t>
            </w:r>
          </w:p>
        </w:tc>
        <w:tc>
          <w:tcPr>
            <w:tcW w:w="220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Senior Secured Debt (12% Cash,</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2,600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2,600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10/17/14)</w:t>
            </w:r>
          </w:p>
        </w:tc>
        <w:tc>
          <w:tcPr>
            <w:tcW w:w="10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MMI Holdings, LLC</w:t>
            </w:r>
          </w:p>
        </w:tc>
        <w:tc>
          <w:tcPr>
            <w:tcW w:w="2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Device Distributor</w:t>
            </w:r>
          </w:p>
        </w:tc>
        <w:tc>
          <w:tcPr>
            <w:tcW w:w="2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(6% Cash, Due</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8/15/15)</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MMI Holdings, LLC</w:t>
            </w:r>
          </w:p>
        </w:tc>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Medical Device Distributor</w:t>
            </w: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Preferred Units (1,000 units)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MMI Holdings, LLC</w:t>
            </w: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Medical Device Distributor</w:t>
            </w: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Units (45 units)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4,040</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4,325</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6"/>
        </w:trPr>
        <w:tc>
          <w:tcPr>
            <w:tcW w:w="31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MTI Holdings, LLC</w:t>
            </w:r>
          </w:p>
        </w:tc>
        <w:tc>
          <w:tcPr>
            <w:tcW w:w="218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Retail Display &amp; Security Services</w:t>
            </w:r>
          </w:p>
        </w:tc>
        <w:tc>
          <w:tcPr>
            <w:tcW w:w="22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Subordinated Debt (12% Cash, Due</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11/1/18)</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MTI Holdings, LLC</w:t>
            </w: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Retail Display &amp; Security Services</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Units (2,000,000 units)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6"/>
        </w:trPr>
        <w:tc>
          <w:tcPr>
            <w:tcW w:w="310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Source Capital ABUTEC, LLC</w:t>
            </w:r>
          </w:p>
        </w:tc>
        <w:tc>
          <w:tcPr>
            <w:tcW w:w="218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Environmental Services Products</w:t>
            </w:r>
          </w:p>
        </w:tc>
        <w:tc>
          <w:tcPr>
            <w:tcW w:w="220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Senior Secured Debt (12% Cash,</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5,125</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5,125</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5,125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 PIK, Due 12/28/17)</w:t>
            </w:r>
          </w:p>
        </w:tc>
        <w:tc>
          <w:tcPr>
            <w:tcW w:w="10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ABUTEC, LLC</w:t>
            </w:r>
          </w:p>
        </w:tc>
        <w:tc>
          <w:tcPr>
            <w:tcW w:w="2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Environmental Services Products</w:t>
            </w:r>
          </w:p>
        </w:tc>
        <w:tc>
          <w:tcPr>
            <w:tcW w:w="2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Membership Units</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(15.5% fully diluted)</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6,365</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5,185</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6"/>
        </w:trPr>
        <w:tc>
          <w:tcPr>
            <w:tcW w:w="31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Source Capital Penray, LLC</w:t>
            </w:r>
          </w:p>
        </w:tc>
        <w:tc>
          <w:tcPr>
            <w:tcW w:w="218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Automotive Chemicals &amp;</w:t>
            </w:r>
          </w:p>
        </w:tc>
        <w:tc>
          <w:tcPr>
            <w:tcW w:w="22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Subordinated Debt (13% Cash, Due</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Lubricants</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2/17/17)</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Source Capital Penray, LLC</w:t>
            </w: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Automotive Chemicals &amp;</w:t>
            </w: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Membership Units (11.3% fully</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2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Lubricants</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10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Penray, LLC</w:t>
            </w:r>
          </w:p>
        </w:tc>
        <w:tc>
          <w:tcPr>
            <w:tcW w:w="2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Automotive Chemicals &amp;</w:t>
            </w:r>
          </w:p>
        </w:tc>
        <w:tc>
          <w:tcPr>
            <w:tcW w:w="2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Warrants (6.65%</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Lubricants</w:t>
            </w: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fully diluted)</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3,250</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3,886</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6"/>
        </w:trPr>
        <w:tc>
          <w:tcPr>
            <w:tcW w:w="31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Source Capital SSCR, LLC</w:t>
            </w:r>
          </w:p>
        </w:tc>
        <w:tc>
          <w:tcPr>
            <w:tcW w:w="218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Personal Product Manufacturer</w:t>
            </w:r>
          </w:p>
        </w:tc>
        <w:tc>
          <w:tcPr>
            <w:tcW w:w="22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Senior Secured Term Debt (14%</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15,000</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12,115</w:t>
            </w:r>
          </w:p>
        </w:tc>
        <w:tc>
          <w:tcPr>
            <w:tcW w:w="2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2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7/6/17)</w:t>
            </w:r>
          </w:p>
        </w:tc>
        <w:tc>
          <w:tcPr>
            <w:tcW w:w="10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Source Capital SSCR, LLC</w:t>
            </w: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Personal Product Manufacturer</w:t>
            </w: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Senior Secured Term Debt (14%</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2,079</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2,079</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1,958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5% PIK, Due 3/28/14)</w:t>
            </w:r>
          </w:p>
        </w:tc>
        <w:tc>
          <w:tcPr>
            <w:tcW w:w="10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SSCR, LLC</w:t>
            </w:r>
          </w:p>
        </w:tc>
        <w:tc>
          <w:tcPr>
            <w:tcW w:w="2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Personal Product Manufacturer</w:t>
            </w:r>
          </w:p>
        </w:tc>
        <w:tc>
          <w:tcPr>
            <w:tcW w:w="2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Membership Units</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1,720</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(14,718 units)</w:t>
            </w:r>
          </w:p>
        </w:tc>
        <w:tc>
          <w:tcPr>
            <w:tcW w:w="10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Source Capital SSCR, LLC</w:t>
            </w: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Personal Product Manufacturer</w:t>
            </w: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Membership Unit Warrants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(0.987% fully diluted)</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18,799</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14,073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color w:val="auto"/>
              </w:rPr>
              <w:t xml:space="preserve">Source Recycling, LLC </w:t>
            </w:r>
            <w:r>
              <w:rPr>
                <w:rFonts w:ascii="Times New Roman" w:cs="Times New Roman" w:eastAsia="Times New Roman" w:hAnsi="Times New Roman"/>
                <w:sz w:val="16"/>
                <w:szCs w:val="16"/>
                <w:color w:val="auto"/>
                <w:vertAlign w:val="superscript"/>
              </w:rPr>
              <w:t>(2)</w:t>
            </w:r>
          </w:p>
        </w:tc>
        <w:tc>
          <w:tcPr>
            <w:tcW w:w="2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Metal Recycler</w:t>
            </w:r>
          </w:p>
        </w:tc>
        <w:tc>
          <w:tcPr>
            <w:tcW w:w="2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Subordinated Debt (13% Cash, Due</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5,000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3,950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9/2/16)</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Source Recycling, LLC</w:t>
            </w:r>
          </w:p>
        </w:tc>
        <w:tc>
          <w:tcPr>
            <w:tcW w:w="2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Metal Recycler</w:t>
            </w: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Membership Units (68,658 units)</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Source Recycling, LLC</w:t>
            </w: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Metal Recycler</w:t>
            </w: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Membership Unit Warrants (1%</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fully diluted)</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6,590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3,950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color w:val="auto"/>
              </w:rPr>
              <w:t>Sparus Holdings, Inc.</w:t>
            </w:r>
            <w:r>
              <w:rPr>
                <w:rFonts w:ascii="Times New Roman" w:cs="Times New Roman" w:eastAsia="Times New Roman" w:hAnsi="Times New Roman"/>
                <w:sz w:val="16"/>
                <w:szCs w:val="16"/>
                <w:color w:val="auto"/>
                <w:vertAlign w:val="superscript"/>
              </w:rPr>
              <w:t>(1)</w:t>
            </w:r>
          </w:p>
        </w:tc>
        <w:tc>
          <w:tcPr>
            <w:tcW w:w="2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Energy Services</w:t>
            </w:r>
          </w:p>
        </w:tc>
        <w:tc>
          <w:tcPr>
            <w:tcW w:w="2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Subordinated Debt (12% Cash, Due</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7,000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7,000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3/21/16)</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5" w:right="239" w:bottom="1440" w:gutter="0" w:footer="0" w:header="0"/>
        </w:sectPr>
      </w:pPr>
    </w:p>
    <w:bookmarkStart w:id="15" w:name="page16"/>
    <w:bookmarkEnd w:id="15"/>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Sparus Holdings,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Sparus Holdings, Inc.</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STX Healthcare Management Services, Inc. </w:t>
      </w:r>
      <w:r>
        <w:rPr>
          <w:rFonts w:ascii="Times New Roman" w:cs="Times New Roman" w:eastAsia="Times New Roman" w:hAnsi="Times New Roman"/>
          <w:sz w:val="23"/>
          <w:szCs w:val="23"/>
          <w:color w:val="auto"/>
          <w:vertAlign w:val="superscript"/>
        </w:rPr>
        <w:t>(1)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STX Healthcare Management Services, Inc.</w:t>
      </w:r>
    </w:p>
    <w:p>
      <w:pPr>
        <w:spacing w:after="0"/>
        <w:rPr>
          <w:sz w:val="20"/>
          <w:szCs w:val="20"/>
          <w:color w:val="auto"/>
        </w:rPr>
      </w:pPr>
      <w:r>
        <w:rPr>
          <w:rFonts w:ascii="Times New Roman" w:cs="Times New Roman" w:eastAsia="Times New Roman" w:hAnsi="Times New Roman"/>
          <w:sz w:val="14"/>
          <w:szCs w:val="14"/>
          <w:color w:val="auto"/>
        </w:rPr>
        <w:t>STX Healthcare Management Services, Inc.</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Take 5 Oil Change, Inc.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TCE Holdings,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TCE Holdings,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TCE Holdings, Inc.</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r>
        <w:rPr>
          <w:rFonts w:ascii="Times New Roman" w:cs="Times New Roman" w:eastAsia="Times New Roman" w:hAnsi="Times New Roman"/>
          <w:sz w:val="23"/>
          <w:szCs w:val="23"/>
          <w:color w:val="auto"/>
          <w:vertAlign w:val="superscript"/>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r>
        <w:rPr>
          <w:rFonts w:ascii="Times New Roman" w:cs="Times New Roman" w:eastAsia="Times New Roman" w:hAnsi="Times New Roman"/>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r>
        <w:rPr>
          <w:rFonts w:ascii="Times New Roman" w:cs="Times New Roman" w:eastAsia="Times New Roman" w:hAnsi="Times New Roman"/>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r>
        <w:rPr>
          <w:rFonts w:ascii="Times New Roman" w:cs="Times New Roman" w:eastAsia="Times New Roman" w:hAnsi="Times New Roman"/>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r>
        <w:rPr>
          <w:rFonts w:ascii="Times New Roman" w:cs="Times New Roman" w:eastAsia="Times New Roman" w:hAnsi="Times New Roman"/>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r>
        <w:rPr>
          <w:rFonts w:ascii="Times New Roman" w:cs="Times New Roman" w:eastAsia="Times New Roman" w:hAnsi="Times New Roman"/>
          <w:sz w:val="23"/>
          <w:szCs w:val="23"/>
          <w:color w:val="auto"/>
          <w:vertAlign w:val="superscript"/>
        </w:rPr>
        <w:t>(1)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V12 Holdings</w:t>
      </w:r>
    </w:p>
    <w:p>
      <w:pPr>
        <w:spacing w:after="0" w:line="310" w:lineRule="exact"/>
        <w:rPr>
          <w:sz w:val="20"/>
          <w:szCs w:val="20"/>
          <w:color w:val="auto"/>
        </w:rPr>
      </w:pPr>
    </w:p>
    <w:p>
      <w:pPr>
        <w:ind w:right="76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Sub Total Affiliate investments Control investments - 28.4% </w:t>
      </w:r>
      <w:r>
        <w:rPr>
          <w:rFonts w:ascii="Times New Roman" w:cs="Times New Roman" w:eastAsia="Times New Roman" w:hAnsi="Times New Roman"/>
          <w:sz w:val="14"/>
          <w:szCs w:val="14"/>
          <w:color w:val="auto"/>
        </w:rPr>
        <w:t>CableOrganizer Acquisition, LLC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CableOrganizer Acquisition,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KBP Investments, LLC </w:t>
      </w:r>
      <w:r>
        <w:rPr>
          <w:rFonts w:ascii="Times New Roman" w:cs="Times New Roman" w:eastAsia="Times New Roman" w:hAnsi="Times New Roman"/>
          <w:sz w:val="23"/>
          <w:szCs w:val="23"/>
          <w:color w:val="auto"/>
          <w:vertAlign w:val="superscript"/>
        </w:rPr>
        <w:t>(6) (7)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KBP Investments, LLC</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E’s, LLC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Market E’s, LLC </w:t>
      </w:r>
      <w:r>
        <w:rPr>
          <w:rFonts w:ascii="Times New Roman" w:cs="Times New Roman" w:eastAsia="Times New Roman" w:hAnsi="Times New Roman"/>
          <w:sz w:val="23"/>
          <w:szCs w:val="23"/>
          <w:color w:val="auto"/>
          <w:vertAlign w:val="superscript"/>
        </w:rPr>
        <w:t>(1)(2)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E’s,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Energy Services</w:t>
            </w: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Series B Preferred Stock (5,703</w:t>
            </w:r>
          </w:p>
        </w:tc>
        <w:tc>
          <w:tcPr>
            <w:tcW w:w="300" w:type="dxa"/>
            <w:vAlign w:val="bottom"/>
          </w:tcPr>
          <w:p>
            <w:pPr>
              <w:spacing w:after="0"/>
              <w:rPr>
                <w:sz w:val="13"/>
                <w:szCs w:val="13"/>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1,173</w:t>
            </w:r>
          </w:p>
        </w:tc>
        <w:tc>
          <w:tcPr>
            <w:tcW w:w="1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1,479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Energy Services</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Warrants (3,491</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Dental Practice Management</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Subordinated Debt (14% Cash, Due</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8,173</w:t>
            </w:r>
          </w:p>
        </w:tc>
        <w:tc>
          <w:tcPr>
            <w:tcW w:w="2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8,783</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7,425</w:t>
            </w:r>
          </w:p>
        </w:tc>
        <w:tc>
          <w:tcPr>
            <w:tcW w:w="20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7,425</w:t>
            </w:r>
          </w:p>
        </w:tc>
        <w:tc>
          <w:tcPr>
            <w:tcW w:w="180" w:type="dxa"/>
            <w:vAlign w:val="bottom"/>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7,425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Dental Practice Management</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7/31/15)</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(1,200,000 shares)</w:t>
            </w:r>
          </w:p>
        </w:tc>
        <w:tc>
          <w:tcPr>
            <w:tcW w:w="300" w:type="dxa"/>
            <w:vAlign w:val="bottom"/>
          </w:tcPr>
          <w:p>
            <w:pPr>
              <w:spacing w:after="0"/>
              <w:rPr>
                <w:sz w:val="12"/>
                <w:szCs w:val="12"/>
                <w:color w:val="auto"/>
              </w:rPr>
            </w:pPr>
          </w:p>
        </w:tc>
        <w:tc>
          <w:tcPr>
            <w:tcW w:w="8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w:t>
            </w:r>
          </w:p>
        </w:tc>
        <w:tc>
          <w:tcPr>
            <w:tcW w:w="2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Dental Practice Management</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Warrants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(1,154,254 shares)</w:t>
            </w:r>
          </w:p>
        </w:tc>
        <w:tc>
          <w:tcPr>
            <w:tcW w:w="3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8,843</w:t>
            </w:r>
          </w:p>
        </w:tc>
        <w:tc>
          <w:tcPr>
            <w:tcW w:w="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9,273</w:t>
            </w:r>
          </w:p>
        </w:tc>
        <w:tc>
          <w:tcPr>
            <w:tcW w:w="220" w:type="dxa"/>
            <w:vAlign w:val="bottom"/>
            <w:vMerge w:val="continue"/>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Quick Lube Services</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Common Stock (10,692 shares)</w:t>
            </w:r>
          </w:p>
        </w:tc>
        <w:tc>
          <w:tcPr>
            <w:tcW w:w="300" w:type="dxa"/>
            <w:vAlign w:val="bottom"/>
          </w:tcPr>
          <w:p>
            <w:pPr>
              <w:spacing w:after="0" w:line="20" w:lineRule="exact"/>
              <w:rPr>
                <w:sz w:val="1"/>
                <w:szCs w:val="1"/>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19"/>
        </w:trPr>
        <w:tc>
          <w:tcPr>
            <w:tcW w:w="2060" w:type="dxa"/>
            <w:vAlign w:val="bottom"/>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1,069</w:t>
            </w:r>
          </w:p>
        </w:tc>
        <w:tc>
          <w:tcPr>
            <w:tcW w:w="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1,604</w:t>
            </w:r>
          </w:p>
        </w:tc>
        <w:tc>
          <w:tcPr>
            <w:tcW w:w="220" w:type="dxa"/>
            <w:vAlign w:val="bottom"/>
            <w:vMerge w:val="continue"/>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0.6</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Oil &amp; Gas Services</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Subordinated Debt (12% Cash, 2%</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1,069</w:t>
            </w:r>
          </w:p>
        </w:tc>
        <w:tc>
          <w:tcPr>
            <w:tcW w:w="2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1,604</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0.6</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12,088</w:t>
            </w:r>
          </w:p>
        </w:tc>
        <w:tc>
          <w:tcPr>
            <w:tcW w:w="20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12,088</w:t>
            </w:r>
          </w:p>
        </w:tc>
        <w:tc>
          <w:tcPr>
            <w:tcW w:w="180" w:type="dxa"/>
            <w:vAlign w:val="bottom"/>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12,088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Oil &amp; Gas Services</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PIK, Due 11/22/18)</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Subordinated Debt (12% Cash, 2%</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9,633</w:t>
            </w: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9,633</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9,633</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Oil &amp; Gas Services</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PIK, Due 2/1/19)</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A Common Stock (3,600</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3,600</w:t>
            </w:r>
          </w:p>
        </w:tc>
        <w:tc>
          <w:tcPr>
            <w:tcW w:w="1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Bridge Note (0% Cash, Due</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25,321</w:t>
            </w:r>
          </w:p>
        </w:tc>
        <w:tc>
          <w:tcPr>
            <w:tcW w:w="2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25,321</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663</w:t>
            </w:r>
          </w:p>
        </w:tc>
        <w:tc>
          <w:tcPr>
            <w:tcW w:w="2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20" w:type="dxa"/>
            <w:vAlign w:val="bottom"/>
          </w:tcPr>
          <w:p>
            <w:pPr>
              <w:spacing w:after="0"/>
              <w:rPr>
                <w:sz w:val="9"/>
                <w:szCs w:val="9"/>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12/31/14)</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Tier 2 Note (0% Cash, Due</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12/31/14)</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Senior Subordinated Note (0%</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3,563</w:t>
            </w: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2,369</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3,598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Due 12/31/14)</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Tier 3 Note (0% Cash, Due</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12/31/14)</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Jr. Subordinated Note (0% Cash,</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2,750</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Due 12/31/14)</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Tier 4 Note (0% Cash, Due</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12/31/14)</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Series A-1 Preferred Stock</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(255,102 shares)</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Series A-3 Preferred Stock (88,194</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Series A-5 Preferred Stock (20,530</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Warrants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Marketing</w:t>
            </w: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(2,063,629 warrants)</w:t>
            </w:r>
          </w:p>
        </w:tc>
        <w:tc>
          <w:tcPr>
            <w:tcW w:w="3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2,980</w:t>
            </w:r>
          </w:p>
        </w:tc>
        <w:tc>
          <w:tcPr>
            <w:tcW w:w="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5,061</w:t>
            </w:r>
          </w:p>
        </w:tc>
        <w:tc>
          <w:tcPr>
            <w:tcW w:w="220" w:type="dxa"/>
            <w:vAlign w:val="bottom"/>
            <w:vMerge w:val="continue"/>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159,104</w:t>
            </w:r>
          </w:p>
        </w:tc>
        <w:tc>
          <w:tcPr>
            <w:tcW w:w="220" w:type="dxa"/>
            <w:vAlign w:val="bottom"/>
            <w:vMerge w:val="continue"/>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189,098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70.4</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Computer Supply Retail</w:t>
            </w: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Senior Secured Debt (12% Cash,</w:t>
            </w:r>
          </w:p>
        </w:tc>
        <w:tc>
          <w:tcPr>
            <w:tcW w:w="3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6,585</w:t>
            </w:r>
          </w:p>
        </w:tc>
        <w:tc>
          <w:tcPr>
            <w:tcW w:w="2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6,585</w:t>
            </w:r>
          </w:p>
        </w:tc>
        <w:tc>
          <w:tcPr>
            <w:tcW w:w="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6,585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4% PIK, Due 5/24/18)</w:t>
            </w:r>
          </w:p>
        </w:tc>
        <w:tc>
          <w:tcPr>
            <w:tcW w:w="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Computer Supply Retail</w:t>
            </w: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(1,125,000 shares)</w:t>
            </w:r>
          </w:p>
        </w:tc>
        <w:tc>
          <w:tcPr>
            <w:tcW w:w="3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QSR Franchisee</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Class A Preferred Stock (8,270</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7,710</w:t>
            </w:r>
          </w:p>
        </w:tc>
        <w:tc>
          <w:tcPr>
            <w:tcW w:w="2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6,673</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8,269</w:t>
            </w:r>
          </w:p>
        </w:tc>
        <w:tc>
          <w:tcPr>
            <w:tcW w:w="180" w:type="dxa"/>
            <w:vAlign w:val="bottom"/>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8,269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QSR Franchisee</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10% Dividend)</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A Common Stock (380,413</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16,518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Online Travel Sales &amp; Marketing</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Senior Secured Debt (10% Cash,</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8,269</w:t>
            </w:r>
          </w:p>
        </w:tc>
        <w:tc>
          <w:tcPr>
            <w:tcW w:w="2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24,787</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650</w:t>
            </w:r>
          </w:p>
        </w:tc>
        <w:tc>
          <w:tcPr>
            <w:tcW w:w="2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220" w:type="dxa"/>
            <w:vAlign w:val="bottom"/>
          </w:tcPr>
          <w:p>
            <w:pPr>
              <w:spacing w:after="0"/>
              <w:rPr>
                <w:sz w:val="9"/>
                <w:szCs w:val="9"/>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Online Travel Sales &amp; 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Due 12/31/14)</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Senior Subordinated Debt (14%</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3,014</w:t>
            </w: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2,832</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Online Travel Sales &amp; Marketing</w:t>
            </w: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3% PIK, Due 12/31/14)</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A Preferred Stock (600</w:t>
            </w:r>
          </w:p>
        </w:tc>
        <w:tc>
          <w:tcPr>
            <w:tcW w:w="30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-5618480</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-5233035</wp:posOffset>
            </wp:positionV>
            <wp:extent cx="72466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-4940935</wp:posOffset>
            </wp:positionV>
            <wp:extent cx="724662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-4649470</wp:posOffset>
            </wp:positionV>
            <wp:extent cx="72466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-4443730</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-4152265</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-3766185</wp:posOffset>
            </wp:positionV>
            <wp:extent cx="72466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-3474720</wp:posOffset>
            </wp:positionV>
            <wp:extent cx="72466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-3097530</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-2720340</wp:posOffset>
            </wp:positionV>
            <wp:extent cx="72466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-2342515</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-1965325</wp:posOffset>
            </wp:positionV>
            <wp:extent cx="724662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-1664970</wp:posOffset>
            </wp:positionV>
            <wp:extent cx="72466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-1459230</wp:posOffset>
            </wp:positionV>
            <wp:extent cx="72466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-1167765</wp:posOffset>
            </wp:positionV>
            <wp:extent cx="724662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-876300</wp:posOffset>
            </wp:positionV>
            <wp:extent cx="724662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-575945</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-198755</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720" w:space="380"/>
            <w:col w:w="8320"/>
          </w:cols>
          <w:pgMar w:left="240" w:top="86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E’s, LLC</w:t>
            </w:r>
          </w:p>
        </w:tc>
        <w:tc>
          <w:tcPr>
            <w:tcW w:w="2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Online Travel Sales &amp; Marketing</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B Preferred Stock (2,411</w:t>
            </w:r>
          </w:p>
        </w:tc>
        <w:tc>
          <w:tcPr>
            <w:tcW w:w="8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Market E’s, LLC</w:t>
            </w:r>
          </w:p>
        </w:tc>
        <w:tc>
          <w:tcPr>
            <w:tcW w:w="2520" w:type="dxa"/>
            <w:vAlign w:val="bottom"/>
          </w:tcPr>
          <w:p>
            <w:pPr>
              <w:ind w:left="460"/>
              <w:spacing w:after="0" w:line="126" w:lineRule="exact"/>
              <w:rPr>
                <w:sz w:val="20"/>
                <w:szCs w:val="20"/>
                <w:color w:val="auto"/>
              </w:rPr>
            </w:pPr>
            <w:r>
              <w:rPr>
                <w:rFonts w:ascii="Times New Roman" w:cs="Times New Roman" w:eastAsia="Times New Roman" w:hAnsi="Times New Roman"/>
                <w:sz w:val="14"/>
                <w:szCs w:val="14"/>
                <w:color w:val="auto"/>
              </w:rPr>
              <w:t>Online Travel Sales &amp; Marketing</w:t>
            </w:r>
          </w:p>
        </w:tc>
        <w:tc>
          <w:tcPr>
            <w:tcW w:w="25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Common Stock (600</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4,687</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1,638</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0.6</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26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Micro Precision, LLC</w:t>
            </w:r>
          </w:p>
        </w:tc>
        <w:tc>
          <w:tcPr>
            <w:tcW w:w="2520" w:type="dxa"/>
            <w:vAlign w:val="bottom"/>
          </w:tcPr>
          <w:p>
            <w:pPr>
              <w:ind w:left="460"/>
              <w:spacing w:after="0" w:line="106" w:lineRule="exact"/>
              <w:rPr>
                <w:sz w:val="20"/>
                <w:szCs w:val="20"/>
                <w:color w:val="auto"/>
              </w:rPr>
            </w:pPr>
            <w:r>
              <w:rPr>
                <w:rFonts w:ascii="Times New Roman" w:cs="Times New Roman" w:eastAsia="Times New Roman" w:hAnsi="Times New Roman"/>
                <w:sz w:val="12"/>
                <w:szCs w:val="12"/>
                <w:color w:val="auto"/>
              </w:rPr>
              <w:t>Conglomerate</w:t>
            </w:r>
          </w:p>
        </w:tc>
        <w:tc>
          <w:tcPr>
            <w:tcW w:w="2500" w:type="dxa"/>
            <w:vAlign w:val="bottom"/>
          </w:tcPr>
          <w:p>
            <w:pPr>
              <w:ind w:left="120"/>
              <w:spacing w:after="0" w:line="106" w:lineRule="exact"/>
              <w:rPr>
                <w:sz w:val="20"/>
                <w:szCs w:val="20"/>
                <w:color w:val="auto"/>
              </w:rPr>
            </w:pPr>
            <w:r>
              <w:rPr>
                <w:rFonts w:ascii="Times New Roman" w:cs="Times New Roman" w:eastAsia="Times New Roman" w:hAnsi="Times New Roman"/>
                <w:sz w:val="12"/>
                <w:szCs w:val="12"/>
                <w:color w:val="auto"/>
              </w:rPr>
              <w:t>Subordinated Debt (10% Cash, Due</w:t>
            </w: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1,862</w:t>
            </w:r>
          </w:p>
        </w:tc>
        <w:tc>
          <w:tcPr>
            <w:tcW w:w="2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1,862</w:t>
            </w:r>
          </w:p>
        </w:tc>
        <w:tc>
          <w:tcPr>
            <w:tcW w:w="2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1,862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9/16/16)</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Micro Precision, LLC</w:t>
            </w:r>
          </w:p>
        </w:tc>
        <w:tc>
          <w:tcPr>
            <w:tcW w:w="2520" w:type="dxa"/>
            <w:vAlign w:val="bottom"/>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Conglomerate</w:t>
            </w:r>
          </w:p>
        </w:tc>
        <w:tc>
          <w:tcPr>
            <w:tcW w:w="25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Subordinated Debt (14% Cash, 4%</w:t>
            </w:r>
          </w:p>
        </w:tc>
        <w:tc>
          <w:tcPr>
            <w:tcW w:w="8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3,557</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3,557</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3,557</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PIK, Due 9/16/16)</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Micro Precision, LLC</w:t>
            </w:r>
          </w:p>
        </w:tc>
        <w:tc>
          <w:tcPr>
            <w:tcW w:w="2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Conglomerate</w:t>
            </w: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(47 units)</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1,629</w:t>
            </w:r>
          </w:p>
        </w:tc>
        <w:tc>
          <w:tcPr>
            <w:tcW w:w="2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7,048</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7,629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26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Navis Holdings, Inc.</w:t>
            </w:r>
          </w:p>
        </w:tc>
        <w:tc>
          <w:tcPr>
            <w:tcW w:w="2520" w:type="dxa"/>
            <w:vAlign w:val="bottom"/>
          </w:tcPr>
          <w:p>
            <w:pPr>
              <w:ind w:left="460"/>
              <w:spacing w:after="0" w:line="106" w:lineRule="exact"/>
              <w:rPr>
                <w:sz w:val="20"/>
                <w:szCs w:val="20"/>
                <w:color w:val="auto"/>
              </w:rPr>
            </w:pPr>
            <w:r>
              <w:rPr>
                <w:rFonts w:ascii="Times New Roman" w:cs="Times New Roman" w:eastAsia="Times New Roman" w:hAnsi="Times New Roman"/>
                <w:sz w:val="12"/>
                <w:szCs w:val="12"/>
                <w:color w:val="auto"/>
              </w:rPr>
              <w:t>Textile Equipment Manufacturer</w:t>
            </w:r>
          </w:p>
        </w:tc>
        <w:tc>
          <w:tcPr>
            <w:tcW w:w="2500" w:type="dxa"/>
            <w:vAlign w:val="bottom"/>
          </w:tcPr>
          <w:p>
            <w:pPr>
              <w:ind w:left="120"/>
              <w:spacing w:after="0" w:line="106" w:lineRule="exact"/>
              <w:rPr>
                <w:sz w:val="20"/>
                <w:szCs w:val="20"/>
                <w:color w:val="auto"/>
              </w:rPr>
            </w:pPr>
            <w:r>
              <w:rPr>
                <w:rFonts w:ascii="Times New Roman" w:cs="Times New Roman" w:eastAsia="Times New Roman" w:hAnsi="Times New Roman"/>
                <w:sz w:val="12"/>
                <w:szCs w:val="12"/>
                <w:color w:val="auto"/>
              </w:rPr>
              <w:t>Senior Secured Term Debt (17%,</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3% PIK at company's option, Due</w:t>
            </w: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6,753</w:t>
            </w:r>
          </w:p>
        </w:tc>
        <w:tc>
          <w:tcPr>
            <w:tcW w:w="2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6,753</w:t>
            </w:r>
          </w:p>
        </w:tc>
        <w:tc>
          <w:tcPr>
            <w:tcW w:w="2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6,753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2/1/16)</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Navis Holdings, Inc.</w:t>
            </w:r>
          </w:p>
        </w:tc>
        <w:tc>
          <w:tcPr>
            <w:tcW w:w="2520" w:type="dxa"/>
            <w:vAlign w:val="bottom"/>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5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Preferred Stock (1,000</w:t>
            </w:r>
          </w:p>
        </w:tc>
        <w:tc>
          <w:tcPr>
            <w:tcW w:w="8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1,200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Navis Holdings, Inc.</w:t>
            </w:r>
          </w:p>
        </w:tc>
        <w:tc>
          <w:tcPr>
            <w:tcW w:w="2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Textile Equipment Manufacturer</w:t>
            </w: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(300,000 shares)</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7,754</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9,032</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26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On-Site Fuel Services, Inc.</w:t>
            </w:r>
          </w:p>
        </w:tc>
        <w:tc>
          <w:tcPr>
            <w:tcW w:w="2520" w:type="dxa"/>
            <w:vAlign w:val="bottom"/>
          </w:tcPr>
          <w:p>
            <w:pPr>
              <w:ind w:left="460"/>
              <w:spacing w:after="0" w:line="106" w:lineRule="exact"/>
              <w:rPr>
                <w:sz w:val="20"/>
                <w:szCs w:val="20"/>
                <w:color w:val="auto"/>
              </w:rPr>
            </w:pPr>
            <w:r>
              <w:rPr>
                <w:rFonts w:ascii="Times New Roman" w:cs="Times New Roman" w:eastAsia="Times New Roman" w:hAnsi="Times New Roman"/>
                <w:sz w:val="12"/>
                <w:szCs w:val="12"/>
                <w:color w:val="auto"/>
              </w:rPr>
              <w:t>Fuel Transportation Services</w:t>
            </w:r>
          </w:p>
        </w:tc>
        <w:tc>
          <w:tcPr>
            <w:tcW w:w="2500" w:type="dxa"/>
            <w:vAlign w:val="bottom"/>
          </w:tcPr>
          <w:p>
            <w:pPr>
              <w:ind w:left="120"/>
              <w:spacing w:after="0" w:line="106" w:lineRule="exact"/>
              <w:rPr>
                <w:sz w:val="20"/>
                <w:szCs w:val="20"/>
                <w:color w:val="auto"/>
              </w:rPr>
            </w:pPr>
            <w:r>
              <w:rPr>
                <w:rFonts w:ascii="Times New Roman" w:cs="Times New Roman" w:eastAsia="Times New Roman" w:hAnsi="Times New Roman"/>
                <w:sz w:val="12"/>
                <w:szCs w:val="12"/>
                <w:color w:val="auto"/>
              </w:rPr>
              <w:t>Subordinated Debt (14% Cash, 4%</w:t>
            </w: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4,848</w:t>
            </w:r>
          </w:p>
        </w:tc>
        <w:tc>
          <w:tcPr>
            <w:tcW w:w="2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4,848</w:t>
            </w:r>
          </w:p>
        </w:tc>
        <w:tc>
          <w:tcPr>
            <w:tcW w:w="2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4,848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PIK, Due 12/19/16)</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On-Site Fuel Services, Inc.</w:t>
            </w:r>
          </w:p>
        </w:tc>
        <w:tc>
          <w:tcPr>
            <w:tcW w:w="2520" w:type="dxa"/>
            <w:vAlign w:val="bottom"/>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5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Series A Preferred Stock (32,782</w:t>
            </w:r>
          </w:p>
        </w:tc>
        <w:tc>
          <w:tcPr>
            <w:tcW w:w="8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3,278</w:t>
            </w: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2,719</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line="162" w:lineRule="exact"/>
              <w:rPr>
                <w:sz w:val="20"/>
                <w:szCs w:val="20"/>
                <w:color w:val="auto"/>
              </w:rPr>
            </w:pPr>
            <w:r>
              <w:rPr>
                <w:rFonts w:ascii="Times New Roman" w:cs="Times New Roman" w:eastAsia="Times New Roman" w:hAnsi="Times New Roman"/>
                <w:sz w:val="12"/>
                <w:szCs w:val="12"/>
                <w:color w:val="auto"/>
              </w:rPr>
              <w:t xml:space="preserve">On-Site Fuel Services, Inc. </w:t>
            </w:r>
            <w:r>
              <w:rPr>
                <w:rFonts w:ascii="Times New Roman" w:cs="Times New Roman" w:eastAsia="Times New Roman" w:hAnsi="Times New Roman"/>
                <w:sz w:val="18"/>
                <w:szCs w:val="18"/>
                <w:color w:val="auto"/>
                <w:vertAlign w:val="superscript"/>
              </w:rPr>
              <w:t>(6)</w:t>
            </w:r>
          </w:p>
        </w:tc>
        <w:tc>
          <w:tcPr>
            <w:tcW w:w="2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Fuel Transportation Services</w:t>
            </w: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Series B Preferred Stock (23,648</w:t>
            </w: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2,451</w:t>
            </w:r>
          </w:p>
        </w:tc>
        <w:tc>
          <w:tcPr>
            <w:tcW w:w="2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2,707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5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On-Site Fuel Services, Inc.</w:t>
            </w:r>
          </w:p>
        </w:tc>
        <w:tc>
          <w:tcPr>
            <w:tcW w:w="2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Fuel Transportation Services</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(33,107 shares)</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10,610</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10,274</w:t>
            </w:r>
          </w:p>
        </w:tc>
        <w:tc>
          <w:tcPr>
            <w:tcW w:w="2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1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Print Direction, Inc. </w:t>
            </w:r>
            <w:r>
              <w:rPr>
                <w:rFonts w:ascii="Times New Roman" w:cs="Times New Roman" w:eastAsia="Times New Roman" w:hAnsi="Times New Roman"/>
                <w:sz w:val="16"/>
                <w:szCs w:val="16"/>
                <w:color w:val="auto"/>
                <w:vertAlign w:val="superscript"/>
              </w:rPr>
              <w:t>(1)</w:t>
            </w:r>
          </w:p>
        </w:tc>
        <w:tc>
          <w:tcPr>
            <w:tcW w:w="2520" w:type="dxa"/>
            <w:vAlign w:val="bottom"/>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rPr>
              <w:t>Printing Services</w:t>
            </w:r>
          </w:p>
        </w:tc>
        <w:tc>
          <w:tcPr>
            <w:tcW w:w="25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Subordinated Debt (12% Cash, 6%</w:t>
            </w:r>
          </w:p>
        </w:tc>
        <w:tc>
          <w:tcPr>
            <w:tcW w:w="8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4,424</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4,389</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4,424</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PIK, Due 7/25/2018)</w:t>
            </w:r>
          </w:p>
        </w:tc>
        <w:tc>
          <w:tcPr>
            <w:tcW w:w="8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line="162" w:lineRule="exact"/>
              <w:rPr>
                <w:sz w:val="20"/>
                <w:szCs w:val="20"/>
                <w:color w:val="auto"/>
              </w:rPr>
            </w:pPr>
            <w:r>
              <w:rPr>
                <w:rFonts w:ascii="Times New Roman" w:cs="Times New Roman" w:eastAsia="Times New Roman" w:hAnsi="Times New Roman"/>
                <w:sz w:val="12"/>
                <w:szCs w:val="12"/>
                <w:color w:val="auto"/>
              </w:rPr>
              <w:t xml:space="preserve">Print Direction, Inc. </w:t>
            </w:r>
            <w:r>
              <w:rPr>
                <w:rFonts w:ascii="Times New Roman" w:cs="Times New Roman" w:eastAsia="Times New Roman" w:hAnsi="Times New Roman"/>
                <w:sz w:val="18"/>
                <w:szCs w:val="18"/>
                <w:color w:val="auto"/>
                <w:vertAlign w:val="superscript"/>
              </w:rPr>
              <w:t>(1)</w:t>
            </w:r>
          </w:p>
        </w:tc>
        <w:tc>
          <w:tcPr>
            <w:tcW w:w="2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Printing Services</w:t>
            </w: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Debt (14% Cash, Due</w:t>
            </w: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4,600</w:t>
            </w:r>
          </w:p>
        </w:tc>
        <w:tc>
          <w:tcPr>
            <w:tcW w:w="2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4,600</w:t>
            </w:r>
          </w:p>
        </w:tc>
        <w:tc>
          <w:tcPr>
            <w:tcW w:w="2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5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7/31/18)</w:t>
            </w: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 Direction, Inc.</w:t>
            </w:r>
          </w:p>
        </w:tc>
        <w:tc>
          <w:tcPr>
            <w:tcW w:w="252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Printing Services</w:t>
            </w:r>
          </w:p>
        </w:tc>
        <w:tc>
          <w:tcPr>
            <w:tcW w:w="2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(19,363 shares)</w:t>
            </w:r>
          </w:p>
        </w:tc>
        <w:tc>
          <w:tcPr>
            <w:tcW w:w="82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Print Direction, Inc.</w:t>
            </w:r>
          </w:p>
        </w:tc>
        <w:tc>
          <w:tcPr>
            <w:tcW w:w="2520" w:type="dxa"/>
            <w:vAlign w:val="bottom"/>
          </w:tcPr>
          <w:p>
            <w:pPr>
              <w:ind w:left="460"/>
              <w:spacing w:after="0" w:line="126" w:lineRule="exact"/>
              <w:rPr>
                <w:sz w:val="20"/>
                <w:szCs w:val="20"/>
                <w:color w:val="auto"/>
              </w:rPr>
            </w:pPr>
            <w:r>
              <w:rPr>
                <w:rFonts w:ascii="Times New Roman" w:cs="Times New Roman" w:eastAsia="Times New Roman" w:hAnsi="Times New Roman"/>
                <w:sz w:val="14"/>
                <w:szCs w:val="14"/>
                <w:color w:val="auto"/>
              </w:rPr>
              <w:t>Printing Services</w:t>
            </w:r>
          </w:p>
        </w:tc>
        <w:tc>
          <w:tcPr>
            <w:tcW w:w="25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Warrants (3% fully</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11,979</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16,448</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Sub Total Control investments</w:t>
            </w:r>
          </w:p>
        </w:tc>
        <w:tc>
          <w:tcPr>
            <w:tcW w:w="25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58,057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76,481</w:t>
            </w: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w:t>
            </w:r>
          </w:p>
        </w:tc>
        <w:tc>
          <w:tcPr>
            <w:tcW w:w="1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64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- 135.7%</w:t>
            </w:r>
          </w:p>
        </w:tc>
        <w:tc>
          <w:tcPr>
            <w:tcW w:w="2520" w:type="dxa"/>
            <w:vAlign w:val="bottom"/>
            <w:tcBorders>
              <w:bottom w:val="single" w:sz="8" w:color="CCEEFF"/>
            </w:tcBorders>
            <w:shd w:val="clear" w:color="auto" w:fill="CCEEFF"/>
          </w:tcPr>
          <w:p>
            <w:pPr>
              <w:spacing w:after="0"/>
              <w:rPr>
                <w:sz w:val="13"/>
                <w:szCs w:val="13"/>
                <w:color w:val="auto"/>
              </w:rPr>
            </w:pPr>
          </w:p>
        </w:tc>
        <w:tc>
          <w:tcPr>
            <w:tcW w:w="25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301,299</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364,719</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135.7</w:t>
            </w:r>
          </w:p>
        </w:tc>
        <w:tc>
          <w:tcPr>
            <w:tcW w:w="14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maturity date of the original investment has been extended.</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86" w:lineRule="auto"/>
        <w:tabs>
          <w:tab w:leader="none" w:pos="2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Due to deterioration in credit quality, this investment is on non-accrual status.</w:t>
      </w:r>
    </w:p>
    <w:p>
      <w:pPr>
        <w:spacing w:after="0" w:line="42" w:lineRule="exact"/>
        <w:rPr>
          <w:rFonts w:ascii="Times New Roman" w:cs="Times New Roman" w:eastAsia="Times New Roman" w:hAnsi="Times New Roman"/>
          <w:sz w:val="24"/>
          <w:szCs w:val="24"/>
          <w:color w:val="auto"/>
          <w:vertAlign w:val="superscript"/>
        </w:rPr>
      </w:pPr>
    </w:p>
    <w:p>
      <w:pPr>
        <w:ind w:left="220" w:hanging="212"/>
        <w:spacing w:after="0" w:line="186" w:lineRule="auto"/>
        <w:tabs>
          <w:tab w:leader="none" w:pos="2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debt investment is accruing interest based on the terms of the forebearance agreement.</w:t>
      </w:r>
    </w:p>
    <w:p>
      <w:pPr>
        <w:spacing w:after="0" w:line="42" w:lineRule="exact"/>
        <w:rPr>
          <w:rFonts w:ascii="Times New Roman" w:cs="Times New Roman" w:eastAsia="Times New Roman" w:hAnsi="Times New Roman"/>
          <w:sz w:val="24"/>
          <w:szCs w:val="24"/>
          <w:color w:val="auto"/>
          <w:vertAlign w:val="superscript"/>
        </w:rPr>
      </w:pPr>
    </w:p>
    <w:p>
      <w:pPr>
        <w:ind w:left="220" w:hanging="212"/>
        <w:spacing w:after="0" w:line="186" w:lineRule="auto"/>
        <w:tabs>
          <w:tab w:leader="none" w:pos="2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All debt investments are income producing. Equity and warrant investments are non-income producing, unless otherwise noted.</w:t>
      </w:r>
    </w:p>
    <w:p>
      <w:pPr>
        <w:spacing w:after="0" w:line="42" w:lineRule="exact"/>
        <w:rPr>
          <w:rFonts w:ascii="Times New Roman" w:cs="Times New Roman" w:eastAsia="Times New Roman" w:hAnsi="Times New Roman"/>
          <w:sz w:val="24"/>
          <w:szCs w:val="24"/>
          <w:color w:val="auto"/>
          <w:vertAlign w:val="superscript"/>
        </w:rPr>
      </w:pPr>
    </w:p>
    <w:p>
      <w:pPr>
        <w:ind w:left="220" w:hanging="212"/>
        <w:spacing w:after="0" w:line="186" w:lineRule="auto"/>
        <w:tabs>
          <w:tab w:leader="none" w:pos="2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Percentages are based on net assets of $268,670 as of December 31, 2013.</w:t>
      </w:r>
    </w:p>
    <w:p>
      <w:pPr>
        <w:spacing w:after="0" w:line="42" w:lineRule="exact"/>
        <w:rPr>
          <w:rFonts w:ascii="Times New Roman" w:cs="Times New Roman" w:eastAsia="Times New Roman" w:hAnsi="Times New Roman"/>
          <w:sz w:val="24"/>
          <w:szCs w:val="24"/>
          <w:color w:val="auto"/>
          <w:vertAlign w:val="superscript"/>
        </w:rPr>
      </w:pPr>
    </w:p>
    <w:p>
      <w:pPr>
        <w:ind w:left="220" w:hanging="212"/>
        <w:spacing w:after="0" w:line="186" w:lineRule="auto"/>
        <w:tabs>
          <w:tab w:leader="none" w:pos="2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equity investment is income producing, based on cash rate disclosed.</w:t>
      </w:r>
    </w:p>
    <w:p>
      <w:pPr>
        <w:spacing w:after="0" w:line="42" w:lineRule="exact"/>
        <w:rPr>
          <w:rFonts w:ascii="Times New Roman" w:cs="Times New Roman" w:eastAsia="Times New Roman" w:hAnsi="Times New Roman"/>
          <w:sz w:val="24"/>
          <w:szCs w:val="24"/>
          <w:color w:val="auto"/>
          <w:vertAlign w:val="superscript"/>
        </w:rPr>
      </w:pPr>
    </w:p>
    <w:p>
      <w:pPr>
        <w:ind w:left="220" w:hanging="212"/>
        <w:spacing w:after="0" w:line="186" w:lineRule="auto"/>
        <w:tabs>
          <w:tab w:leader="none" w:pos="2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During the fourth quarter of 2013, the Company accepted a consent fee that waives its right to dividends through September 30, 2014.</w:t>
      </w:r>
    </w:p>
    <w:p>
      <w:pPr>
        <w:spacing w:after="0" w:line="42" w:lineRule="exact"/>
        <w:rPr>
          <w:rFonts w:ascii="Times New Roman" w:cs="Times New Roman" w:eastAsia="Times New Roman" w:hAnsi="Times New Roman"/>
          <w:sz w:val="24"/>
          <w:szCs w:val="24"/>
          <w:color w:val="auto"/>
          <w:vertAlign w:val="superscript"/>
        </w:rPr>
      </w:pPr>
    </w:p>
    <w:p>
      <w:pPr>
        <w:ind w:left="220" w:hanging="212"/>
        <w:spacing w:after="0" w:line="186" w:lineRule="auto"/>
        <w:tabs>
          <w:tab w:leader="none" w:pos="2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equity investment has an exercisable put option.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ind w:right="180" w:firstLine="881"/>
        <w:spacing w:after="0" w:line="254" w:lineRule="auto"/>
        <w:rPr>
          <w:sz w:val="20"/>
          <w:szCs w:val="20"/>
          <w:color w:val="auto"/>
        </w:rPr>
      </w:pPr>
      <w:r>
        <w:rPr>
          <w:rFonts w:ascii="Times New Roman" w:cs="Times New Roman" w:eastAsia="Times New Roman" w:hAnsi="Times New Roman"/>
          <w:sz w:val="18"/>
          <w:szCs w:val="18"/>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In addition, for U.S. federal income tax purposes, the Company intends to elect to be treated as a regulated investment company (“RIC”), under Subchapter M of the Internal Revenue Code of 1986, as amended (the “Code”) commencing with our tax year ending August 31, 2014.</w:t>
      </w:r>
    </w:p>
    <w:p>
      <w:pPr>
        <w:spacing w:after="0" w:line="189" w:lineRule="exact"/>
        <w:rPr>
          <w:sz w:val="20"/>
          <w:szCs w:val="20"/>
          <w:color w:val="auto"/>
        </w:rPr>
      </w:pPr>
    </w:p>
    <w:p>
      <w:pPr>
        <w:ind w:right="100" w:firstLine="881"/>
        <w:spacing w:after="0" w:line="258" w:lineRule="auto"/>
        <w:rPr>
          <w:sz w:val="20"/>
          <w:szCs w:val="20"/>
          <w:color w:val="auto"/>
        </w:rPr>
      </w:pPr>
      <w:r>
        <w:rPr>
          <w:rFonts w:ascii="Times New Roman" w:cs="Times New Roman" w:eastAsia="Times New Roman" w:hAnsi="Times New Roman"/>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84"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w:t>
      </w:r>
    </w:p>
    <w:p>
      <w:pPr>
        <w:spacing w:after="0" w:line="184"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and continue to hold their existing investments and continue to make new investments. The IPO consisted of the sale of</w:t>
      </w:r>
    </w:p>
    <w:p>
      <w:pPr>
        <w:spacing w:after="0" w:line="3"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September 30, 2014, the Company had 12,974,420 shares of common stock outstanding.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are presented in conformity with United States generally accepted accounting principles (“U.S. GAAP”) for interim financial information and pursuant to the requirements for reporting on Form 10-Q and Article 10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2013, filed with the U.S Securities and Exchange Commission (“SEC”) on March 28, 2014.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193"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 xml:space="preserve">The consolidated financial statements of the Company include the accounts of the Company and its wholly-owned subsidiaries as described in the Formation Transactions presented in Note 1. The transactions related to Fund II, Fund III, and the Florida Sidecar constitute an exchange of shares between entities under common control and will be accounted for in accordance with the Accounting Standards Codification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As such, the results of the Company’s operations and cash flows for the three and nine months ended September 30, 2013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presented on a combined basis in order to provide comparative information with respect to prior periods. The Formation Transactions also included an asset acquisition of certain assets in Fund I and Fund III Parent. In accordance with ASC 805, the assets acquired were recorded at fair value at the date of acquisition, September 24, 2013.</w:t>
      </w:r>
    </w:p>
    <w:p>
      <w:pPr>
        <w:spacing w:after="0" w:line="189" w:lineRule="exact"/>
        <w:rPr>
          <w:sz w:val="20"/>
          <w:szCs w:val="20"/>
          <w:color w:val="auto"/>
        </w:rPr>
      </w:pPr>
    </w:p>
    <w:p>
      <w:pPr>
        <w:ind w:right="320" w:firstLine="881"/>
        <w:spacing w:after="0" w:line="281" w:lineRule="auto"/>
        <w:rPr>
          <w:sz w:val="20"/>
          <w:szCs w:val="20"/>
          <w:color w:val="auto"/>
        </w:rPr>
      </w:pPr>
      <w:r>
        <w:rPr>
          <w:rFonts w:ascii="Times New Roman" w:cs="Times New Roman" w:eastAsia="Times New Roman" w:hAnsi="Times New Roman"/>
          <w:sz w:val="17"/>
          <w:szCs w:val="17"/>
          <w:color w:val="auto"/>
        </w:rPr>
        <w:t>The Company’s financial position as of September 30, 2014 is presented on a consolidated basis. The effects of all intercompany transactions between the Company and its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ind w:right="20" w:firstLine="881"/>
        <w:spacing w:after="0" w:line="313"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In accordance with ASC Topic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 has determined that it has a single reporting segment and operating unit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120" w:firstLine="881"/>
        <w:spacing w:after="0" w:line="266" w:lineRule="auto"/>
        <w:rPr>
          <w:sz w:val="20"/>
          <w:szCs w:val="20"/>
          <w:color w:val="auto"/>
        </w:rPr>
      </w:pPr>
      <w:r>
        <w:rPr>
          <w:rFonts w:ascii="Times New Roman" w:cs="Times New Roman" w:eastAsia="Times New Roman" w:hAnsi="Times New Roman"/>
          <w:sz w:val="18"/>
          <w:szCs w:val="18"/>
          <w:color w:val="auto"/>
        </w:rPr>
        <w:t>The Company considers cash equivalents to be highly liquid investments with original maturities of three months or less at the date of purchase. Cash and cash equivalents include deposits in money market accounts. The Company deposits its cash in financial institutions and, at times, such balances may be in excess of the Federal Deposit Insurance Corporation (“FDIC”) insurance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Classification</w:t>
      </w:r>
    </w:p>
    <w:p>
      <w:pPr>
        <w:spacing w:after="0" w:line="229" w:lineRule="exact"/>
        <w:rPr>
          <w:sz w:val="20"/>
          <w:szCs w:val="20"/>
          <w:color w:val="auto"/>
        </w:rPr>
      </w:pPr>
    </w:p>
    <w:p>
      <w:pPr>
        <w:ind w:right="120" w:firstLine="881"/>
        <w:spacing w:after="0" w:line="255" w:lineRule="auto"/>
        <w:rPr>
          <w:sz w:val="20"/>
          <w:szCs w:val="20"/>
          <w:color w:val="auto"/>
        </w:rPr>
      </w:pPr>
      <w:r>
        <w:rPr>
          <w:rFonts w:ascii="Times New Roman" w:cs="Times New Roman" w:eastAsia="Times New Roman" w:hAnsi="Times New Roman"/>
          <w:sz w:val="18"/>
          <w:szCs w:val="18"/>
          <w:color w:val="auto"/>
        </w:rPr>
        <w:t>In accordance with the provisions of the 1940 Act, the Company classifies investment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Valuation of Investments</w:t>
      </w:r>
    </w:p>
    <w:p>
      <w:pPr>
        <w:spacing w:after="0" w:line="227"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(“ASC 820”). ASC 820 defines fair value, establishes a framework used to measure fair value and requires disclosures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2" w:lineRule="exact"/>
        <w:rPr>
          <w:sz w:val="20"/>
          <w:szCs w:val="20"/>
          <w:color w:val="auto"/>
        </w:rPr>
      </w:pPr>
    </w:p>
    <w:p>
      <w:pPr>
        <w:ind w:right="20" w:firstLine="881"/>
        <w:spacing w:after="0" w:line="266" w:lineRule="auto"/>
        <w:rPr>
          <w:sz w:val="20"/>
          <w:szCs w:val="20"/>
          <w:color w:val="auto"/>
        </w:rPr>
      </w:pPr>
      <w:r>
        <w:rPr>
          <w:rFonts w:ascii="Times New Roman" w:cs="Times New Roman" w:eastAsia="Times New Roman" w:hAnsi="Times New Roman"/>
          <w:sz w:val="18"/>
          <w:szCs w:val="18"/>
          <w:color w:val="auto"/>
        </w:rPr>
        <w:t>In determining fair value, our board of directors (the “Board”) uses various valuation approaches, and engages a third-party valuation firm, which provides an independent review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76" w:lineRule="exact"/>
        <w:rPr>
          <w:sz w:val="20"/>
          <w:szCs w:val="20"/>
          <w:color w:val="auto"/>
        </w:rPr>
      </w:pPr>
    </w:p>
    <w:p>
      <w:pPr>
        <w:ind w:right="60" w:firstLine="881"/>
        <w:spacing w:after="0" w:line="266" w:lineRule="auto"/>
        <w:rPr>
          <w:sz w:val="20"/>
          <w:szCs w:val="20"/>
          <w:color w:val="auto"/>
        </w:rPr>
      </w:pPr>
      <w:r>
        <w:rPr>
          <w:rFonts w:ascii="Times New Roman" w:cs="Times New Roman" w:eastAsia="Times New Roman" w:hAnsi="Times New Roman"/>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76"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(as defined below).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Senior and Subordinated Secured Loans</w:t>
      </w:r>
    </w:p>
    <w:p>
      <w:pPr>
        <w:spacing w:after="0" w:line="227" w:lineRule="exact"/>
        <w:rPr>
          <w:sz w:val="20"/>
          <w:szCs w:val="20"/>
          <w:color w:val="auto"/>
        </w:rPr>
      </w:pPr>
    </w:p>
    <w:p>
      <w:pPr>
        <w:ind w:right="120" w:firstLine="881"/>
        <w:spacing w:after="0" w:line="256" w:lineRule="auto"/>
        <w:rPr>
          <w:sz w:val="20"/>
          <w:szCs w:val="20"/>
          <w:color w:val="auto"/>
        </w:rPr>
      </w:pPr>
      <w:r>
        <w:rPr>
          <w:rFonts w:ascii="Times New Roman" w:cs="Times New Roman" w:eastAsia="Times New Roman" w:hAnsi="Times New Roman"/>
          <w:sz w:val="18"/>
          <w:szCs w:val="18"/>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will evaluate the value of the collateral utilizing the same framework described above for a performing loan to determine the value of the Level 3 debt instrument.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20" w:name="page21"/>
    <w:bookmarkEnd w:id="20"/>
    <w:p>
      <w:pPr>
        <w:jc w:val="both"/>
        <w:ind w:right="100" w:firstLine="881"/>
        <w:spacing w:after="0" w:line="261" w:lineRule="auto"/>
        <w:rPr>
          <w:sz w:val="20"/>
          <w:szCs w:val="20"/>
          <w:color w:val="auto"/>
        </w:rPr>
      </w:pPr>
      <w:r>
        <w:rPr>
          <w:rFonts w:ascii="Times New Roman" w:cs="Times New Roman" w:eastAsia="Times New Roman" w:hAnsi="Times New Roman"/>
          <w:sz w:val="18"/>
          <w:szCs w:val="18"/>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Equity Investments in Private Companies</w:t>
      </w:r>
    </w:p>
    <w:p>
      <w:pPr>
        <w:spacing w:after="0" w:line="227"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Our Board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right="260" w:firstLine="881"/>
        <w:spacing w:after="0" w:line="266" w:lineRule="auto"/>
        <w:rPr>
          <w:sz w:val="20"/>
          <w:szCs w:val="20"/>
          <w:color w:val="auto"/>
        </w:rPr>
      </w:pPr>
      <w:r>
        <w:rPr>
          <w:rFonts w:ascii="Times New Roman" w:cs="Times New Roman" w:eastAsia="Times New Roman" w:hAnsi="Times New Roman"/>
          <w:sz w:val="18"/>
          <w:szCs w:val="18"/>
          <w:color w:val="auto"/>
        </w:rPr>
        <w:t>Our Board will ascribe value to warrants based on valuation techniques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revenue recognition policies are as follows:</w:t>
      </w:r>
    </w:p>
    <w:p>
      <w:pPr>
        <w:spacing w:after="0" w:line="223"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and Paid-in Kind Interest Income: </w:t>
      </w:r>
      <w:r>
        <w:rPr>
          <w:rFonts w:ascii="Times New Roman" w:cs="Times New Roman" w:eastAsia="Times New Roman" w:hAnsi="Times New Roman"/>
          <w:sz w:val="18"/>
          <w:szCs w:val="18"/>
          <w:color w:val="auto"/>
        </w:rPr>
        <w:t>Interest income is recorded on the accrual basis to the extent that such amounts are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collected. The Company has loans in the portfolio that contain a payment-in-kind (“PIK”)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80"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Non-accrual income: </w:t>
      </w:r>
      <w:r>
        <w:rPr>
          <w:rFonts w:ascii="Times New Roman" w:cs="Times New Roman" w:eastAsia="Times New Roman" w:hAnsi="Times New Roman"/>
          <w:sz w:val="18"/>
          <w:szCs w:val="18"/>
          <w:color w:val="auto"/>
        </w:rPr>
        <w:t>Generally, when interest and/or principal payments on a loan become materially past due, or if the Company otherwise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Gains and Losses on investment sales and paydowns: </w:t>
      </w:r>
      <w:r>
        <w:rPr>
          <w:rFonts w:ascii="Times New Roman" w:cs="Times New Roman" w:eastAsia="Times New Roman" w:hAnsi="Times New Roman"/>
          <w:sz w:val="18"/>
          <w:szCs w:val="18"/>
          <w:color w:val="auto"/>
        </w:rPr>
        <w:t>Realized gains and losses on investments are recognized using the specific identification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205"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 Income and Paid-in-kind Dividends: </w:t>
      </w:r>
      <w:r>
        <w:rPr>
          <w:rFonts w:ascii="Times New Roman" w:cs="Times New Roman" w:eastAsia="Times New Roman" w:hAnsi="Times New Roman"/>
          <w:sz w:val="18"/>
          <w:szCs w:val="18"/>
          <w:color w:val="auto"/>
        </w:rPr>
        <w:t>Dividend income is recognized on the date dividends are declared. Dividend income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1" w:name="page22"/>
    <w:bookmarkEnd w:id="21"/>
    <w:p>
      <w:pPr>
        <w:ind w:right="2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Origination, amendment, consent, closing and/or commitment fees associated with investments in portfolio companies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right="120" w:firstLine="88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are accrued as incurred. The Company’s general and administrative expenses include personnel expenses allocable to the Company under the Administration Agreement, legal and audit fees, director fees, director and officer insurance, and other expenses payable under the Administration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Fees</w:t>
      </w:r>
    </w:p>
    <w:p>
      <w:pPr>
        <w:spacing w:after="0" w:line="229" w:lineRule="exact"/>
        <w:rPr>
          <w:sz w:val="20"/>
          <w:szCs w:val="20"/>
          <w:color w:val="auto"/>
        </w:rPr>
      </w:pPr>
    </w:p>
    <w:p>
      <w:pPr>
        <w:ind w:right="120" w:firstLine="881"/>
        <w:spacing w:after="0" w:line="282" w:lineRule="auto"/>
        <w:rPr>
          <w:sz w:val="20"/>
          <w:szCs w:val="20"/>
          <w:color w:val="auto"/>
        </w:rPr>
      </w:pPr>
      <w:r>
        <w:rPr>
          <w:rFonts w:ascii="Times New Roman" w:cs="Times New Roman" w:eastAsia="Times New Roman" w:hAnsi="Times New Roman"/>
          <w:sz w:val="18"/>
          <w:szCs w:val="18"/>
          <w:color w:val="auto"/>
        </w:rPr>
        <w:t>Costs incurred to issue the SBA-guaranteed debentures and notes payable are capitalized and are amortized over the term of the debt agreements under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September 30, 2014 and December 31, 2013, the Company had $1.2 million and $0 of outstanding unfunded commitments,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unfunded commitments are all related to debt agreements with existing portfolio companies.</w:t>
      </w:r>
    </w:p>
    <w:p>
      <w:pPr>
        <w:spacing w:after="0" w:line="207" w:lineRule="exact"/>
        <w:rPr>
          <w:sz w:val="20"/>
          <w:szCs w:val="20"/>
          <w:color w:val="auto"/>
        </w:rPr>
      </w:pPr>
    </w:p>
    <w:p>
      <w:pPr>
        <w:ind w:right="300" w:firstLine="881"/>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76"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As of September 30, 2014, resolution of any outstanding claims is not expected to materially affect the Company’s business, financial position, results of operation,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520" w:firstLine="881"/>
        <w:spacing w:after="0" w:line="266" w:lineRule="auto"/>
        <w:rPr>
          <w:sz w:val="20"/>
          <w:szCs w:val="20"/>
          <w:color w:val="auto"/>
        </w:rPr>
      </w:pPr>
      <w:r>
        <w:rPr>
          <w:rFonts w:ascii="Times New Roman" w:cs="Times New Roman" w:eastAsia="Times New Roman" w:hAnsi="Times New Roman"/>
          <w:sz w:val="18"/>
          <w:szCs w:val="18"/>
          <w:color w:val="auto"/>
        </w:rPr>
        <w:t>The Company intends to elect to be treated for federal income tax purposes, and intends to qualify annually thereafter,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76"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0"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0"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2" w:name="page23"/>
    <w:bookmarkEnd w:id="22"/>
    <w:p>
      <w:pPr>
        <w:ind w:firstLine="881"/>
        <w:spacing w:after="0" w:line="261" w:lineRule="auto"/>
        <w:rPr>
          <w:sz w:val="20"/>
          <w:szCs w:val="20"/>
          <w:color w:val="auto"/>
        </w:rPr>
      </w:pPr>
      <w:r>
        <w:rPr>
          <w:rFonts w:ascii="Times New Roman" w:cs="Times New Roman" w:eastAsia="Times New Roman" w:hAnsi="Times New Roman"/>
          <w:sz w:val="18"/>
          <w:szCs w:val="18"/>
          <w:color w:val="auto"/>
        </w:rPr>
        <w:t>For income tax purposes, the Company has paid distributions on its common stock from ordinary income in the amount of $18.3 million during the tax year ended August 31, 2014. The tax character of the distributions is based on estimated taxable income for the tax year ended August 31, 2014. The tax character of the distributions based on actual taxable income for the tax year ended August 31, 2014 will be disclosed in the Company’s Annual Report on Form 10-K for the fiscal year ended December 31, 2014.</w:t>
      </w:r>
    </w:p>
    <w:p>
      <w:pPr>
        <w:spacing w:after="0" w:line="178" w:lineRule="exact"/>
        <w:rPr>
          <w:sz w:val="20"/>
          <w:szCs w:val="20"/>
          <w:color w:val="auto"/>
        </w:rPr>
      </w:pPr>
    </w:p>
    <w:p>
      <w:pPr>
        <w:ind w:right="40" w:firstLine="917"/>
        <w:spacing w:after="0" w:line="257" w:lineRule="auto"/>
        <w:rPr>
          <w:sz w:val="20"/>
          <w:szCs w:val="20"/>
          <w:color w:val="auto"/>
        </w:rPr>
      </w:pPr>
      <w:r>
        <w:rPr>
          <w:rFonts w:ascii="Times New Roman" w:cs="Times New Roman" w:eastAsia="Times New Roman" w:hAnsi="Times New Roman"/>
          <w:sz w:val="18"/>
          <w:szCs w:val="18"/>
          <w:color w:val="auto"/>
        </w:rPr>
        <w:t xml:space="preserve">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2014 and December 31, 2013, there were no uncertain tax positions.</w:t>
      </w:r>
    </w:p>
    <w:p>
      <w:pPr>
        <w:spacing w:after="0" w:line="185"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negatively impact the Company’s net assets.</w:t>
      </w:r>
    </w:p>
    <w:p>
      <w:pPr>
        <w:spacing w:after="0" w:line="180" w:lineRule="exact"/>
        <w:rPr>
          <w:sz w:val="20"/>
          <w:szCs w:val="20"/>
          <w:color w:val="auto"/>
        </w:rPr>
      </w:pPr>
    </w:p>
    <w:p>
      <w:pPr>
        <w:ind w:right="180" w:firstLine="881"/>
        <w:spacing w:after="0" w:line="282" w:lineRule="auto"/>
        <w:rPr>
          <w:sz w:val="20"/>
          <w:szCs w:val="20"/>
          <w:color w:val="auto"/>
        </w:rPr>
      </w:pPr>
      <w:r>
        <w:rPr>
          <w:rFonts w:ascii="Times New Roman" w:cs="Times New Roman" w:eastAsia="Times New Roman" w:hAnsi="Times New Roman"/>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62"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The Company has concluded that it was not necessary to record a liability for any such tax positions as of September 30, 2014 and December 31, 2013.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76" w:lineRule="exact"/>
        <w:rPr>
          <w:sz w:val="20"/>
          <w:szCs w:val="20"/>
          <w:color w:val="auto"/>
        </w:rPr>
      </w:pPr>
    </w:p>
    <w:p>
      <w:pPr>
        <w:ind w:right="180" w:firstLine="881"/>
        <w:spacing w:after="0" w:line="261" w:lineRule="auto"/>
        <w:rPr>
          <w:sz w:val="20"/>
          <w:szCs w:val="20"/>
          <w:color w:val="auto"/>
        </w:rPr>
      </w:pPr>
      <w:r>
        <w:rPr>
          <w:rFonts w:ascii="Times New Roman" w:cs="Times New Roman" w:eastAsia="Times New Roman" w:hAnsi="Times New Roman"/>
          <w:sz w:val="18"/>
          <w:szCs w:val="18"/>
          <w:color w:val="auto"/>
        </w:rPr>
        <w:t>The Company’s activities from commencement of operations remain subject to examination by U.S. federal, state, and local tax authorities. No interest expense or penalties have been assessed for the three and nine month periods ended September 30, 2014 and September 30, 2013. If the Company were required to recognize interest and penalties, if any, related to unrecognized tax benefits this would be recognized as income tax expense in the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firstLine="881"/>
        <w:spacing w:after="0" w:line="282" w:lineRule="auto"/>
        <w:rPr>
          <w:sz w:val="20"/>
          <w:szCs w:val="20"/>
          <w:color w:val="auto"/>
        </w:rPr>
      </w:pPr>
      <w:r>
        <w:rPr>
          <w:rFonts w:ascii="Times New Roman" w:cs="Times New Roman" w:eastAsia="Times New Roman" w:hAnsi="Times New Roman"/>
          <w:sz w:val="18"/>
          <w:szCs w:val="18"/>
          <w:color w:val="auto"/>
        </w:rPr>
        <w:t>Dividends to common stockholders are recorded on the ex-dividend date. The amount to be paid out as a dividend is approved by the Board. Net capital gains, if any, are generally distributed at least annually, although we may decide to retain such capital gains for reinvestment.</w:t>
      </w:r>
    </w:p>
    <w:p>
      <w:pPr>
        <w:spacing w:after="0" w:line="162" w:lineRule="exact"/>
        <w:rPr>
          <w:sz w:val="20"/>
          <w:szCs w:val="20"/>
          <w:color w:val="auto"/>
        </w:rPr>
      </w:pPr>
    </w:p>
    <w:p>
      <w:pPr>
        <w:ind w:right="240" w:firstLine="881"/>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his/her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Investment Risk, Concentration of Credit Risk, and Liquidity Risk</w:t>
      </w:r>
    </w:p>
    <w:p>
      <w:pPr>
        <w:spacing w:after="0" w:line="229" w:lineRule="exact"/>
        <w:rPr>
          <w:sz w:val="20"/>
          <w:szCs w:val="20"/>
          <w:color w:val="auto"/>
        </w:rPr>
      </w:pPr>
    </w:p>
    <w:p>
      <w:pPr>
        <w:ind w:right="200" w:firstLine="881"/>
        <w:spacing w:after="0" w:line="281" w:lineRule="auto"/>
        <w:rPr>
          <w:sz w:val="20"/>
          <w:szCs w:val="20"/>
          <w:color w:val="auto"/>
        </w:rPr>
      </w:pPr>
      <w:r>
        <w:rPr>
          <w:rFonts w:ascii="Times New Roman" w:cs="Times New Roman" w:eastAsia="Times New Roman" w:hAnsi="Times New Roman"/>
          <w:sz w:val="17"/>
          <w:szCs w:val="17"/>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3" w:name="page24"/>
    <w:bookmarkEnd w:id="23"/>
    <w:p>
      <w:pPr>
        <w:jc w:val="both"/>
        <w:ind w:right="80" w:firstLine="881"/>
        <w:spacing w:after="0" w:line="261" w:lineRule="auto"/>
        <w:rPr>
          <w:sz w:val="20"/>
          <w:szCs w:val="20"/>
          <w:color w:val="auto"/>
        </w:rPr>
      </w:pPr>
      <w:r>
        <w:rPr>
          <w:rFonts w:ascii="Times New Roman" w:cs="Times New Roman" w:eastAsia="Times New Roman" w:hAnsi="Times New Roman"/>
          <w:sz w:val="18"/>
          <w:szCs w:val="18"/>
          <w:color w:val="auto"/>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80" w:lineRule="exact"/>
        <w:rPr>
          <w:sz w:val="20"/>
          <w:szCs w:val="20"/>
          <w:color w:val="auto"/>
        </w:rPr>
      </w:pPr>
    </w:p>
    <w:p>
      <w:pPr>
        <w:ind w:right="540" w:firstLine="881"/>
        <w:spacing w:after="0" w:line="282" w:lineRule="auto"/>
        <w:rPr>
          <w:sz w:val="20"/>
          <w:szCs w:val="20"/>
          <w:color w:val="auto"/>
        </w:rPr>
      </w:pPr>
      <w:r>
        <w:rPr>
          <w:rFonts w:ascii="Times New Roman" w:cs="Times New Roman" w:eastAsia="Times New Roman" w:hAnsi="Times New Roman"/>
          <w:sz w:val="18"/>
          <w:szCs w:val="18"/>
          <w:color w:val="auto"/>
        </w:rPr>
        <w:t>The Investment Advisor may attempt to minimize this risk by maintaining low loan-to-liquidation values with each loan and the collateral underlying the loan.</w:t>
      </w:r>
    </w:p>
    <w:p>
      <w:pPr>
        <w:spacing w:after="0" w:line="162" w:lineRule="exact"/>
        <w:rPr>
          <w:sz w:val="20"/>
          <w:szCs w:val="20"/>
          <w:color w:val="auto"/>
        </w:rPr>
      </w:pPr>
    </w:p>
    <w:p>
      <w:pPr>
        <w:jc w:val="both"/>
        <w:ind w:right="60" w:firstLine="881"/>
        <w:spacing w:after="0" w:line="266" w:lineRule="auto"/>
        <w:rPr>
          <w:sz w:val="20"/>
          <w:szCs w:val="20"/>
          <w:color w:val="auto"/>
        </w:rPr>
      </w:pPr>
      <w:r>
        <w:rPr>
          <w:rFonts w:ascii="Times New Roman" w:cs="Times New Roman" w:eastAsia="Times New Roman" w:hAnsi="Times New Roman"/>
          <w:sz w:val="18"/>
          <w:szCs w:val="18"/>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Recent Accounting Pronouncements</w:t>
      </w:r>
    </w:p>
    <w:p>
      <w:pPr>
        <w:spacing w:after="0" w:line="227"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 xml:space="preserve">In June 2013, the FASB issued ASU No. 2013-08, </w:t>
      </w:r>
      <w:r>
        <w:rPr>
          <w:rFonts w:ascii="Times New Roman" w:cs="Times New Roman" w:eastAsia="Times New Roman" w:hAnsi="Times New Roman"/>
          <w:sz w:val="18"/>
          <w:szCs w:val="18"/>
          <w:i w:val="1"/>
          <w:iCs w:val="1"/>
          <w:color w:val="auto"/>
        </w:rPr>
        <w:t>“Financial Services – Investment Companies (Topic 946), Amendments to the 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and Disclosure Requirements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in this accounting standards update affect the scope, measurement, and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investment companies under U.S. GAAP, and clarify the characteristics of an investment company, provide comprehensive guidance for assessing whether an entity is an investment company, require that an investment company measure non-controlling ownership interests in other investment companies at fair value rather than using the equity method of accounting, and require additional disclosures. This standard is effective for interim and annual reporting periods in fiscal years that begin after December 15, 2013. The Company has adopted this standard and the required disclosures are presented in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 As of September 30, 2014, our portfolio consisted of investments in 50 portfolio companies with a fair value of approximately $445.1 million.</w:t>
      </w:r>
    </w:p>
    <w:p>
      <w:pPr>
        <w:spacing w:after="0" w:line="188"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2014, the Company made approximately $86.7 million of investments in new or existing portfolio companies and had approximately $44.7 million in exits and repayments resulting in net investments of approximately $42.0 million for the period. During the three months ended September 30, 2013, the Company made approximately $34.2 million of investments in new or existing portfolio companies and had approximately $23.1 million in exits and repayments resulting in net investments of approximately $11.1 million for the period.</w:t>
      </w:r>
    </w:p>
    <w:p>
      <w:pPr>
        <w:spacing w:after="0" w:line="180"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2014, the Company made approximately $150.3 million of investments in new or existing portfolio companies and had approximately $64.8 million in exits and repayments resulting in net investments of approximately $85.5 million for the period. During the nine months ended September 30, 2013, the Company made approximately $75.8 million of investments in new or existing portfolio companies and had approximately $50.2 million in exits and repayments resulting in net investments of approximately $25.6 million for the period.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4" w:name="page25"/>
    <w:bookmarkEnd w:id="24"/>
    <w:p>
      <w:pPr>
        <w:ind w:right="20" w:firstLine="881"/>
        <w:spacing w:after="0" w:line="256" w:lineRule="auto"/>
        <w:rPr>
          <w:sz w:val="20"/>
          <w:szCs w:val="20"/>
          <w:color w:val="auto"/>
        </w:rPr>
      </w:pPr>
      <w:r>
        <w:rPr>
          <w:rFonts w:ascii="Times New Roman" w:cs="Times New Roman" w:eastAsia="Times New Roman" w:hAnsi="Times New Roman"/>
          <w:sz w:val="18"/>
          <w:szCs w:val="18"/>
          <w:color w:val="auto"/>
        </w:rPr>
        <w:t>During the three and nine month periods ended September 30, 2014, all new investments were made to portfolio companies in which the Company was not previously contractually obligated to provide financial support.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nine month period ended September 30, 2014, the Company did not lead any syndicates. During the three months ended September 30, 2014 the Company did not assist any portfolio companies in obtaining indirect financing. During the nine month period ended September 30, 2014, the Company helped Print Direction, Inc. obtain a $3.5 million senior revolving credit facility.</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composition of our investments as of September 30, 2014, at amortized cost and fair value were as follows (dollars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Investments at</w:t>
            </w:r>
          </w:p>
        </w:tc>
        <w:tc>
          <w:tcPr>
            <w:tcW w:w="14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Investments at</w:t>
            </w: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134,258</w:t>
            </w:r>
          </w:p>
        </w:tc>
        <w:tc>
          <w:tcPr>
            <w:tcW w:w="22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136,171</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187,842</w:t>
            </w: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186,483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65,390</w:t>
            </w:r>
          </w:p>
        </w:tc>
        <w:tc>
          <w:tcPr>
            <w:tcW w:w="14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122,472</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387,490</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composition of our investments as of December 31, 2013, at amortized cost and fair value were as follows (dollars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Investments at</w:t>
            </w:r>
          </w:p>
        </w:tc>
        <w:tc>
          <w:tcPr>
            <w:tcW w:w="14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Investments at</w:t>
            </w: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103,457</w:t>
            </w:r>
          </w:p>
        </w:tc>
        <w:tc>
          <w:tcPr>
            <w:tcW w:w="22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102,071</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136,638</w:t>
            </w: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133,710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61,204</w:t>
            </w:r>
          </w:p>
        </w:tc>
        <w:tc>
          <w:tcPr>
            <w:tcW w:w="14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128,938</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301,299</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81"/>
        <w:spacing w:after="0" w:line="266" w:lineRule="auto"/>
        <w:rPr>
          <w:sz w:val="20"/>
          <w:szCs w:val="20"/>
          <w:color w:val="auto"/>
        </w:rPr>
      </w:pPr>
      <w:r>
        <w:rPr>
          <w:rFonts w:ascii="Times New Roman" w:cs="Times New Roman" w:eastAsia="Times New Roman" w:hAnsi="Times New Roman"/>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right="220" w:firstLine="881"/>
        <w:spacing w:after="0" w:line="261" w:lineRule="auto"/>
        <w:rPr>
          <w:sz w:val="20"/>
          <w:szCs w:val="20"/>
          <w:color w:val="auto"/>
        </w:rPr>
      </w:pPr>
      <w:r>
        <w:rPr>
          <w:rFonts w:ascii="Times New Roman" w:cs="Times New Roman" w:eastAsia="Times New Roman" w:hAnsi="Times New Roman"/>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80"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76" w:lineRule="exact"/>
        <w:rPr>
          <w:sz w:val="20"/>
          <w:szCs w:val="20"/>
          <w:color w:val="auto"/>
        </w:rPr>
      </w:pPr>
    </w:p>
    <w:p>
      <w:pPr>
        <w:ind w:left="1720" w:right="280" w:hanging="564"/>
        <w:spacing w:after="0" w:line="282" w:lineRule="auto"/>
        <w:tabs>
          <w:tab w:leader="none" w:pos="1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61"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inputs other than quoted prices in active markets, which are either directly or indirectly observable.</w:t>
      </w:r>
    </w:p>
    <w:p>
      <w:pPr>
        <w:spacing w:after="0" w:line="225"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sectPr>
      </w:pPr>
    </w:p>
    <w:bookmarkStart w:id="25" w:name="page26"/>
    <w:bookmarkEnd w:id="25"/>
    <w:p>
      <w:pPr>
        <w:ind w:right="60" w:firstLine="881"/>
        <w:spacing w:after="0" w:line="266" w:lineRule="auto"/>
        <w:rPr>
          <w:sz w:val="20"/>
          <w:szCs w:val="20"/>
          <w:color w:val="auto"/>
        </w:rPr>
      </w:pPr>
      <w:r>
        <w:rPr>
          <w:rFonts w:ascii="Times New Roman" w:cs="Times New Roman" w:eastAsia="Times New Roman" w:hAnsi="Times New Roman"/>
          <w:sz w:val="18"/>
          <w:szCs w:val="18"/>
          <w:color w:val="auto"/>
        </w:rPr>
        <w:t>In addition to using the above inputs in investment valuations, the Company continues to employ the valuation policy approved by the Board that is consistent with ASC 820 (See Note 2). Consistent with our Company’s valuation policy, we evaluate the source of inputs, including any markets in which our investments are trading, in determining fair value.</w:t>
      </w:r>
    </w:p>
    <w:p>
      <w:pPr>
        <w:spacing w:after="0" w:line="176" w:lineRule="exact"/>
        <w:rPr>
          <w:sz w:val="20"/>
          <w:szCs w:val="20"/>
          <w:color w:val="auto"/>
        </w:rPr>
      </w:pPr>
    </w:p>
    <w:p>
      <w:pPr>
        <w:ind w:right="140" w:firstLine="881"/>
        <w:spacing w:after="0" w:line="266" w:lineRule="auto"/>
        <w:rPr>
          <w:sz w:val="20"/>
          <w:szCs w:val="20"/>
          <w:color w:val="auto"/>
        </w:rPr>
      </w:pPr>
      <w:r>
        <w:rPr>
          <w:rFonts w:ascii="Times New Roman" w:cs="Times New Roman" w:eastAsia="Times New Roman" w:hAnsi="Times New Roman"/>
          <w:sz w:val="18"/>
          <w:szCs w:val="18"/>
          <w:color w:val="auto"/>
        </w:rPr>
        <w:t>In estimating fair value of portfolio investments, the Company starts with the cost basis of the investment, which includes amortized original issue discount and PIK interest and dividends,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valuation methodologies are utilized by the company in estimating fair value and are summarized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Value Waterfall Approach</w:t>
      </w:r>
    </w:p>
    <w:p>
      <w:pPr>
        <w:spacing w:after="0" w:line="227" w:lineRule="exact"/>
        <w:rPr>
          <w:sz w:val="20"/>
          <w:szCs w:val="20"/>
          <w:color w:val="auto"/>
        </w:rPr>
      </w:pPr>
    </w:p>
    <w:p>
      <w:pPr>
        <w:ind w:right="20" w:firstLine="881"/>
        <w:spacing w:after="0" w:line="254" w:lineRule="auto"/>
        <w:rPr>
          <w:sz w:val="20"/>
          <w:szCs w:val="20"/>
          <w:color w:val="auto"/>
        </w:rPr>
      </w:pPr>
      <w:r>
        <w:rPr>
          <w:rFonts w:ascii="Times New Roman" w:cs="Times New Roman" w:eastAsia="Times New Roman" w:hAnsi="Times New Roman"/>
          <w:sz w:val="18"/>
          <w:szCs w:val="18"/>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When available, the Company may assign a pricing multiple or value its equity investments based on the value of recent investment transactions in the subject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Approach</w:t>
      </w:r>
    </w:p>
    <w:p>
      <w:pPr>
        <w:spacing w:after="0" w:line="227" w:lineRule="exact"/>
        <w:rPr>
          <w:sz w:val="20"/>
          <w:szCs w:val="20"/>
          <w:color w:val="auto"/>
        </w:rPr>
      </w:pPr>
    </w:p>
    <w:p>
      <w:pPr>
        <w:jc w:val="both"/>
        <w:ind w:right="260" w:firstLine="881"/>
        <w:spacing w:after="0" w:line="266" w:lineRule="auto"/>
        <w:rPr>
          <w:sz w:val="20"/>
          <w:szCs w:val="20"/>
          <w:color w:val="auto"/>
        </w:rPr>
      </w:pPr>
      <w:r>
        <w:rPr>
          <w:rFonts w:ascii="Times New Roman" w:cs="Times New Roman" w:eastAsia="Times New Roman" w:hAnsi="Times New Roman"/>
          <w:sz w:val="18"/>
          <w:szCs w:val="18"/>
          <w:color w:val="auto"/>
        </w:rPr>
        <w:t>The income approach utilizes a discounted cash flow methodology in which the Company estimates fair value based on the present value of a stream of expected cash flows discounted at a market rate of interest. The determination of a discount rate, or required rate of return, takes into account the portfolio company’s fundamentals and perceived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Approach</w:t>
      </w:r>
    </w:p>
    <w:p>
      <w:pPr>
        <w:spacing w:after="0" w:line="227"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w:t>
      </w:r>
    </w:p>
    <w:p>
      <w:pPr>
        <w:spacing w:after="0" w:line="176" w:lineRule="exact"/>
        <w:rPr>
          <w:sz w:val="20"/>
          <w:szCs w:val="20"/>
          <w:color w:val="auto"/>
        </w:rPr>
      </w:pPr>
    </w:p>
    <w:p>
      <w:pPr>
        <w:ind w:right="1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investments, by major class, as of September 30, 2014 (dollars in thousands), according to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2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136,171</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2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445,126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6" w:name="page27"/>
    <w:bookmarkEnd w:id="26"/>
    <w:p>
      <w:pPr>
        <w:ind w:right="14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investments, by major class, as of December 31, 2013 (dollars in thousands), according to the fair value hierarchy:</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8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133,710</w:t>
            </w:r>
          </w:p>
        </w:tc>
        <w:tc>
          <w:tcPr>
            <w:tcW w:w="80" w:type="dxa"/>
            <w:vAlign w:val="bottom"/>
          </w:tcPr>
          <w:p>
            <w:pPr>
              <w:spacing w:after="0"/>
              <w:rPr>
                <w:sz w:val="18"/>
                <w:szCs w:val="18"/>
                <w:color w:val="auto"/>
              </w:rPr>
            </w:pP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128,938</w:t>
            </w:r>
          </w:p>
        </w:tc>
        <w:tc>
          <w:tcPr>
            <w:tcW w:w="80" w:type="dxa"/>
            <w:vAlign w:val="bottom"/>
            <w:shd w:val="clear" w:color="auto" w:fill="CCEEFF"/>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8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nine months ended September 30, 2014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Secured</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Subordinated</w:t>
            </w: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Change in classification due to restructure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(7,073)</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7,073</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(23,683)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(64,833)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76,345</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69,069</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150,304</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in-kind interest and dividends, net of payments received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gain/(loss) from investments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net unrealized appreciation</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4,574</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(10,652)</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(5,784)</w:t>
            </w:r>
          </w:p>
        </w:tc>
      </w:tr>
      <w:tr>
        <w:trPr>
          <w:trHeight w:val="223"/>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nine months ended September 30, 2013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Secured</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Subordinated</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2013</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 in classification due to restructure</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6,735</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(6,735)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(22,958)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(50,209)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24,775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44,459</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75,817</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related to asset acquisition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11,796</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Payment in-kind interest and dividends, net of payments received</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gain/(loss) from investments</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unrealized appreciation</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3,899</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6,442</w:t>
            </w:r>
          </w:p>
        </w:tc>
        <w:tc>
          <w:tcPr>
            <w:tcW w:w="80" w:type="dxa"/>
            <w:vAlign w:val="bottom"/>
            <w:shd w:val="clear" w:color="auto" w:fill="CCEEFF"/>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2013</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881"/>
        <w:spacing w:after="0" w:line="261" w:lineRule="auto"/>
        <w:rPr>
          <w:sz w:val="20"/>
          <w:szCs w:val="20"/>
          <w:color w:val="auto"/>
        </w:rPr>
      </w:pPr>
      <w:r>
        <w:rPr>
          <w:rFonts w:ascii="Times New Roman" w:cs="Times New Roman" w:eastAsia="Times New Roman" w:hAnsi="Times New Roman"/>
          <w:sz w:val="18"/>
          <w:szCs w:val="18"/>
          <w:color w:val="auto"/>
        </w:rPr>
        <w:t>The net change in unrealized appreciation on investments held as of September 30, 2014 was a decrease of $7.4 million and is included in net unrealized depreciation on investments in the consolidated statements of operations for the nine months ended September 30, 2014. The net change in unrealized appreciation on investments held as of September 30, 2013 was $4.2 million and is included in net unrealized appreciation on investments in the consolidated statements of operations for the nine months ended September 30, 2014.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ind w:right="280" w:firstLine="923"/>
        <w:spacing w:after="0" w:line="282" w:lineRule="auto"/>
        <w:rPr>
          <w:sz w:val="20"/>
          <w:szCs w:val="20"/>
          <w:color w:val="auto"/>
        </w:rPr>
      </w:pPr>
      <w:r>
        <w:rPr>
          <w:rFonts w:ascii="Times New Roman" w:cs="Times New Roman" w:eastAsia="Times New Roman" w:hAnsi="Times New Roman"/>
          <w:sz w:val="18"/>
          <w:szCs w:val="18"/>
          <w:color w:val="auto"/>
        </w:rPr>
        <w:t>The valuation techniques and significant unobservable inputs used in recurring Level 3 fair value measurements of assets as of September 30, 2014 were as follows (dollars in thousands, except EBITDA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Valuation Approach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Level 3 Input</w:t>
            </w: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Range of Inputs</w:t>
            </w: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Subordinated debt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8.8% - 20.0%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second 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1.4x – 9.9x</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4.4x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169,053</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 million-$200.0 million</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$41.3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Subordinated debt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second 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Enterprise Value</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5.0x – 5.0x</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5.4x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17,430</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Waterfall and Asset (1)</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$0.7 million - $2.8 million</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Senior debt and first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 - 18.0%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1.0x – 9.9x</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4.3x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136,171</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and Asset (1)</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$0.6 million- $44.4 million</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$10.2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shares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Enterprise Value</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4.5x – 11.0x</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7.3x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122,472</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Waterfall</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 million -$205.9 million</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$25.2 million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 $14.4 million in subordinated notes and $9.3 million senior notes were valued using the asset approach.</w:t>
      </w:r>
    </w:p>
    <w:p>
      <w:pPr>
        <w:spacing w:after="0" w:line="225" w:lineRule="exact"/>
        <w:rPr>
          <w:sz w:val="20"/>
          <w:szCs w:val="20"/>
          <w:color w:val="auto"/>
        </w:rPr>
      </w:pPr>
    </w:p>
    <w:p>
      <w:pPr>
        <w:ind w:right="360" w:firstLine="881"/>
        <w:spacing w:after="0" w:line="282" w:lineRule="auto"/>
        <w:rPr>
          <w:sz w:val="20"/>
          <w:szCs w:val="20"/>
          <w:color w:val="auto"/>
        </w:rPr>
      </w:pPr>
      <w:r>
        <w:rPr>
          <w:rFonts w:ascii="Times New Roman" w:cs="Times New Roman" w:eastAsia="Times New Roman" w:hAnsi="Times New Roman"/>
          <w:sz w:val="18"/>
          <w:szCs w:val="18"/>
          <w:color w:val="auto"/>
        </w:rPr>
        <w:t>The valuation techniques and significant unobservable inputs used in recurring Level 3 fair value measurements of assets as of December 31, 2013 were as follows (dollars in thousands, except EBITDA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Valuation Approach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Level 3 Input</w:t>
            </w:r>
          </w:p>
        </w:tc>
        <w:tc>
          <w:tcPr>
            <w:tcW w:w="2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Range of Inputs</w:t>
            </w:r>
          </w:p>
        </w:tc>
        <w:tc>
          <w:tcPr>
            <w:tcW w:w="2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Subordinated debt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7.0% - 18.0%</w:t>
            </w:r>
          </w:p>
        </w:tc>
        <w:tc>
          <w:tcPr>
            <w:tcW w:w="166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second 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1.2x – 4.6x</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111,711</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 million-$25.8 million</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$11.2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Subordinated debt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second 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Enterprise Value</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4.3x – 11.5x</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9.5x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21,999</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Waterfall and Asset (1)</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 million - $2.2 million</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Senior debt and first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 - 24.5%</w:t>
            </w:r>
          </w:p>
        </w:tc>
        <w:tc>
          <w:tcPr>
            <w:tcW w:w="166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1.2x – 9.9x</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3.8x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102,071</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and Asset (1)</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$0.6 million- $29.7 million</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$11.2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shares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1.6x – 9.5x</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Enterprise Value</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$1.4 million -$229.0 million</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$23.8 million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128,938</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Waterfall</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Price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20" w:right="3300" w:hanging="5382"/>
        <w:spacing w:after="0" w:line="783" w:lineRule="auto"/>
        <w:tabs>
          <w:tab w:leader="none" w:pos="4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in subordinated notes and $3.6 million in senior notes were valued using the asset approach.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8" w:name="page29"/>
    <w:bookmarkEnd w:id="28"/>
    <w:p>
      <w:pPr>
        <w:ind w:firstLine="881"/>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the valuation of the Company’s debt and equity investments are required rate of return, adjusted EBITDA, EBITDA multiples, leverage and transaction prices. Changes in any of these unobservable inputs could have a significant impact on the Company’s estimate of fair value. An increase (decrease) in required rate of return or leverage will result in a lower (higher) estimate of fair value while an increase (decrease) in adjusted EBITDA, EBITDA multiples, or transaction prices will result in a higher (lower) estimate of fair value.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5. Agreements</w:t>
      </w:r>
    </w:p>
    <w:p>
      <w:pPr>
        <w:spacing w:after="0" w:line="22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On September 24, 2013, the Company entered into an investment advisory agreement (the “Investment Advisory Agreement”) with the Investment Advisor, which was approved by the Board of Directors of the Company on June 10, 2013. The initial term of the Investment Advisory Agreement is two years, with automatic, one-year renewals at the end of each year subject to certain approvals by our Board of Directors. The Investment Advisory Agreement may be terminated by either party without penalty upon 60 days’ written notice to the other party. Subject to the overall supervision of our Board of Directors, the Investment Advisor manages our day-to-day operations, and provides investment advisory and management services to us. Under the terms of our Investment Advisory Agreement, the Investment Advisor:</w:t>
      </w:r>
    </w:p>
    <w:p>
      <w:pPr>
        <w:spacing w:after="0" w:line="188" w:lineRule="exact"/>
        <w:rPr>
          <w:sz w:val="20"/>
          <w:szCs w:val="20"/>
          <w:color w:val="auto"/>
        </w:rPr>
      </w:pPr>
    </w:p>
    <w:p>
      <w:pPr>
        <w:ind w:left="1720" w:right="220" w:hanging="564"/>
        <w:spacing w:after="0" w:line="282" w:lineRule="auto"/>
        <w:tabs>
          <w:tab w:leader="none" w:pos="1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spacing w:after="0" w:line="161" w:lineRule="exact"/>
        <w:rPr>
          <w:rFonts w:ascii="Times New Roman" w:cs="Times New Roman" w:eastAsia="Times New Roman" w:hAnsi="Times New Roman"/>
          <w:sz w:val="18"/>
          <w:szCs w:val="18"/>
          <w:color w:val="auto"/>
        </w:rPr>
      </w:pPr>
    </w:p>
    <w:p>
      <w:pPr>
        <w:ind w:left="1720" w:right="80" w:hanging="564"/>
        <w:spacing w:after="0" w:line="282" w:lineRule="auto"/>
        <w:tabs>
          <w:tab w:leader="none" w:pos="1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161"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and monitors the investments we make; and</w:t>
      </w:r>
    </w:p>
    <w:p>
      <w:pPr>
        <w:spacing w:after="0" w:line="225"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60" w:firstLine="881"/>
        <w:spacing w:after="0" w:line="282" w:lineRule="auto"/>
        <w:rPr>
          <w:sz w:val="20"/>
          <w:szCs w:val="20"/>
          <w:color w:val="auto"/>
        </w:rPr>
      </w:pPr>
      <w:r>
        <w:rPr>
          <w:rFonts w:ascii="Times New Roman" w:cs="Times New Roman" w:eastAsia="Times New Roman" w:hAnsi="Times New Roman"/>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62" w:lineRule="exact"/>
        <w:rPr>
          <w:sz w:val="20"/>
          <w:szCs w:val="20"/>
          <w:color w:val="auto"/>
        </w:rPr>
      </w:pPr>
    </w:p>
    <w:p>
      <w:pPr>
        <w:ind w:right="180" w:firstLine="881"/>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negligence in the performance of its duties or by reason of the reckless disregard of its duties and obligations, our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4" w:lineRule="exact"/>
        <w:rPr>
          <w:sz w:val="20"/>
          <w:szCs w:val="20"/>
          <w:color w:val="auto"/>
        </w:rPr>
      </w:pPr>
    </w:p>
    <w:p>
      <w:pPr>
        <w:ind w:right="120" w:firstLine="881"/>
        <w:spacing w:after="0" w:line="282" w:lineRule="auto"/>
        <w:rPr>
          <w:sz w:val="20"/>
          <w:szCs w:val="20"/>
          <w:color w:val="auto"/>
        </w:rPr>
      </w:pPr>
      <w:r>
        <w:rPr>
          <w:rFonts w:ascii="Times New Roman" w:cs="Times New Roman" w:eastAsia="Times New Roman" w:hAnsi="Times New Roman"/>
          <w:sz w:val="18"/>
          <w:szCs w:val="18"/>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3" w:right="319" w:bottom="1440" w:gutter="0" w:footer="0" w:header="0"/>
        </w:sectPr>
      </w:pPr>
    </w:p>
    <w:bookmarkStart w:id="30" w:name="page31"/>
    <w:bookmarkEnd w:id="30"/>
    <w:p>
      <w:pPr>
        <w:ind w:right="80" w:firstLine="881"/>
        <w:spacing w:after="0" w:line="254"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189" w:lineRule="exact"/>
        <w:rPr>
          <w:sz w:val="20"/>
          <w:szCs w:val="20"/>
          <w:color w:val="auto"/>
        </w:rPr>
      </w:pPr>
    </w:p>
    <w:p>
      <w:pPr>
        <w:ind w:right="60" w:firstLine="881"/>
        <w:spacing w:after="0" w:line="258" w:lineRule="auto"/>
        <w:rPr>
          <w:sz w:val="20"/>
          <w:szCs w:val="20"/>
          <w:color w:val="auto"/>
        </w:rPr>
      </w:pPr>
      <w:r>
        <w:rPr>
          <w:rFonts w:ascii="Times New Roman" w:cs="Times New Roman" w:eastAsia="Times New Roman" w:hAnsi="Times New Roman"/>
          <w:sz w:val="18"/>
          <w:szCs w:val="18"/>
          <w:color w:val="auto"/>
        </w:rPr>
        <w:t>Prior to the Formation Transactions, the management fee charged by each Legacy Fund for each fiscal quarter was the lesser of (a) an amount equal to an annual rate of .625% of the sum of (i) the Legacy Funds’ regulatory capital and (ii) the amount of an assumed two tiers of outstanding leverage based on such regulatory capital, or (b) an amount negotiated between the general partner and the management company. The management fee was reduced by certain fees ultimately received by the investment adviser to the Legacy Funds from the portfolio companies. Payments of the management fee were made quarterly in advance. Certain direct expenses such as legal, audit, tax, and limited partner expense were the responsibility of the Legacy Funds.</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incentive fee consists of the following two parts:</w:t>
      </w:r>
    </w:p>
    <w:p>
      <w:pPr>
        <w:spacing w:after="0" w:line="225"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191" w:lineRule="exact"/>
        <w:rPr>
          <w:sz w:val="20"/>
          <w:szCs w:val="20"/>
          <w:color w:val="auto"/>
        </w:rPr>
      </w:pPr>
    </w:p>
    <w:p>
      <w:pPr>
        <w:ind w:left="1720" w:hanging="564"/>
        <w:spacing w:after="0"/>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our pre-incentive fee net investment income does not exceed the hurdle of 2.0%;</w:t>
      </w:r>
    </w:p>
    <w:p>
      <w:pPr>
        <w:spacing w:after="0" w:line="225" w:lineRule="exact"/>
        <w:rPr>
          <w:rFonts w:ascii="Times New Roman" w:cs="Times New Roman" w:eastAsia="Times New Roman" w:hAnsi="Times New Roman"/>
          <w:sz w:val="18"/>
          <w:szCs w:val="18"/>
          <w:color w:val="auto"/>
        </w:rPr>
      </w:pPr>
    </w:p>
    <w:p>
      <w:pPr>
        <w:ind w:left="1720" w:right="160" w:hanging="564"/>
        <w:spacing w:after="0" w:line="258" w:lineRule="auto"/>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183" w:lineRule="exact"/>
        <w:rPr>
          <w:rFonts w:ascii="Times New Roman" w:cs="Times New Roman" w:eastAsia="Times New Roman" w:hAnsi="Times New Roman"/>
          <w:sz w:val="18"/>
          <w:szCs w:val="18"/>
          <w:color w:val="auto"/>
        </w:rPr>
      </w:pPr>
    </w:p>
    <w:p>
      <w:pPr>
        <w:ind w:left="1720" w:right="220" w:hanging="564"/>
        <w:spacing w:after="0" w:line="266" w:lineRule="auto"/>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amount of our pre-incentive fee net investment income, if any, that exceeds 2.5% in any calendar quarter (10.0% annualized) is payable to our Investment Advisor (once the hurdle is reached and the catch-up is achieved, 20% of all pre-incentive fee investment income thereafter is allocated to the Investment Advisor).</w:t>
      </w:r>
    </w:p>
    <w:p>
      <w:pPr>
        <w:spacing w:after="0" w:line="176"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1" w:name="page32"/>
    <w:bookmarkEnd w:id="31"/>
    <w:p>
      <w:pPr>
        <w:ind w:right="40" w:firstLine="881"/>
        <w:spacing w:after="0" w:line="256" w:lineRule="auto"/>
        <w:rPr>
          <w:sz w:val="20"/>
          <w:szCs w:val="20"/>
          <w:color w:val="auto"/>
        </w:rPr>
      </w:pPr>
      <w:r>
        <w:rPr>
          <w:rFonts w:ascii="Times New Roman" w:cs="Times New Roman" w:eastAsia="Times New Roman" w:hAnsi="Times New Roman"/>
          <w:sz w:val="18"/>
          <w:szCs w:val="18"/>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188"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2014 and 2013, we incurred $2.5 million and $1.0 million in base management fees, respectively. For the three months ended September 30, 2014 and 2013, our Investment Advisor waived $38 thousand and $0, respectively. For the three months ended September 30, 2014 and 2013, we incurred $0 million and $0, respectively, in incentive fees related to pre-incentive fee net investment income.</w:t>
      </w:r>
    </w:p>
    <w:p>
      <w:pPr>
        <w:spacing w:after="0" w:line="176" w:lineRule="exact"/>
        <w:rPr>
          <w:sz w:val="20"/>
          <w:szCs w:val="20"/>
          <w:color w:val="auto"/>
        </w:rPr>
      </w:pPr>
    </w:p>
    <w:p>
      <w:pPr>
        <w:ind w:right="160" w:firstLine="881"/>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2014 and 2013, we incurred $6.8 million and $3.0 million in base management fees, respectively. For the nine months ended September 30, 2014 and 2013, our Investment Advisor waived $238 thousand and $0, respectively. For the nine months ended September 30, 2014 and 2013, we incurred $2.8 million and $0, respectively, in incentive fees related to pre-incentive fee net investment income.</w:t>
      </w:r>
    </w:p>
    <w:p>
      <w:pPr>
        <w:spacing w:after="0" w:line="176"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On September 24, 2013, the Company entered into a separate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189"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has an initial term of two years and may be renewed annually with the approval of our Board of Directors.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85" w:lineRule="exact"/>
        <w:rPr>
          <w:sz w:val="20"/>
          <w:szCs w:val="20"/>
          <w:color w:val="auto"/>
        </w:rPr>
      </w:pPr>
    </w:p>
    <w:p>
      <w:pPr>
        <w:ind w:right="100" w:firstLine="881"/>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229" w:lineRule="exact"/>
        <w:rPr>
          <w:sz w:val="20"/>
          <w:szCs w:val="20"/>
          <w:color w:val="auto"/>
        </w:rPr>
      </w:pPr>
    </w:p>
    <w:p>
      <w:pPr>
        <w:ind w:right="620" w:firstLine="881"/>
        <w:spacing w:after="0" w:line="282" w:lineRule="auto"/>
        <w:rPr>
          <w:sz w:val="20"/>
          <w:szCs w:val="20"/>
          <w:color w:val="auto"/>
        </w:rPr>
      </w:pPr>
      <w:r>
        <w:rPr>
          <w:rFonts w:ascii="Times New Roman" w:cs="Times New Roman" w:eastAsia="Times New Roman" w:hAnsi="Times New Roman"/>
          <w:sz w:val="18"/>
          <w:szCs w:val="18"/>
          <w:color w:val="auto"/>
        </w:rPr>
        <w:t>At September 30, 2014 and December 31, 2013, the Company had the following receivables from (payables to) related parties relating to management fees, incentive fees, and reimbursable expenses (dollars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6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CapitalSouth Corporation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Shareholders/Limited Partners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CapitalSouth Fund III, L.P.</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Capitala Investment Advisors, LLC</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23"/>
        </w:trPr>
        <w:tc>
          <w:tcPr>
            <w:tcW w:w="20" w:type="dxa"/>
            <w:vAlign w:val="bottom"/>
          </w:tcPr>
          <w:p>
            <w:pPr>
              <w:spacing w:after="0"/>
              <w:rPr>
                <w:sz w:val="19"/>
                <w:szCs w:val="19"/>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881"/>
        <w:spacing w:after="0" w:line="282" w:lineRule="auto"/>
        <w:rPr>
          <w:sz w:val="20"/>
          <w:szCs w:val="20"/>
          <w:color w:val="auto"/>
        </w:rPr>
      </w:pPr>
      <w:r>
        <w:rPr>
          <w:rFonts w:ascii="Times New Roman" w:cs="Times New Roman" w:eastAsia="Times New Roman" w:hAnsi="Times New Roman"/>
          <w:sz w:val="18"/>
          <w:szCs w:val="18"/>
          <w:color w:val="auto"/>
        </w:rPr>
        <w:t>These amounts are reflected in the accompanying statements of financial position under the captions, “Due from related parties”, “Incentive fee payable” and “Due to related parties.”</w:t>
      </w:r>
    </w:p>
    <w:p>
      <w:pPr>
        <w:spacing w:after="0" w:line="162" w:lineRule="exact"/>
        <w:rPr>
          <w:sz w:val="20"/>
          <w:szCs w:val="20"/>
          <w:color w:val="auto"/>
        </w:rPr>
      </w:pPr>
    </w:p>
    <w:p>
      <w:pPr>
        <w:ind w:right="280" w:firstLine="881"/>
        <w:spacing w:after="0" w:line="266" w:lineRule="auto"/>
        <w:rPr>
          <w:sz w:val="20"/>
          <w:szCs w:val="20"/>
          <w:color w:val="auto"/>
        </w:rPr>
      </w:pPr>
      <w:r>
        <w:rPr>
          <w:rFonts w:ascii="Times New Roman" w:cs="Times New Roman" w:eastAsia="Times New Roman" w:hAnsi="Times New Roman"/>
          <w:sz w:val="18"/>
          <w:szCs w:val="18"/>
          <w:color w:val="auto"/>
        </w:rPr>
        <w:t>At times, the Company maintains deposit accounts and certificates of deposit with financial institutions that are shareholders of the Company. Total deposits with these financial institutions were approximately $34 thousand and $2.8 million at September 30, 2014 and December 31, 2013,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SBA Debentures</w:t>
      </w:r>
    </w:p>
    <w:p>
      <w:pPr>
        <w:spacing w:after="0" w:line="229"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The Company, through its two wholly-owned subsidiaries, uses debenture leverage provided through the SBA to fund a portion of its investment portfolio. As of September 30, 2014, the Company has issued $192.2 million of SBA-guaranteed debentures.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September 30, 2014, Fund II and Fund</w:t>
      </w:r>
    </w:p>
    <w:p>
      <w:pPr>
        <w:spacing w:after="0" w:line="3" w:lineRule="exact"/>
        <w:rPr>
          <w:sz w:val="20"/>
          <w:szCs w:val="20"/>
          <w:color w:val="auto"/>
        </w:rPr>
      </w:pPr>
    </w:p>
    <w:p>
      <w:pPr>
        <w:ind w:right="180" w:firstLine="8"/>
        <w:spacing w:after="0" w:line="254" w:lineRule="auto"/>
        <w:tabs>
          <w:tab w:leader="none" w:pos="2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total assets of approximately $374.3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6"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2014 and September 30, 2013, we recorded $2.1 million and $2.2 million, respectively, of interest, annual charges, and financing expenses related to the SBA guaranteed debentures, of which $1.9 million and $2.0 million, respectively, was attributable to interest expense and annual charges, and $0.2 million and $0.2 million, respectively, was attributable to amortization of commitment and upfront fees. For the nine months ended September 30, 2014 and September 30, 2013, we recorded $6.4 million and $6.5 million, respectively, of interest, annual charges, and financing expenses related to the SBA guaranteed debentures, of which $5.9 million and $6.0 million, respectively, was attributable to interest expense and annual charges, and $0.5 million and $0.5 million, respectively, was attributable to amortization of commitment and upfront fees. The weighted average interest rate for all SBA-guaranteed debentures as of September 30, 2014 and December 31, 2013 was 3.51% and 3.57%, respectively. In addition to the stated interest rate, the SBA also charges an annual fee on all SBA-guaranteed debentures issued, which is included in the Company’s interest expense. The weighted average annual fee for all SBA-guaranteed debentures as of September 30, 2014 and December 31, 2013 was 0.48% and 0.50%, respectively.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sectPr>
      </w:pPr>
    </w:p>
    <w:bookmarkStart w:id="33" w:name="page34"/>
    <w:bookmarkEnd w:id="33"/>
    <w:p>
      <w:pPr>
        <w:ind w:right="40" w:firstLine="881"/>
        <w:spacing w:after="0" w:line="282" w:lineRule="auto"/>
        <w:rPr>
          <w:sz w:val="20"/>
          <w:szCs w:val="20"/>
          <w:color w:val="auto"/>
        </w:rPr>
      </w:pPr>
      <w:r>
        <w:rPr>
          <w:rFonts w:ascii="Times New Roman" w:cs="Times New Roman" w:eastAsia="Times New Roman" w:hAnsi="Times New Roman"/>
          <w:sz w:val="18"/>
          <w:szCs w:val="18"/>
          <w:color w:val="auto"/>
        </w:rPr>
        <w:t>As of September 30, 2014 and December 31, 2013, the Company’s issued and outstanding SBA-guaranteed debentures mature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Pooling</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Fixed Maturity Date</w:t>
            </w:r>
          </w:p>
        </w:tc>
        <w:tc>
          <w:tcPr>
            <w:tcW w:w="1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SBA Annual Charge</w:t>
            </w:r>
          </w:p>
        </w:tc>
        <w:tc>
          <w:tcPr>
            <w:tcW w:w="18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2004</w:t>
            </w:r>
          </w:p>
        </w:tc>
        <w:tc>
          <w:tcPr>
            <w:tcW w:w="100" w:type="dxa"/>
            <w:vAlign w:val="bottom"/>
            <w:vMerge w:val="continue"/>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2014</w:t>
            </w:r>
          </w:p>
        </w:tc>
        <w:tc>
          <w:tcPr>
            <w:tcW w:w="120" w:type="dxa"/>
            <w:vAlign w:val="bottom"/>
            <w:vMerge w:val="continue"/>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4.120%</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0.855%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September 1, 2004</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1, 2014</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4.684%</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0.855%</w:t>
            </w:r>
          </w:p>
        </w:tc>
        <w:tc>
          <w:tcPr>
            <w:tcW w:w="18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2005</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1, 2015</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4.941%</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0.871%</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March 1, 2006</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1, 2016</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5.524%</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0.871%</w:t>
            </w:r>
          </w:p>
        </w:tc>
        <w:tc>
          <w:tcPr>
            <w:tcW w:w="18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2006</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1, 2016</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5.535%</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0.941%</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March 1, 2009</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1, 2019</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4.620%</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0.941%</w:t>
            </w:r>
          </w:p>
        </w:tc>
        <w:tc>
          <w:tcPr>
            <w:tcW w:w="18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2010</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1, 2020</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3.215%</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March 1, 2011</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1, 2021</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4.084%</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0.515%</w:t>
            </w:r>
          </w:p>
        </w:tc>
        <w:tc>
          <w:tcPr>
            <w:tcW w:w="18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2011</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 2021</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4.084%</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March 1, 2012</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1, 2022</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2.766%</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18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2012</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 2022</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2.766%</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0.515%</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March 1, 2013</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1, 2023</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2.351%</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0.515%</w:t>
            </w:r>
          </w:p>
        </w:tc>
        <w:tc>
          <w:tcPr>
            <w:tcW w:w="18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ASC Topic 820 requires disclosure of the fair value of financial instruments for which it is practical to estimate such value. The Company estimates that the fair value of its SBA-guaranteed debentures is approximately $192.0 million and $200.7 million as of September 30, 2014 and December 31, 2013, respectively. The fair value estimate was based on future contractual cash payments discounted at market interest rates to borrow from the SBA as of the measurement date. Because the market interest rate is considered an unobservable input, SBA-guaranteed debentures are considered a level 3 financial instrument in the fair value hierarchy.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June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will be payable quarterly beginning September 16, 2014.</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2014, the carrying amount and fair value of the Notes was $113.4 million and $115.0 million, respectively. The fair value of the Notes, which are publicly traded, is based upon closing market quotes as of the measurement date. Because the fair value is determined by quoted prices for the Notes, the Notes are considered a level 1 financial instrument in the fair value hierarchy. As of September 30, 2014, $4.4 million of financing costs related to the Notes have been capitalized and are being amortized over the term of the Notes. For the three months ended September 30, 2014, the Company has recorded $2.0 million of interest expense and $0.1 million of amortization of deferred financing costs related to the Notes. For the nine months ended September 30, 2014, the Company has recorded $2.4 million of interest expense and $0.1 million of amortization of deferred financing costs related to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Directors Fees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nine months ended September 30, 2014, the Company recognized director fee expense of $90,000 and $278,250, respectively. For the three and nine months ended September 30, 2013, the Company recognized director fee expense of $0 and $0, respectively. No compensation is expected to be paid to directors who are “interested persons” of the Company, as such term is defined in Section 2(a)(19) of the 1940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9"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On September 24, 2013, we issued 8,974,420 shares of common stock to the limited partners of the Legacy Funds, in exchange for 100% of their membership interests or certain investment assets of such Legacy Fund, as the case may be. On September 30, 2013, we issued 4,000,000 shares of common stock in connection with the closing of our IPO. The shares issued in the IPO were priced at $20.00 per share. We received proceeds of $74.25 million in the IPO, net of underwriters’ discounts and commissions totaling $4.0 million and offering expenses totaling $1.75 million. The Legacy Funds bore the other expenses associated with the offering. As of September 30, 2014, the Company had 12,974,420 shares of common stock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Summarized Financial Information of Our Unconsolidated Subsidiaries</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holds a control interest, as defined by the 1940 Act, in four majority owned portfolio companies that are not consolidated in the Company’s consolidated financial statements. Below is a brief description of each portfolio company, along with summarized financial information as of September 30, 2014 and December 31, 2013, and for the nine month period ended September 30, 2014 and September 30,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 Direction, Inc.</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Print Direction, Inc., incorporated in Georgia on May 11, 2006, is a professional printing services firm serving customers, particular fast food, retail, and other similar chains, throughout the United States. Print Direction, Inc. also provides warehousing and distribution services for these customers. The income the Company generated from Print Direction, Inc., which includes all interest, dividends, PIK interest and dividends, fees, and unrealized appreciation/depreciation, was $3.9 million and $3.2 million for the nine months ended September 30, 2014 and September 30, 2013,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Navis Holdings, Inc.</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was $3.3 million and $1.6 million for the nine months ended September 30, 2014 and September 30, 2013,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On-Site Fuel Service, Inc.</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loss the Company generated from On-Site Fuel Service, Inc., which includes all interest, dividends, PIK interest and dividends, fees, and unrealized depreciation, was $2.5 million for the nine months ended September 30, 2014. The income the Company generated from On-Site Fuel Service, Inc. which includes all interest, dividends, PIK interest and dividends, fees, and unrealized appreciation was $1.8 million for the nine months ended September 30,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CableOrganizer Holdings, LLC</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CableOrganizer Holdings, LLC, a Delaware limited liability company that began operations on April 23, 2013, is a leading online provider of cable and wire management products. The income the Company generated from CableOrganizer Holdings, LLC, which includes all interest, dividends, PIK interest and dividends, fees, and unrealized appreciation, was $2.4 million and $0.3 million for the nine months ended September 30, 2014 and September 30, 2013, respectively.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sectPr>
      </w:pPr>
    </w:p>
    <w:bookmarkStart w:id="35" w:name="page36"/>
    <w:bookmarkEnd w:id="35"/>
    <w:p>
      <w:pPr>
        <w:ind w:left="880"/>
        <w:spacing w:after="0"/>
        <w:rPr>
          <w:sz w:val="20"/>
          <w:szCs w:val="20"/>
          <w:color w:val="auto"/>
        </w:rPr>
      </w:pPr>
      <w:r>
        <w:rPr>
          <w:rFonts w:ascii="Times New Roman" w:cs="Times New Roman" w:eastAsia="Times New Roman" w:hAnsi="Times New Roman"/>
          <w:sz w:val="18"/>
          <w:szCs w:val="18"/>
          <w:color w:val="auto"/>
        </w:rPr>
        <w:t>The summarized financial information of our unconsolidated subsidiaries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 Print Direction, Inc.</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Print Direction, Inc.</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Navis Holdings, Inc.</w:t>
            </w:r>
          </w:p>
        </w:tc>
        <w:tc>
          <w:tcPr>
            <w:tcW w:w="1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3,441</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Navis Holdings, Inc.</w:t>
            </w: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36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On-Site Fuel Service, Inc.</w:t>
            </w:r>
          </w:p>
        </w:tc>
        <w:tc>
          <w:tcPr>
            <w:tcW w:w="1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14,572</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8,214</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On-Site Fuel Service, Inc.</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179,465</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150,540</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170,904</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87"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 CableOrganizer Holdings,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9,548</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8,818</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gridSpan w:val="2"/>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88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Current assets</w:t>
            </w:r>
          </w:p>
        </w:tc>
        <w:tc>
          <w:tcPr>
            <w:tcW w:w="2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8"/>
                <w:szCs w:val="18"/>
                <w:color w:val="auto"/>
              </w:rPr>
              <w:t>3,641</w:t>
            </w:r>
          </w:p>
        </w:tc>
        <w:tc>
          <w:tcPr>
            <w:tcW w:w="2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040" w:type="dxa"/>
            <w:vAlign w:val="bottom"/>
            <w:gridSpan w:val="2"/>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CableOrganizer Holdings, LLC</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92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27" w:lineRule="exact"/>
        <w:rPr>
          <w:sz w:val="20"/>
          <w:szCs w:val="20"/>
          <w:color w:val="auto"/>
        </w:rPr>
      </w:pPr>
    </w:p>
    <w:p>
      <w:pPr>
        <w:ind w:right="340" w:firstLine="881"/>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provisions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September 30, 2014, there were no dilutive shares.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the weighted average basic and diluted net increase in net assets per share from operations for the three and nine months ended September 30, 2014 and September 30, 2013 (dollars in thousands except share and per share data):</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r>
      <w:tr>
        <w:trPr>
          <w:trHeight w:val="238"/>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bottom w:val="single" w:sz="8" w:color="CCEEFF"/>
            </w:tcBorders>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2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12,974,420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12,974,420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12,974,420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12,974,420</w:t>
            </w:r>
          </w:p>
        </w:tc>
        <w:tc>
          <w:tcPr>
            <w:tcW w:w="120" w:type="dxa"/>
            <w:vAlign w:val="bottom"/>
          </w:tcPr>
          <w:p>
            <w:pPr>
              <w:spacing w:after="0"/>
              <w:rPr>
                <w:sz w:val="18"/>
                <w:szCs w:val="18"/>
                <w:color w:val="auto"/>
              </w:rPr>
            </w:pPr>
          </w:p>
        </w:tc>
      </w:tr>
      <w:tr>
        <w:trPr>
          <w:trHeight w:val="198"/>
        </w:trPr>
        <w:tc>
          <w:tcPr>
            <w:tcW w:w="4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per share from operations-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Dividend</w:t>
      </w:r>
    </w:p>
    <w:p>
      <w:pPr>
        <w:spacing w:after="0" w:line="229" w:lineRule="exact"/>
        <w:rPr>
          <w:sz w:val="20"/>
          <w:szCs w:val="20"/>
          <w:color w:val="auto"/>
        </w:rPr>
      </w:pPr>
    </w:p>
    <w:p>
      <w:pPr>
        <w:ind w:right="200" w:firstLine="881"/>
        <w:spacing w:after="0" w:line="282" w:lineRule="auto"/>
        <w:rPr>
          <w:sz w:val="20"/>
          <w:szCs w:val="20"/>
          <w:color w:val="auto"/>
        </w:rPr>
      </w:pPr>
      <w:r>
        <w:rPr>
          <w:rFonts w:ascii="Times New Roman" w:cs="Times New Roman" w:eastAsia="Times New Roman" w:hAnsi="Times New Roman"/>
          <w:sz w:val="18"/>
          <w:szCs w:val="18"/>
          <w:color w:val="auto"/>
        </w:rPr>
        <w:t>The Company’s dividends and distributions are recorded on the record date. Shareholders have the option to receive payment of the dividend in cash, shares of common stock, or a combination of cash and common stock.</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Company’s dividend declarations and distributions for the nine months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8"/>
                <w:szCs w:val="18"/>
                <w:color w:val="auto"/>
              </w:rPr>
            </w:pPr>
          </w:p>
        </w:tc>
      </w:tr>
      <w:tr>
        <w:trPr>
          <w:trHeight w:val="238"/>
        </w:trPr>
        <w:tc>
          <w:tcPr>
            <w:tcW w:w="3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2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27, 2014</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March 14, 2014</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26, 2014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8, 2014</w:t>
            </w:r>
          </w:p>
        </w:tc>
        <w:tc>
          <w:tcPr>
            <w:tcW w:w="2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June 9, 2014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26, 2014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7, 2014</w:t>
            </w:r>
          </w:p>
        </w:tc>
        <w:tc>
          <w:tcPr>
            <w:tcW w:w="22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September 12, 2014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26, 2014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Dividends Declared</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648"/>
        </w:trPr>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Note 13. Financial Highlights</w:t>
      </w:r>
    </w:p>
    <w:p>
      <w:pPr>
        <w:spacing w:after="0" w:line="229" w:lineRule="exact"/>
        <w:rPr>
          <w:sz w:val="20"/>
          <w:szCs w:val="20"/>
          <w:color w:val="auto"/>
        </w:rPr>
      </w:pPr>
    </w:p>
    <w:p>
      <w:pPr>
        <w:ind w:right="240" w:firstLine="881"/>
        <w:spacing w:after="0" w:line="282" w:lineRule="auto"/>
        <w:rPr>
          <w:sz w:val="20"/>
          <w:szCs w:val="20"/>
          <w:color w:val="auto"/>
        </w:rPr>
      </w:pPr>
      <w:r>
        <w:rPr>
          <w:rFonts w:ascii="Times New Roman" w:cs="Times New Roman" w:eastAsia="Times New Roman" w:hAnsi="Times New Roman"/>
          <w:sz w:val="18"/>
          <w:szCs w:val="18"/>
          <w:color w:val="auto"/>
        </w:rPr>
        <w:t>The following is a schedule of financial highlights for the nine months ended September 30, 2014 and 2013 (dollars in thousands, except share and per share data):</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30, 2014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unrealized appreciation on investments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 in stockholders’ equity</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from partners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and paid from accumulated net investment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Capital distributions to partners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258,116</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12,974,420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12,974,420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based on market value(3)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incentive fee to average net assets(1)(5)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Ratio of debt related expenses to average net assets(1)(5)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other operating expenses, net of management fee waiver to average net assets(1)(5)(8)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Ratio of total expenses to average net assets(1)(5)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rate(4)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Average Debt Outstanding(6)</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238,293</w:t>
            </w:r>
          </w:p>
        </w:tc>
        <w:tc>
          <w:tcPr>
            <w:tcW w:w="2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Outstanding per common share</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Asset Coverage ratio per unit(7)</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80" w:right="760" w:hanging="572"/>
        <w:spacing w:after="0" w:line="257"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as of January 1, 2013 and average net assets for the nine months ended September 30, 2013 are presented as if the IPO and Formation Transactions had occurred on January 1, 2013. See Note 2 for a further description of the basis of presentation of the Company’s financial statements.</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per share is calculated using the weighted average shares outstanding during the period.</w:t>
      </w:r>
    </w:p>
    <w:p>
      <w:pPr>
        <w:spacing w:after="0" w:line="9" w:lineRule="exact"/>
        <w:rPr>
          <w:rFonts w:ascii="Times New Roman" w:cs="Times New Roman" w:eastAsia="Times New Roman" w:hAnsi="Times New Roman"/>
          <w:sz w:val="18"/>
          <w:szCs w:val="18"/>
          <w:color w:val="auto"/>
        </w:rPr>
      </w:pPr>
    </w:p>
    <w:p>
      <w:pPr>
        <w:ind w:left="580" w:right="180" w:hanging="572"/>
        <w:spacing w:after="0" w:line="265" w:lineRule="auto"/>
        <w:tabs>
          <w:tab w:leader="none" w:pos="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 Portfolio turnover rates that cover less than a full period are not annualized.</w:t>
      </w:r>
    </w:p>
    <w:p>
      <w:pPr>
        <w:ind w:left="580" w:right="480" w:hanging="572"/>
        <w:spacing w:after="0" w:line="250"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year-to-date sales or year-to-date purchases over the average of the invested assets at fair value.</w:t>
      </w: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are annualized.</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daily weighted average balance of debt outstanding during the period.</w:t>
      </w:r>
    </w:p>
    <w:p>
      <w:pPr>
        <w:spacing w:after="0" w:line="9" w:lineRule="exact"/>
        <w:rPr>
          <w:rFonts w:ascii="Times New Roman" w:cs="Times New Roman" w:eastAsia="Times New Roman" w:hAnsi="Times New Roman"/>
          <w:sz w:val="18"/>
          <w:szCs w:val="18"/>
          <w:color w:val="auto"/>
        </w:rPr>
      </w:pPr>
    </w:p>
    <w:p>
      <w:pPr>
        <w:jc w:val="both"/>
        <w:ind w:left="580" w:right="240" w:hanging="572"/>
        <w:spacing w:after="0" w:line="250"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consolidated assets, less all liabilities and indebtness not represented by senior securities, to the aggregate amount of senior securities representing indebtness. Asset coverage per unit is expressed in terms of dollar amounts per $1,000 of indebtness.</w:t>
      </w:r>
    </w:p>
    <w:p>
      <w:pPr>
        <w:spacing w:after="0" w:line="1" w:lineRule="exact"/>
        <w:rPr>
          <w:rFonts w:ascii="Times New Roman" w:cs="Times New Roman" w:eastAsia="Times New Roman" w:hAnsi="Times New Roman"/>
          <w:sz w:val="18"/>
          <w:szCs w:val="18"/>
          <w:color w:val="auto"/>
        </w:rPr>
      </w:pPr>
    </w:p>
    <w:p>
      <w:pPr>
        <w:ind w:left="580" w:right="20" w:hanging="572"/>
        <w:spacing w:after="0" w:line="261"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waived management fees to average net assets was .09% for the nine months ended September 30, 2014. For the period ended September 30, 2013, there was no management fee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nine month period ended September 30, 2014.</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firstLine="881"/>
        <w:spacing w:after="0" w:line="266" w:lineRule="auto"/>
        <w:rPr>
          <w:sz w:val="20"/>
          <w:szCs w:val="20"/>
          <w:color w:val="auto"/>
        </w:rPr>
      </w:pPr>
      <w:r>
        <w:rPr>
          <w:rFonts w:ascii="Times New Roman" w:cs="Times New Roman" w:eastAsia="Times New Roman" w:hAnsi="Times New Roman"/>
          <w:sz w:val="18"/>
          <w:szCs w:val="18"/>
          <w:color w:val="auto"/>
        </w:rPr>
        <w:t>On October 3, 2014, the Company announced that it has declared distributions for the months of October, November, and December of 2014. The Company converted to monthly distributions, effective October 2014. Accordingly, on October 2, 2014, the Company’s Board of Directors declared the following distributions: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657" w:gutter="0" w:footer="0" w:header="0"/>
        </w:sectPr>
      </w:pPr>
    </w:p>
    <w:bookmarkStart w:id="39" w:name="page40"/>
    <w:bookmarkEnd w:id="39"/>
    <w:tbl>
      <w:tblPr>
        <w:tblLayout w:type="fixed"/>
        <w:tblInd w:w="1140" w:type="dxa"/>
        <w:tblCellMar>
          <w:top w:w="0" w:type="dxa"/>
          <w:left w:w="0" w:type="dxa"/>
          <w:bottom w:w="0" w:type="dxa"/>
          <w:right w:w="0" w:type="dxa"/>
        </w:tblCellMar>
      </w:tblP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 Date</w:t>
            </w:r>
          </w:p>
        </w:tc>
        <w:tc>
          <w:tcPr>
            <w:tcW w:w="31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Payment Date</w:t>
            </w:r>
          </w:p>
        </w:tc>
        <w:tc>
          <w:tcPr>
            <w:tcW w:w="28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Amount Per Share</w:t>
            </w:r>
          </w:p>
        </w:tc>
        <w:tc>
          <w:tcPr>
            <w:tcW w:w="10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10/22/14</w:t>
            </w:r>
          </w:p>
        </w:tc>
        <w:tc>
          <w:tcPr>
            <w:tcW w:w="31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10/30/14</w:t>
            </w:r>
          </w:p>
        </w:tc>
        <w:tc>
          <w:tcPr>
            <w:tcW w:w="28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11/21/14</w:t>
            </w:r>
          </w:p>
        </w:tc>
        <w:tc>
          <w:tcPr>
            <w:tcW w:w="31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11/28/14</w:t>
            </w:r>
          </w:p>
        </w:tc>
        <w:tc>
          <w:tcPr>
            <w:tcW w:w="28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12/19/14</w:t>
            </w:r>
          </w:p>
        </w:tc>
        <w:tc>
          <w:tcPr>
            <w:tcW w:w="31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12/30/14</w:t>
            </w:r>
          </w:p>
        </w:tc>
        <w:tc>
          <w:tcPr>
            <w:tcW w:w="28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0.1567</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right="20" w:firstLine="881"/>
        <w:spacing w:after="0" w:line="266" w:lineRule="auto"/>
        <w:rPr>
          <w:sz w:val="20"/>
          <w:szCs w:val="20"/>
          <w:color w:val="auto"/>
        </w:rPr>
      </w:pPr>
      <w:r>
        <w:rPr>
          <w:rFonts w:ascii="Times New Roman" w:cs="Times New Roman" w:eastAsia="Times New Roman" w:hAnsi="Times New Roman"/>
          <w:sz w:val="18"/>
          <w:szCs w:val="18"/>
          <w:color w:val="auto"/>
        </w:rPr>
        <w:t>On October 17, 2014, the Company entered into a senior secured revolving credit agreement (the “Credit Facility”) with ING Capital, LLC, as administrative agent, arranger, and bookrunner, and the lenders party thereto. The Credit Facility initially provides for borrowings up to $50,000,000 and may be increased up to $150,000,000 pursuant to its “accordion” feature. The Credit Facility matures on October 17, 2018.</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ind w:right="60" w:firstLine="881"/>
        <w:spacing w:after="0" w:line="266" w:lineRule="auto"/>
        <w:rPr>
          <w:sz w:val="20"/>
          <w:szCs w:val="20"/>
          <w:color w:val="auto"/>
        </w:rPr>
      </w:pPr>
      <w:r>
        <w:rPr>
          <w:rFonts w:ascii="Times New Roman" w:cs="Times New Roman" w:eastAsia="Times New Roman" w:hAnsi="Times New Roman"/>
          <w:sz w:val="18"/>
          <w:szCs w:val="18"/>
          <w:color w:val="auto"/>
        </w:rPr>
        <w:t>On October 23, 2014, the Company invested $5.0 million in the first lien senior debt (LIBOR plus 5.75%, 1.00% floor) of Flavors Holdings, Inc. On November 4, 2014, the Company invested an additional $3.0 million in the first lien senior debt (LIBOR plus 5.75%, 1.00% floor) of Flavors Holdings, Inc. On October 27, 2014, the Company invested $12.0 million in the subordinated debt (LIBOR plus 10.00%/1.00% floor) of Flavors Holdings, Inc.</w:t>
      </w:r>
    </w:p>
    <w:p>
      <w:pPr>
        <w:spacing w:after="0" w:line="176" w:lineRule="exact"/>
        <w:rPr>
          <w:sz w:val="20"/>
          <w:szCs w:val="20"/>
          <w:color w:val="auto"/>
        </w:rPr>
      </w:pPr>
    </w:p>
    <w:p>
      <w:pPr>
        <w:ind w:right="60" w:firstLine="881"/>
        <w:spacing w:after="0" w:line="266" w:lineRule="auto"/>
        <w:rPr>
          <w:sz w:val="20"/>
          <w:szCs w:val="20"/>
          <w:color w:val="auto"/>
        </w:rPr>
      </w:pPr>
      <w:r>
        <w:rPr>
          <w:rFonts w:ascii="Times New Roman" w:cs="Times New Roman" w:eastAsia="Times New Roman" w:hAnsi="Times New Roman"/>
          <w:sz w:val="18"/>
          <w:szCs w:val="18"/>
          <w:color w:val="auto"/>
        </w:rPr>
        <w:t>On October 30, 2014, Boot Barn Inc. completed an initial public offering (“IPO”) and began trading on the NYSE under the ticker symbol BOOT. Based on a 25:1 stock conversion at IPO, the Company now owns 600,000 shares of common stock in Boot Barn, which priced at $16 per share in an all primary offering.</w:t>
      </w:r>
    </w:p>
    <w:p>
      <w:pPr>
        <w:spacing w:after="0" w:line="176" w:lineRule="exact"/>
        <w:rPr>
          <w:sz w:val="20"/>
          <w:szCs w:val="20"/>
          <w:color w:val="auto"/>
        </w:rPr>
      </w:pPr>
    </w:p>
    <w:p>
      <w:pPr>
        <w:ind w:right="340" w:firstLine="881"/>
        <w:spacing w:after="0" w:line="282" w:lineRule="auto"/>
        <w:rPr>
          <w:sz w:val="20"/>
          <w:szCs w:val="20"/>
          <w:color w:val="auto"/>
        </w:rPr>
      </w:pPr>
      <w:r>
        <w:rPr>
          <w:rFonts w:ascii="Times New Roman" w:cs="Times New Roman" w:eastAsia="Times New Roman" w:hAnsi="Times New Roman"/>
          <w:sz w:val="18"/>
          <w:szCs w:val="18"/>
          <w:color w:val="auto"/>
        </w:rPr>
        <w:t>On October 31, 2014, the Company received $2.8 million from Naples Lumber &amp; Supply Co., representing full repayment of the investment, generating a gain of $1.4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881"/>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involve risks and uncertainties, including statements as to:</w:t>
      </w:r>
    </w:p>
    <w:p>
      <w:pPr>
        <w:spacing w:after="0" w:line="225" w:lineRule="exact"/>
        <w:rPr>
          <w:sz w:val="20"/>
          <w:szCs w:val="20"/>
          <w:color w:val="auto"/>
        </w:rPr>
      </w:pPr>
    </w:p>
    <w:p>
      <w:pPr>
        <w:ind w:left="1440" w:hanging="446"/>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0" w:name="page41"/>
    <w:bookmarkEnd w:id="40"/>
    <w:p>
      <w:pPr>
        <w:ind w:left="1440" w:hanging="446"/>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25" w:lineRule="exact"/>
        <w:rPr>
          <w:sz w:val="20"/>
          <w:szCs w:val="20"/>
          <w:color w:val="auto"/>
        </w:rPr>
      </w:pPr>
    </w:p>
    <w:p>
      <w:pPr>
        <w:ind w:right="20" w:firstLine="881"/>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1440" w:right="20" w:hanging="446"/>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61"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if we use leverage as part of our investment strategy; and</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“Risk Factors” and elsewhere in this Quarterly Report on Form 10-Q.</w:t>
      </w:r>
    </w:p>
    <w:p>
      <w:pPr>
        <w:spacing w:after="0" w:line="225"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our Annual Report on Form 10-K.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We are a Maryland corporation that has elected to be regulated as a business development company (“BDC”) under the Investment Company Act of 1940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4"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We provide capital to smaller and lower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41" w:name="page42"/>
    <w:bookmarkEnd w:id="41"/>
    <w:p>
      <w:pPr>
        <w:ind w:right="140" w:firstLine="881"/>
        <w:spacing w:after="0" w:line="266" w:lineRule="auto"/>
        <w:rPr>
          <w:sz w:val="20"/>
          <w:szCs w:val="20"/>
          <w:color w:val="auto"/>
        </w:rPr>
      </w:pPr>
      <w:r>
        <w:rPr>
          <w:rFonts w:ascii="Times New Roman" w:cs="Times New Roman" w:eastAsia="Times New Roman" w:hAnsi="Times New Roman"/>
          <w:sz w:val="18"/>
          <w:szCs w:val="18"/>
          <w:color w:val="auto"/>
        </w:rPr>
        <w:t xml:space="preserve">We invest in mezzanine and senior subordinated debt investments that are secured by subordinated liens on all of our borrowers’ assets and, to a lesser extent, in senior, cash flow-based “unitranche” securities. Most of our debt investments are coupled with equity interests, whether in the form of detachable “penny” warrants or equity co-investments made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our borrowers’ financial sponsors.</w:t>
      </w:r>
    </w:p>
    <w:p>
      <w:pPr>
        <w:spacing w:after="0" w:line="176"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for U.S. federal income tax purposes, we must distribute at least 90% of our net ordinary income and realized net short-term capital gains in excess of realized net long-term capital losses, if any, for the taxable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ind w:right="20" w:firstLine="881"/>
        <w:spacing w:after="0" w:line="256" w:lineRule="auto"/>
        <w:rPr>
          <w:sz w:val="20"/>
          <w:szCs w:val="20"/>
          <w:color w:val="auto"/>
        </w:rPr>
      </w:pPr>
      <w:r>
        <w:rPr>
          <w:rFonts w:ascii="Times New Roman" w:cs="Times New Roman" w:eastAsia="Times New Roman" w:hAnsi="Times New Roman"/>
          <w:sz w:val="18"/>
          <w:szCs w:val="18"/>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8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and continue to hold their existing investments and continue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September 30, 2014, the Company had 12,974,420 shares of common stock outstanding.</w:t>
      </w:r>
    </w:p>
    <w:p>
      <w:pPr>
        <w:spacing w:after="0" w:line="189"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At the time of the Formation Transactions, our portfolio consisted of: (i) approximately $326.3 million in investments; (ii) an aggregate of approximately $67.1 million in cash, interest receivable and other assets; and (iii) liabilities of approximately $202.2 million of SBA-guaranteed debt payable. We have two SBIC-licensed subsidiaries that have elected to be regulated as BDCs under the 1940 Act. We may also seek other forms of leverage and borrow funds to make investments, including before we have fully invested the proceeds of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40" w:firstLine="881"/>
        <w:spacing w:after="0" w:line="255"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on the accrual basis of accounting in conformity with U.S. generally accepted accounting principles (“U.S. GAAP”). The consolidated financial statements of the Company include the accounts of the Company and its wholly-owned subsidiaries as described in the Formation Transactions presented in Note 1 to our Consolidated Financial Statements. The transactions related to Fund II, Fund III, and the Florida Sidecar constitute an exchange of shares between entities under common control and will be accounted for in accordance with the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As such, the results of the Company’s operations and cash flows for the three and nine months ended September 30, 2013 have been presented on a combined basis in order to provide comparative information with respect to prior periods. The Formation Transactions also included an asset acquisition of certain assets in Fund I and Fund III Parent. In accordance with ASC 805, the assets acquired were recorded at fair value at the date of acquisition, September 24, 2013.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The Company’s financial position as of September 30, 2014 is presented on a consolidated basis. The effects of all intercompany transactions between the Company and its subsidiaries (Fund II, Fund III, and the Florida Sidecar) have been eliminated in consolidation. All financial data and information included in these financial statements have been presented on the basis described above. In the opinion of management, the financial statements reflect all adjustments that are necessary for the fair presentation of financial results as of and for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right="60" w:firstLine="881"/>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the periodic cash interest we will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Our primary operating expenses include the payment of investment advisory fees to our Investment Advisor, our allocable portion of overhead and other expenses incurred by our Administrator in performing its obligations under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0" w:lineRule="exact"/>
        <w:rPr>
          <w:sz w:val="20"/>
          <w:szCs w:val="20"/>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organization;</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including the cost of any third-party valuation services;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our shares and other securities;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to finance our investments;</w:t>
      </w:r>
    </w:p>
    <w:p>
      <w:pPr>
        <w:spacing w:after="0" w:line="225" w:lineRule="exact"/>
        <w:rPr>
          <w:rFonts w:ascii="Times New Roman" w:cs="Times New Roman" w:eastAsia="Times New Roman" w:hAnsi="Times New Roman"/>
          <w:sz w:val="18"/>
          <w:szCs w:val="18"/>
          <w:color w:val="auto"/>
        </w:rPr>
      </w:pPr>
    </w:p>
    <w:p>
      <w:pPr>
        <w:ind w:left="1440" w:right="100" w:hanging="446"/>
        <w:spacing w:after="0" w:line="282"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161"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w:t>
      </w:r>
    </w:p>
    <w:p>
      <w:pPr>
        <w:spacing w:after="0" w:line="225" w:lineRule="exact"/>
        <w:rPr>
          <w:rFonts w:ascii="Times New Roman" w:cs="Times New Roman" w:eastAsia="Times New Roman" w:hAnsi="Times New Roman"/>
          <w:sz w:val="18"/>
          <w:szCs w:val="18"/>
          <w:color w:val="auto"/>
        </w:rPr>
      </w:pPr>
    </w:p>
    <w:p>
      <w:pPr>
        <w:ind w:left="1440" w:right="60" w:hanging="446"/>
        <w:spacing w:after="0" w:line="282"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reporting and compliance obligations under the 1940 Act, the Securities Exchange Act of 1934 (the “Exchange Act”), other applicable federal and state securities laws and ongoing stock exchange listing fees;</w:t>
      </w:r>
    </w:p>
    <w:p>
      <w:pPr>
        <w:spacing w:after="0" w:line="161"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8" w:right="319" w:bottom="1440" w:gutter="0" w:footer="0" w:header="0"/>
        </w:sectPr>
      </w:pPr>
    </w:p>
    <w:bookmarkStart w:id="43" w:name="page44"/>
    <w:bookmarkEnd w:id="43"/>
    <w:p>
      <w:pPr>
        <w:ind w:left="1440" w:hanging="446"/>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other communications with stockholders;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liability insurance, errors and omissions liability insurance and other insurance premiums;</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telephone and staff;</w:t>
      </w:r>
    </w:p>
    <w:p>
      <w:pPr>
        <w:spacing w:after="0" w:line="225"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and outside legal costs; and</w:t>
      </w:r>
    </w:p>
    <w:p>
      <w:pPr>
        <w:spacing w:after="0" w:line="225" w:lineRule="exact"/>
        <w:rPr>
          <w:rFonts w:ascii="Times New Roman" w:cs="Times New Roman" w:eastAsia="Times New Roman" w:hAnsi="Times New Roman"/>
          <w:sz w:val="18"/>
          <w:szCs w:val="18"/>
          <w:color w:val="auto"/>
        </w:rPr>
      </w:pPr>
    </w:p>
    <w:p>
      <w:pPr>
        <w:ind w:left="1440" w:hanging="446"/>
        <w:spacing w:after="0" w:line="258" w:lineRule="auto"/>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40" w:firstLine="881"/>
        <w:spacing w:after="0" w:line="255" w:lineRule="auto"/>
        <w:rPr>
          <w:sz w:val="20"/>
          <w:szCs w:val="20"/>
          <w:color w:val="auto"/>
        </w:rPr>
      </w:pPr>
      <w:r>
        <w:rPr>
          <w:rFonts w:ascii="Times New Roman" w:cs="Times New Roman" w:eastAsia="Times New Roman" w:hAnsi="Times New Roman"/>
          <w:sz w:val="18"/>
          <w:szCs w:val="18"/>
          <w:color w:val="auto"/>
        </w:rPr>
        <w:t>In the preparation of our consolidated financial statements and related disclosures, we have adopted various accounting policies that govern the application of U.S. GAAP. Our significant accounting policies are described in Note 2 to our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7"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(“ASC 820”). ASC 820 defines fair value, establishes a framework used to measure fair value and requires disclosures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82" w:lineRule="exact"/>
        <w:rPr>
          <w:sz w:val="20"/>
          <w:szCs w:val="20"/>
          <w:color w:val="auto"/>
        </w:rPr>
      </w:pPr>
    </w:p>
    <w:p>
      <w:pPr>
        <w:ind w:right="100" w:firstLine="881"/>
        <w:spacing w:after="0" w:line="261" w:lineRule="auto"/>
        <w:rPr>
          <w:sz w:val="20"/>
          <w:szCs w:val="20"/>
          <w:color w:val="auto"/>
        </w:rPr>
      </w:pPr>
      <w:r>
        <w:rPr>
          <w:rFonts w:ascii="Times New Roman" w:cs="Times New Roman" w:eastAsia="Times New Roman" w:hAnsi="Times New Roman"/>
          <w:sz w:val="18"/>
          <w:szCs w:val="18"/>
          <w:color w:val="auto"/>
        </w:rPr>
        <w:t>In determining fair value, our board of directors (the “Board”) uses various valuation approaches, and engages a third-party independent valuation firm, which provides positive assurance on the investments they review.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0"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76" w:lineRule="exact"/>
        <w:rPr>
          <w:sz w:val="20"/>
          <w:szCs w:val="20"/>
          <w:color w:val="auto"/>
        </w:rPr>
      </w:pPr>
    </w:p>
    <w:p>
      <w:pPr>
        <w:ind w:left="880"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based on unadjusted quoted prices in active markets for identical assets or liabilities that the Company has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44" w:name="page45"/>
    <w:bookmarkEnd w:id="44"/>
    <w:p>
      <w:pPr>
        <w:ind w:left="880"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based on quoted prices in markets that are not active or for which all significant inputs are observable,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Senior and Subordinated Secured Loans</w:t>
      </w:r>
    </w:p>
    <w:p>
      <w:pPr>
        <w:spacing w:after="0" w:line="227" w:lineRule="exact"/>
        <w:rPr>
          <w:sz w:val="20"/>
          <w:szCs w:val="20"/>
          <w:color w:val="auto"/>
        </w:rPr>
      </w:pPr>
    </w:p>
    <w:p>
      <w:pPr>
        <w:ind w:right="120" w:firstLine="881"/>
        <w:spacing w:after="0" w:line="256" w:lineRule="auto"/>
        <w:rPr>
          <w:sz w:val="20"/>
          <w:szCs w:val="20"/>
          <w:color w:val="auto"/>
        </w:rPr>
      </w:pPr>
      <w:r>
        <w:rPr>
          <w:rFonts w:ascii="Times New Roman" w:cs="Times New Roman" w:eastAsia="Times New Roman" w:hAnsi="Times New Roman"/>
          <w:sz w:val="18"/>
          <w:szCs w:val="18"/>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will evaluate the value of the collateral utilizing the same framework described above for a performing loan to determine the value of the Level 3 debt instrument.</w:t>
      </w:r>
    </w:p>
    <w:p>
      <w:pPr>
        <w:spacing w:after="0" w:line="188" w:lineRule="exact"/>
        <w:rPr>
          <w:sz w:val="20"/>
          <w:szCs w:val="20"/>
          <w:color w:val="auto"/>
        </w:rPr>
      </w:pPr>
    </w:p>
    <w:p>
      <w:pPr>
        <w:jc w:val="both"/>
        <w:ind w:right="100" w:firstLine="881"/>
        <w:spacing w:after="0" w:line="261" w:lineRule="auto"/>
        <w:rPr>
          <w:sz w:val="20"/>
          <w:szCs w:val="20"/>
          <w:color w:val="auto"/>
        </w:rPr>
      </w:pPr>
      <w:r>
        <w:rPr>
          <w:rFonts w:ascii="Times New Roman" w:cs="Times New Roman" w:eastAsia="Times New Roman" w:hAnsi="Times New Roman"/>
          <w:sz w:val="18"/>
          <w:szCs w:val="18"/>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Equity Investments in Private Companies</w:t>
      </w:r>
    </w:p>
    <w:p>
      <w:pPr>
        <w:spacing w:after="0" w:line="227"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Our Board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45" w:name="page46"/>
    <w:bookmarkEnd w:id="45"/>
    <w:p>
      <w:pPr>
        <w:ind w:left="88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right="260" w:firstLine="881"/>
        <w:spacing w:after="0" w:line="266" w:lineRule="auto"/>
        <w:rPr>
          <w:sz w:val="20"/>
          <w:szCs w:val="20"/>
          <w:color w:val="auto"/>
        </w:rPr>
      </w:pPr>
      <w:r>
        <w:rPr>
          <w:rFonts w:ascii="Times New Roman" w:cs="Times New Roman" w:eastAsia="Times New Roman" w:hAnsi="Times New Roman"/>
          <w:sz w:val="18"/>
          <w:szCs w:val="18"/>
          <w:color w:val="auto"/>
        </w:rPr>
        <w:t>Our Board will ascribe value to warrants based on valuation techniques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recognition policies are as follows:</w:t>
      </w:r>
    </w:p>
    <w:p>
      <w:pPr>
        <w:spacing w:after="0" w:line="223"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and Paid-in Kind Interest Income: </w:t>
      </w:r>
      <w:r>
        <w:rPr>
          <w:rFonts w:ascii="Times New Roman" w:cs="Times New Roman" w:eastAsia="Times New Roman" w:hAnsi="Times New Roman"/>
          <w:sz w:val="18"/>
          <w:szCs w:val="18"/>
          <w:color w:val="auto"/>
        </w:rPr>
        <w:t>Interest income is recorded on the accrual basis to the extent that such amounts are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collected. The company has loans in the portfolio that contain a payment-in-kind (“PIK”)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80"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Non-accrual income: </w:t>
      </w:r>
      <w:r>
        <w:rPr>
          <w:rFonts w:ascii="Times New Roman" w:cs="Times New Roman" w:eastAsia="Times New Roman" w:hAnsi="Times New Roman"/>
          <w:sz w:val="18"/>
          <w:szCs w:val="18"/>
          <w:color w:val="auto"/>
        </w:rPr>
        <w:t>Generally, when interest and/or principal payments on a loan become materially past due, or if the Company otherwise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expect the borrower to be 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Gains and Losses on investment sales and paydowns: </w:t>
      </w:r>
      <w:r>
        <w:rPr>
          <w:rFonts w:ascii="Times New Roman" w:cs="Times New Roman" w:eastAsia="Times New Roman" w:hAnsi="Times New Roman"/>
          <w:sz w:val="18"/>
          <w:szCs w:val="18"/>
          <w:color w:val="auto"/>
        </w:rPr>
        <w:t>Realized gains and losses on investments are recognized using the specific identification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205"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 Income and Paid-in-kind Dividends: </w:t>
      </w:r>
      <w:r>
        <w:rPr>
          <w:rFonts w:ascii="Times New Roman" w:cs="Times New Roman" w:eastAsia="Times New Roman" w:hAnsi="Times New Roman"/>
          <w:sz w:val="18"/>
          <w:szCs w:val="18"/>
          <w:color w:val="auto"/>
        </w:rPr>
        <w:t>Dividend income is recognized on the date dividends are declared. Dividend income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83" w:lineRule="exact"/>
        <w:rPr>
          <w:sz w:val="20"/>
          <w:szCs w:val="20"/>
          <w:color w:val="auto"/>
        </w:rPr>
      </w:pPr>
    </w:p>
    <w:p>
      <w:pPr>
        <w:ind w:right="2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Origination, amendment, consent, closing and/or commitment fees associated with investments in portfolio companies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40" w:firstLine="881"/>
        <w:spacing w:after="0" w:line="258" w:lineRule="auto"/>
        <w:rPr>
          <w:sz w:val="20"/>
          <w:szCs w:val="20"/>
          <w:color w:val="auto"/>
        </w:rPr>
      </w:pPr>
      <w:r>
        <w:rPr>
          <w:rFonts w:ascii="Times New Roman" w:cs="Times New Roman" w:eastAsia="Times New Roman" w:hAnsi="Times New Roman"/>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K-1s in their respective tax or information returns. The Legacy Funds are disregarded entities for tax purposes prior to and post the Formation Transactions.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46" w:name="page47"/>
    <w:bookmarkEnd w:id="46"/>
    <w:p>
      <w:pPr>
        <w:ind w:right="520" w:firstLine="881"/>
        <w:spacing w:after="0" w:line="266" w:lineRule="auto"/>
        <w:rPr>
          <w:sz w:val="20"/>
          <w:szCs w:val="20"/>
          <w:color w:val="auto"/>
        </w:rPr>
      </w:pPr>
      <w:r>
        <w:rPr>
          <w:rFonts w:ascii="Times New Roman" w:cs="Times New Roman" w:eastAsia="Times New Roman" w:hAnsi="Times New Roman"/>
          <w:sz w:val="18"/>
          <w:szCs w:val="18"/>
          <w:color w:val="auto"/>
        </w:rPr>
        <w:t>The Company intends to elect to be treated for federal income tax purposes, and intends to qualify annually thereafter,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76"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0"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0"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89"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For income tax purposes, we have paid distributions on our common stock from ordinary income in the amount of $18.3 million during the tax year ended August 31, 2014. The tax character of the distributions is based on estimated taxable income for the tax year ended August 31, 2014. The tax character of the distributions based on actual taxable income for the tax year ended August 31, 2014 will be disclosed in our Annual Report on Form 10-K for the fiscal year ended December 31, 2014.</w:t>
      </w:r>
    </w:p>
    <w:p>
      <w:pPr>
        <w:spacing w:after="0" w:line="178" w:lineRule="exact"/>
        <w:rPr>
          <w:sz w:val="20"/>
          <w:szCs w:val="20"/>
          <w:color w:val="auto"/>
        </w:rPr>
      </w:pPr>
    </w:p>
    <w:p>
      <w:pPr>
        <w:ind w:right="80" w:firstLine="881"/>
        <w:spacing w:after="0" w:line="257" w:lineRule="auto"/>
        <w:rPr>
          <w:sz w:val="20"/>
          <w:szCs w:val="20"/>
          <w:color w:val="auto"/>
        </w:rPr>
      </w:pPr>
      <w:r>
        <w:rPr>
          <w:rFonts w:ascii="Times New Roman" w:cs="Times New Roman" w:eastAsia="Times New Roman" w:hAnsi="Times New Roman"/>
          <w:sz w:val="18"/>
          <w:szCs w:val="18"/>
          <w:color w:val="auto"/>
        </w:rPr>
        <w:t xml:space="preserve">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2014 and December 31, 2013, there were no uncertain tax positions.</w:t>
      </w:r>
    </w:p>
    <w:p>
      <w:pPr>
        <w:spacing w:after="0" w:line="185"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a negative impact the Company’s net assets.</w:t>
      </w:r>
    </w:p>
    <w:p>
      <w:pPr>
        <w:spacing w:after="0" w:line="180" w:lineRule="exact"/>
        <w:rPr>
          <w:sz w:val="20"/>
          <w:szCs w:val="20"/>
          <w:color w:val="auto"/>
        </w:rPr>
      </w:pPr>
    </w:p>
    <w:p>
      <w:pPr>
        <w:ind w:right="220" w:firstLine="881"/>
        <w:spacing w:after="0" w:line="282" w:lineRule="auto"/>
        <w:rPr>
          <w:sz w:val="20"/>
          <w:szCs w:val="20"/>
          <w:color w:val="auto"/>
        </w:rPr>
      </w:pPr>
      <w:r>
        <w:rPr>
          <w:rFonts w:ascii="Times New Roman" w:cs="Times New Roman" w:eastAsia="Times New Roman" w:hAnsi="Times New Roman"/>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62"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The Company has concluded that it was not necessary to record a liability for any such tax positions as of September 30, 2014 and December 31, 2013.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76" w:lineRule="exact"/>
        <w:rPr>
          <w:sz w:val="20"/>
          <w:szCs w:val="20"/>
          <w:color w:val="auto"/>
        </w:rPr>
      </w:pPr>
    </w:p>
    <w:p>
      <w:pPr>
        <w:ind w:right="220" w:firstLine="881"/>
        <w:spacing w:after="0" w:line="261" w:lineRule="auto"/>
        <w:rPr>
          <w:sz w:val="20"/>
          <w:szCs w:val="20"/>
          <w:color w:val="auto"/>
        </w:rPr>
      </w:pPr>
      <w:r>
        <w:rPr>
          <w:rFonts w:ascii="Times New Roman" w:cs="Times New Roman" w:eastAsia="Times New Roman" w:hAnsi="Times New Roman"/>
          <w:sz w:val="18"/>
          <w:szCs w:val="18"/>
          <w:color w:val="auto"/>
        </w:rPr>
        <w:t>The Company’s activities from commencement of operations remain subject to examination by U.S. federal, state, and local tax authorities. No interest expense or penalties have been assessed for the three and nine month periods ended September 30, 2014 and September 30, 2013. If the Company were required to recognize interest and penalties, if any, related to unrecognized tax benefits this would be recognized as income tax expense in the consolidated statement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September 30, 2014, our portfolio consisted of investments in 50 portfolio companies with a fair value of approximately $445.1 million.</w:t>
      </w:r>
    </w:p>
    <w:p>
      <w:pPr>
        <w:spacing w:after="0" w:line="225"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2014, we made approximately $86.7 million of investments in new or existing portfolio companies and had approximately $44.7 million in exits and repayments resulting in net investments of approximately $42.0 million for the period. During the three months ended September 30, 2013, we made approximately $34.2 million of investments in new or existing portfolio companies and had approximately $23.1 million in exits and repayments resulting in net investments of approximately $11.1 million for the period.</w:t>
      </w:r>
    </w:p>
    <w:p>
      <w:pPr>
        <w:spacing w:after="0" w:line="180"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2014, we made approximately $150.3 million of investments in new or existing portfolio companies and had approximately $64.8 million in exits and repayments resulting in net investments of approximately $85.5 million for the period. During the nine months ended September 30, 2013, we made approximately $75.8 million of investments in new or existing portfolio companies and had approximately $50.2 million in exits and repayments resulting in net investments of approximately $25.6 million for the period.</w:t>
      </w:r>
    </w:p>
    <w:p>
      <w:pPr>
        <w:spacing w:after="0" w:line="180" w:lineRule="exact"/>
        <w:rPr>
          <w:sz w:val="20"/>
          <w:szCs w:val="20"/>
          <w:color w:val="auto"/>
        </w:rPr>
      </w:pPr>
    </w:p>
    <w:p>
      <w:pPr>
        <w:ind w:right="120" w:firstLine="971"/>
        <w:spacing w:after="0" w:line="258" w:lineRule="auto"/>
        <w:rPr>
          <w:sz w:val="20"/>
          <w:szCs w:val="20"/>
          <w:color w:val="auto"/>
        </w:rPr>
      </w:pPr>
      <w:r>
        <w:rPr>
          <w:rFonts w:ascii="Times New Roman" w:cs="Times New Roman" w:eastAsia="Times New Roman" w:hAnsi="Times New Roman"/>
          <w:sz w:val="18"/>
          <w:szCs w:val="18"/>
          <w:color w:val="auto"/>
        </w:rPr>
        <w:t>As of September 30, 2014, our average portfolio company investment and our largest portfolio company investment at amortized cost and fair value was approximately $7.7 million and $8.9 million, and $25.7 million and $25.7 million, respectively. As of September 30, 2014, the Company had approximately $107.6 million of cash and cash equivalents. As of December 31, 2013, our average portfolio company investment and our largest portfolio company investment at amortized cost and fair value was approximately $7.3 million and $8.9 million, and $25.3 million and $25.3 million, respectively. As of December 31, 2013, the Company had $101.6 million of cash and cash equivalents.</w:t>
      </w:r>
    </w:p>
    <w:p>
      <w:pPr>
        <w:spacing w:after="0" w:line="184" w:lineRule="exact"/>
        <w:rPr>
          <w:sz w:val="20"/>
          <w:szCs w:val="20"/>
          <w:color w:val="auto"/>
        </w:rPr>
      </w:pPr>
    </w:p>
    <w:p>
      <w:pPr>
        <w:ind w:right="36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the fair value of investments and cash and cash equivalents as of September 30, 2014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Investments at</w:t>
            </w:r>
          </w:p>
        </w:tc>
        <w:tc>
          <w:tcPr>
            <w:tcW w:w="16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Investments at</w:t>
            </w: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38"/>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134,258</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136,171</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187,842</w:t>
            </w:r>
          </w:p>
        </w:tc>
        <w:tc>
          <w:tcPr>
            <w:tcW w:w="220" w:type="dxa"/>
            <w:vAlign w:val="bottom"/>
          </w:tcPr>
          <w:p>
            <w:pPr>
              <w:spacing w:after="0"/>
              <w:rPr>
                <w:sz w:val="18"/>
                <w:szCs w:val="18"/>
                <w:color w:val="auto"/>
              </w:rPr>
            </w:pPr>
          </w:p>
        </w:tc>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38.0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186,483</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65,390</w:t>
            </w:r>
          </w:p>
        </w:tc>
        <w:tc>
          <w:tcPr>
            <w:tcW w:w="16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122,472</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107,576</w:t>
            </w:r>
          </w:p>
        </w:tc>
        <w:tc>
          <w:tcPr>
            <w:tcW w:w="220" w:type="dxa"/>
            <w:vAlign w:val="bottom"/>
          </w:tcPr>
          <w:p>
            <w:pPr>
              <w:spacing w:after="0"/>
              <w:rPr>
                <w:sz w:val="19"/>
                <w:szCs w:val="19"/>
                <w:color w:val="auto"/>
              </w:rPr>
            </w:pPr>
          </w:p>
        </w:tc>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107,576</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3"/>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552,702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the fair value of investments and cash and cash equivalents as of December 31, 2013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Investments at</w:t>
            </w:r>
          </w:p>
        </w:tc>
        <w:tc>
          <w:tcPr>
            <w:tcW w:w="16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Investments at</w:t>
            </w: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38"/>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102,071</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136,638</w:t>
            </w:r>
          </w:p>
        </w:tc>
        <w:tc>
          <w:tcPr>
            <w:tcW w:w="220" w:type="dxa"/>
            <w:vAlign w:val="bottom"/>
          </w:tcPr>
          <w:p>
            <w:pPr>
              <w:spacing w:after="0"/>
              <w:rPr>
                <w:sz w:val="18"/>
                <w:szCs w:val="18"/>
                <w:color w:val="auto"/>
              </w:rPr>
            </w:pPr>
          </w:p>
        </w:tc>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133,710</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61,204</w:t>
            </w:r>
          </w:p>
        </w:tc>
        <w:tc>
          <w:tcPr>
            <w:tcW w:w="16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128,938</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101,622</w:t>
            </w:r>
          </w:p>
        </w:tc>
        <w:tc>
          <w:tcPr>
            <w:tcW w:w="220" w:type="dxa"/>
            <w:vAlign w:val="bottom"/>
          </w:tcPr>
          <w:p>
            <w:pPr>
              <w:spacing w:after="0"/>
              <w:rPr>
                <w:sz w:val="19"/>
                <w:szCs w:val="19"/>
                <w:color w:val="auto"/>
              </w:rPr>
            </w:pPr>
          </w:p>
        </w:tc>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101,622</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3"/>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466,341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4" w:right="239" w:bottom="1440" w:gutter="0" w:footer="0" w:header="0"/>
        </w:sectPr>
      </w:pPr>
    </w:p>
    <w:bookmarkStart w:id="48" w:name="page49"/>
    <w:bookmarkEnd w:id="48"/>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As of September 30, 2014, our income-bearing investment portfolio, which represented nearly 73% of our total portfolio, had a weighted average yield of approximately 12.8%. As of September 30, 2014, 85% of our income-bearing investment portfolio was bearing a fixed rate of interest. As of December 31, 2013, our income-bearing investment portfolio, which represented nearly 65% of our total portfolio, had a weighted average yield of approximately 13.7% all bearing a fixed rate of interest.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September 30, 2014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187"/>
        </w:trPr>
        <w:tc>
          <w:tcPr>
            <w:tcW w:w="5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3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3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5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6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 Services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26,938</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Marketing Services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24,442</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22,753</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Printing Services</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20,334</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16,448</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QSR Franchisee</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20,004</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24,787</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Bakery Supplies Distributor</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Product Manufacturer</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16,437</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14,073</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Footwear Retail</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15,713</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14,807</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 Engineering and Consulting Services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15,491</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Home Décor Manufacturer</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 Part Manufacturer</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14,539</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Medical Device Distributor</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14,481</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11,121</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Equipment Rental</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13,212</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Management</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12,604</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Display &amp; Security Services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12,392</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10,823</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Computer Supply Retail</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12,081</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6,673</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 Communication Retailer</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Energy Services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8,783</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Culinary Products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10,302</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Restaurant</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Textile Equipment Manufacturer</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9,031</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Western Wear Retail</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4,774</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Dental Practice Management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9,273</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&amp; Digital Marketing</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5,061</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Conglomerate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7,630</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Transportation Services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10,274</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Produce Distribution</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6,631</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Services Products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5,185</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Specialty Clothing</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12,724</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Window Manufacturer</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6,284</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&amp; Marketing Services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4,911</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 Recycler</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3,950</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Petroleum Equipment Supplier</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3,624</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Chemicals &amp; Lubricants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3,886</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Industrial Manufacturing</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3,440</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Employer Organization</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22,677</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Education Services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QSR Franchisor</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14,622</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Building Supplies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2,509</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Defense Contractor</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Industrial Boiler Manufacturer</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Travel Sales &amp; Marketing</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1,638</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In-Home Healthcare Services</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Hosting Services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Aerospace Parts Manufacturer</w:t>
            </w:r>
          </w:p>
        </w:tc>
        <w:tc>
          <w:tcPr>
            <w:tcW w:w="2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10,064</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Quick Lube Services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Medical Transportation Services</w:t>
            </w:r>
          </w:p>
        </w:tc>
        <w:tc>
          <w:tcPr>
            <w:tcW w:w="28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648"/>
        </w:trPr>
        <w:tc>
          <w:tcPr>
            <w:tcW w:w="5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9" w:name="page50"/>
    <w:bookmarkEnd w:id="49"/>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With the exception of an $8.3 million investment in an internationally headquartered company, all investments made by the Company as of September 30, 2014 and December 31, 2013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September 30, 2014 and December 31, 2013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 2014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187"/>
        </w:trPr>
        <w:tc>
          <w:tcPr>
            <w:tcW w:w="5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gridSpan w:val="2"/>
          </w:tcPr>
          <w:p>
            <w:pPr>
              <w:spacing w:after="0"/>
              <w:rPr>
                <w:sz w:val="16"/>
                <w:szCs w:val="16"/>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4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at</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5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279,720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254,143</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West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85,020</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Northeast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41,851</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Midwest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30,235</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8,300</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445,126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20" w:firstLine="881"/>
        <w:spacing w:after="0" w:line="282" w:lineRule="auto"/>
        <w:rPr>
          <w:sz w:val="20"/>
          <w:szCs w:val="20"/>
          <w:color w:val="auto"/>
        </w:rPr>
      </w:pPr>
      <w:r>
        <w:rPr>
          <w:rFonts w:ascii="Times New Roman" w:cs="Times New Roman" w:eastAsia="Times New Roman" w:hAnsi="Times New Roman"/>
          <w:sz w:val="18"/>
          <w:szCs w:val="18"/>
          <w:color w:val="auto"/>
        </w:rPr>
        <w:t>In addition to various risk management tools, our investment adviser also uses an investment rating system to characterize and monitor our expected level of return on each investment in our portfolio.</w:t>
      </w:r>
    </w:p>
    <w:p>
      <w:pPr>
        <w:spacing w:after="0" w:line="162" w:lineRule="exact"/>
        <w:rPr>
          <w:sz w:val="20"/>
          <w:szCs w:val="20"/>
          <w:color w:val="auto"/>
        </w:rPr>
      </w:pPr>
    </w:p>
    <w:p>
      <w:pPr>
        <w:ind w:right="160" w:firstLine="881"/>
        <w:spacing w:after="0" w:line="258" w:lineRule="auto"/>
        <w:rPr>
          <w:sz w:val="20"/>
          <w:szCs w:val="20"/>
          <w:color w:val="auto"/>
        </w:rPr>
      </w:pPr>
      <w:r>
        <w:rPr>
          <w:rFonts w:ascii="Times New Roman" w:cs="Times New Roman" w:eastAsia="Times New Roman" w:hAnsi="Times New Roman"/>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internal investment rating system incorporates the following five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9580" w:type="dxa"/>
            <w:vAlign w:val="bottom"/>
          </w:tcPr>
          <w:p>
            <w:pPr>
              <w:spacing w:after="0"/>
              <w:rPr>
                <w:sz w:val="18"/>
                <w:szCs w:val="18"/>
                <w:color w:val="auto"/>
              </w:rPr>
            </w:pPr>
          </w:p>
        </w:tc>
      </w:tr>
      <w:tr>
        <w:trPr>
          <w:trHeight w:val="238"/>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407"/>
        </w:trPr>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9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general, the investment may be performing above our internal expectations. Full return of principal and interest is expected.</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Capital gain is expected.</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general, the investment may be performing within our internal expectations, and potential risks to potential risks to the applicable</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are considered to be neutral or favorable compared to any potential risks at the time of the original investment. All new</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are initially given this rating.</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In general, the investment may be performing below our internal expectations and therefore, investments in this category may</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require closer internal monitoring; however, the valuation team believes that no loss of investment return (interest and/or dividends)</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or principal is expected. The investment also may be out of compliance with certain senior or senior subordinated debt financial</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r>
      <w:tr>
        <w:trPr>
          <w:trHeight w:val="648"/>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ind w:left="3780"/>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420"/>
          </w:cols>
          <w:pgMar w:left="240" w:top="877"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4</w:t>
            </w:r>
          </w:p>
        </w:tc>
        <w:tc>
          <w:tcPr>
            <w:tcW w:w="102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In general, the investment may be performing below internal expectations and quantitative or qualitative risks may have increased</w:t>
            </w:r>
          </w:p>
        </w:tc>
      </w:tr>
      <w:tr>
        <w:trPr>
          <w:trHeight w:val="234"/>
        </w:trPr>
        <w:tc>
          <w:tcPr>
            <w:tcW w:w="980" w:type="dxa"/>
            <w:vAlign w:val="bottom"/>
          </w:tcPr>
          <w:p>
            <w:pPr>
              <w:spacing w:after="0"/>
              <w:rPr>
                <w:sz w:val="20"/>
                <w:szCs w:val="20"/>
                <w:color w:val="auto"/>
              </w:rPr>
            </w:pPr>
          </w:p>
        </w:tc>
        <w:tc>
          <w:tcPr>
            <w:tcW w:w="10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substantially since the original investment. Loss of some or principal is expected.</w:t>
            </w:r>
          </w:p>
        </w:tc>
      </w:tr>
      <w:tr>
        <w:trPr>
          <w:trHeight w:val="414"/>
        </w:trPr>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5</w:t>
            </w:r>
          </w:p>
        </w:tc>
        <w:tc>
          <w:tcPr>
            <w:tcW w:w="10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 general, the investment may be performing substantially below our internal expectations and a number of quantitative or</w:t>
            </w:r>
          </w:p>
        </w:tc>
      </w:tr>
      <w:tr>
        <w:trPr>
          <w:trHeight w:val="234"/>
        </w:trPr>
        <w:tc>
          <w:tcPr>
            <w:tcW w:w="980" w:type="dxa"/>
            <w:vAlign w:val="bottom"/>
          </w:tcPr>
          <w:p>
            <w:pPr>
              <w:spacing w:after="0"/>
              <w:rPr>
                <w:sz w:val="20"/>
                <w:szCs w:val="20"/>
                <w:color w:val="auto"/>
              </w:rPr>
            </w:pPr>
          </w:p>
        </w:tc>
        <w:tc>
          <w:tcPr>
            <w:tcW w:w="10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qualitative risks may have increased substantially since the original investment. Loss of some or all principal is expected.</w:t>
            </w: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Investment Advisor will monitor and, when appropriate, change the investment ratings assigned to each investment in our portfolio. In connection with our valuation process, our investment adviser will review these investment ratings on a quarterly basis, and our Board of Directors will affirm such ratings. The investment rating of a particular investment should not, however, be deemed to be a guarantee of the investment’s future performance.</w:t>
      </w:r>
    </w:p>
    <w:p>
      <w:pPr>
        <w:spacing w:after="0" w:line="176" w:lineRule="exact"/>
        <w:rPr>
          <w:sz w:val="20"/>
          <w:szCs w:val="20"/>
          <w:color w:val="auto"/>
        </w:rPr>
      </w:pPr>
    </w:p>
    <w:p>
      <w:pPr>
        <w:ind w:right="10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September 30, 2014 (dollars in thousands):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4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at Fair</w:t>
            </w: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Total</w:t>
            </w:r>
          </w:p>
        </w:tc>
      </w:t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Performance Rating</w:t>
            </w: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160,818</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219,308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57,178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445,126</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December 31, 2013 (dollars in thousands):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4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at Fair</w:t>
            </w: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Total</w:t>
            </w:r>
          </w:p>
        </w:tc>
      </w:t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Performance Rating</w:t>
            </w: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183,194</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364,719</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As of September 30, 2014, the Company had debt investments in four portfolio companies on non-accrual status with a total principal amount of $13.5 million, amortized cost of $11.8 million and a fair value of $7.8 million, which represented 3.7%, 3.0%, and 1.8% of the investment portfolio, respectively. As of December 31, 2013, the Company had debt investments in four portfolio companies on non-accrual status with a total principal amount of $12.1 million, amortized cost of $10.3 million and a fair value of $6.5 million representing 3.3%, 2.8% and 1.8% of the investment portfolio,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2014 and September 30, 2013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187"/>
        </w:trPr>
        <w:tc>
          <w:tcPr>
            <w:tcW w:w="5620" w:type="dxa"/>
            <w:vAlign w:val="bottom"/>
          </w:tcPr>
          <w:p>
            <w:pPr>
              <w:spacing w:after="0"/>
              <w:rPr>
                <w:sz w:val="16"/>
                <w:szCs w:val="16"/>
                <w:color w:val="auto"/>
              </w:rPr>
            </w:pPr>
          </w:p>
        </w:tc>
        <w:tc>
          <w:tcPr>
            <w:tcW w:w="1420" w:type="dxa"/>
            <w:vAlign w:val="bottom"/>
            <w:tcBorders>
              <w:top w:val="single" w:sz="8" w:color="auto"/>
            </w:tcBorders>
            <w:gridSpan w:val="3"/>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gridSpan w:val="2"/>
          </w:tcPr>
          <w:p>
            <w:pPr>
              <w:spacing w:after="0"/>
              <w:rPr>
                <w:sz w:val="16"/>
                <w:szCs w:val="16"/>
                <w:color w:val="auto"/>
              </w:rPr>
            </w:pPr>
          </w:p>
        </w:tc>
      </w:tr>
      <w:tr>
        <w:trPr>
          <w:trHeight w:val="238"/>
        </w:trPr>
        <w:tc>
          <w:tcPr>
            <w:tcW w:w="5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21,170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9,903</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from investments</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unrealized appreciation</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6,442</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ind w:right="400" w:firstLine="881"/>
        <w:spacing w:after="0" w:line="282" w:lineRule="auto"/>
        <w:rPr>
          <w:sz w:val="20"/>
          <w:szCs w:val="20"/>
          <w:color w:val="auto"/>
        </w:rPr>
      </w:pPr>
      <w:r>
        <w:rPr>
          <w:rFonts w:ascii="Times New Roman" w:cs="Times New Roman" w:eastAsia="Times New Roman" w:hAnsi="Times New Roman"/>
          <w:sz w:val="18"/>
          <w:szCs w:val="18"/>
          <w:color w:val="auto"/>
        </w:rPr>
        <w:t>The composition of our investment income for the three and nine months ended September 30, 2014 and September 30, 2013 was as follows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187"/>
        </w:trPr>
        <w:tc>
          <w:tcPr>
            <w:tcW w:w="5620" w:type="dxa"/>
            <w:vAlign w:val="bottom"/>
          </w:tcPr>
          <w:p>
            <w:pPr>
              <w:spacing w:after="0"/>
              <w:rPr>
                <w:sz w:val="16"/>
                <w:szCs w:val="16"/>
                <w:color w:val="auto"/>
              </w:rPr>
            </w:pPr>
          </w:p>
        </w:tc>
        <w:tc>
          <w:tcPr>
            <w:tcW w:w="138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gridSpan w:val="2"/>
          </w:tcPr>
          <w:p>
            <w:pPr>
              <w:spacing w:after="0"/>
              <w:rPr>
                <w:sz w:val="16"/>
                <w:szCs w:val="16"/>
                <w:color w:val="auto"/>
              </w:rPr>
            </w:pPr>
          </w:p>
        </w:tc>
      </w:tr>
      <w:tr>
        <w:trPr>
          <w:trHeight w:val="238"/>
        </w:trPr>
        <w:tc>
          <w:tcPr>
            <w:tcW w:w="5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fee income</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Payment-in-kind interest and dividend income</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2014, total investment income increased $2.4 million, or 26.9%, compared to the three months ended September 30, 2013. The increase from the prior period related primarily to higher interest and PIK income as the result of an increasing investment portfolio, partially offset by lower dividend income for the current period. For the nine months ended September 30, 2014, total investment income increased $12.8 million, or 54.9%, compared to the nine months ended September 30, 2013. The increase from the prior period relates to higher dividend income mostly from recapitalizations of control investments, and higher loan interest and fee income resulting from an increasing investment portfolio.</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composition of our expenses for the three and nine months ended September 30, 2014 and September 30, 2013 was as follows (dollars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ectPr>
          <w:pgSz w:w="11900" w:h="16838" w:orient="portrait"/>
          <w:cols w:equalWidth="0" w:num="1">
            <w:col w:w="11420"/>
          </w:cols>
          <w:pgMar w:left="240" w:top="8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amortization of deferred financing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fees, net of management fee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expenses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6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187"/>
        </w:trPr>
        <w:tc>
          <w:tcPr>
            <w:tcW w:w="138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6"/>
                <w:szCs w:val="16"/>
                <w:color w:val="auto"/>
              </w:rPr>
            </w:pPr>
          </w:p>
        </w:tc>
      </w:tr>
      <w:tr>
        <w:trPr>
          <w:trHeight w:val="238"/>
        </w:trPr>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Pr>
          <w:p>
            <w:pPr>
              <w:spacing w:after="0"/>
              <w:rPr>
                <w:sz w:val="20"/>
                <w:szCs w:val="20"/>
                <w:color w:val="auto"/>
              </w:rPr>
            </w:pPr>
          </w:p>
        </w:tc>
      </w:tr>
      <w:tr>
        <w:trPr>
          <w:trHeight w:val="191"/>
        </w:trPr>
        <w:tc>
          <w:tcPr>
            <w:tcW w:w="2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8,870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6,527</w:t>
            </w:r>
          </w:p>
        </w:tc>
        <w:tc>
          <w:tcPr>
            <w:tcW w:w="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2,994</w:t>
            </w:r>
          </w:p>
        </w:tc>
      </w:tr>
      <w:tr>
        <w:trPr>
          <w:trHeight w:val="230"/>
        </w:trPr>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-745490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873"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52" w:name="page53"/>
    <w:bookmarkEnd w:id="52"/>
    <w:p>
      <w:pPr>
        <w:ind w:firstLine="881"/>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2014, operating expenses increased $4.3 million, or 126.6%, compared to the three months ended September 30, 2013. For the nine months ended September 30, 2014, operating expenses increased $11.3 million, or 113.8%, compared to the nine months ended September 30, 2013. The increase from the prior period is attributable to incentive and management fees under the Advisory Agreement along with increased general and administrative expenses due to regulatory and reporting costs subsequent to our IPO on September 30, 2013, and an increase in interest expense as a result of our June 2014 $113.4 million offering of 7.125% fixed rate notes due 2021 (“the Notes”). It should be noted that the three months ended September 30, 2013 was the first quarter of operations for the Company following the IPO, but did not include a full allocation of operating expenses and management fees since the IPO was completed on the last day of the reporting period.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gains/losses on sales of investments</w:t>
      </w:r>
    </w:p>
    <w:p>
      <w:pPr>
        <w:spacing w:after="0" w:line="229"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2014, we recognized $3.1 million and $1.4 million, respectively, of net realized losses on our portfolio investments. Gross losses for the third quarter of 2014 totaling $5.2 million related to the exit of Impresa Aerospace Holdings, LLC debt were partially offset by a $2.1 million gain on the exit of Take 5 Oil Change, Inc. During the three and nine months ended September 30, 2013, we recognized $1.9 million and $2.2 million, respectively, of net realized gains on portfolio investments.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unrealized appreciation/depreciation on investments</w:t>
      </w:r>
    </w:p>
    <w:p>
      <w:pPr>
        <w:spacing w:after="0" w:line="229"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Net change in unrealized appreciation on investments reflects the net change in the fair value of our investment portfolio. For the three months ended September 30, 2014, we had a $0.2 million decrease in unrealized appreciation on portfolio investments. For the nine months ended September 30, 2014, we had a $5.8 million decrease in unrealized appreciation on portfolio investments. For the three and nine months ended September 30, 2013, we had a $0.6 million and $6.4 million, respectively, increase in unrealized appreciation on portfolio investments.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Changes in net assets resulting from operations</w:t>
      </w:r>
    </w:p>
    <w:p>
      <w:pPr>
        <w:spacing w:after="0" w:line="229" w:lineRule="exact"/>
        <w:rPr>
          <w:sz w:val="20"/>
          <w:szCs w:val="20"/>
          <w:color w:val="auto"/>
        </w:rPr>
      </w:pPr>
    </w:p>
    <w:p>
      <w:pPr>
        <w:ind w:right="100" w:firstLine="881"/>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2014, we recorded a net increase in net assets resulting from operations of $0.3 million and $7.7 million, respectively. Based on the weighted average shares of common stock outstanding for the three and nine months ended September 30, 2014, our per share net increase in net assets resulting from operations was $0.02 and $0.60, respectively. For the three and nine months ended September 30, 2013, we recorded a net increase in net assets resulting from operations of $7.9 million and $22.1 million, respectively. Based on the weighted average shares of common stock outstanding for the three and nine months ended September 30, 2013 our per share net increase in net assets resulting from operations was $0.61 and $1.70,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cash flows generated from operations, including earnings on investments in our portfolio and future investments, as well as interest earned from the temporary investment of cash in U.S. government securities and other high-quality debt investments that mature in one year or less, we intend to continue to seek capital through future equity and debt capital raises. In addition to the $74.25 million in net proceeds received from our IPO on September 30, 2014, the Company issued $113.4 million in aggregate principal amount of 7.125% fixed-rate notes in June of 2014. The Notes will mature on June 16, 2021, and may be redeemed in whole or in part at any time or from time to time at the Company’s option on or after June 17, 2017 at a redemption price equal to 100% of the outstanding principal, plus accrued and unpaid interest. The notes will bear interest at a rate of 7.125% per year payable quarterly on March 16, June 16, September 16, and December 16 of each year, beginning September 16, 2014. The Notes are listed on the New York Stock Exchange under the trading symbol “CLA” with a par value $25.00 per share.</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w:t>
      </w:r>
    </w:p>
    <w:p>
      <w:pPr>
        <w:jc w:val="both"/>
        <w:ind w:right="640" w:firstLine="8"/>
        <w:spacing w:after="0" w:line="255" w:lineRule="auto"/>
        <w:tabs>
          <w:tab w:leader="none" w:pos="1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ind w:left="880"/>
        <w:spacing w:after="0"/>
        <w:rPr>
          <w:sz w:val="20"/>
          <w:szCs w:val="20"/>
          <w:color w:val="auto"/>
        </w:rPr>
      </w:pPr>
      <w:r>
        <w:rPr>
          <w:rFonts w:ascii="Times New Roman" w:cs="Times New Roman" w:eastAsia="Times New Roman" w:hAnsi="Times New Roman"/>
          <w:sz w:val="18"/>
          <w:szCs w:val="18"/>
          <w:color w:val="auto"/>
        </w:rPr>
        <w:t>As of September 30, 2014, we had $107.6 million in cash and cash equivalents, and our net assets totaled $258.1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80" w:firstLine="881"/>
        <w:spacing w:after="0" w:line="258" w:lineRule="auto"/>
        <w:rPr>
          <w:sz w:val="20"/>
          <w:szCs w:val="20"/>
          <w:color w:val="auto"/>
        </w:rPr>
      </w:pPr>
      <w:r>
        <w:rPr>
          <w:rFonts w:ascii="Times New Roman" w:cs="Times New Roman" w:eastAsia="Times New Roman" w:hAnsi="Times New Roman"/>
          <w:sz w:val="18"/>
          <w:szCs w:val="18"/>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84"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summary of the Company’s significant contractual payment obligations as of September 30, 2014 is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0"/>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Contractual Obligations Payments Due by Period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Less Than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1 - 3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3 - 5</w:t>
            </w:r>
          </w:p>
        </w:tc>
        <w:tc>
          <w:tcPr>
            <w:tcW w:w="220" w:type="dxa"/>
            <w:vAlign w:val="bottom"/>
          </w:tcPr>
          <w:p>
            <w:pPr>
              <w:spacing w:after="0"/>
              <w:rPr>
                <w:sz w:val="16"/>
                <w:szCs w:val="16"/>
                <w:color w:val="auto"/>
              </w:rPr>
            </w:pPr>
          </w:p>
        </w:tc>
        <w:tc>
          <w:tcPr>
            <w:tcW w:w="1220" w:type="dxa"/>
            <w:vAlign w:val="bottom"/>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SBA-Guaranteed Debentures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Note Obligations</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113,438</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113,438</w:t>
            </w: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In order to qualify as a RIC and to avoid U.S. federal corporate level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quarterly distributions to our stockholders for the first four full quarters subsequent to our IPO and then make monthly distributions thereafter. Our monthly stockholder distributions, if any, will be determined by our Board on a quarterly basis. Any distribution to our stockholders will be declared out of assets legally available for distribution.</w:t>
      </w:r>
    </w:p>
    <w:p>
      <w:pPr>
        <w:spacing w:after="0" w:line="185"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0"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right="380" w:firstLine="881"/>
        <w:spacing w:after="0" w:line="266" w:lineRule="auto"/>
        <w:rPr>
          <w:sz w:val="20"/>
          <w:szCs w:val="20"/>
          <w:color w:val="auto"/>
        </w:rPr>
      </w:pPr>
      <w:r>
        <w:rPr>
          <w:rFonts w:ascii="Times New Roman" w:cs="Times New Roman" w:eastAsia="Times New Roman" w:hAnsi="Times New Roman"/>
          <w:sz w:val="18"/>
          <w:szCs w:val="18"/>
          <w:color w:val="auto"/>
        </w:rPr>
        <w:t>We have entered into the Investment Advisory Agreement with the Investment Advisor. Mr. Alala, our chief executive officer, president and chairman of our Board, is the managing partner and chief investment officer of our Investment Advisor, and Mr. Broyhill, a member of our Board, has an indirect controlling interest in the Investment Advisor.</w:t>
      </w:r>
    </w:p>
    <w:p>
      <w:pPr>
        <w:spacing w:after="0" w:line="176" w:lineRule="exact"/>
        <w:rPr>
          <w:sz w:val="20"/>
          <w:szCs w:val="20"/>
          <w:color w:val="auto"/>
        </w:rPr>
      </w:pPr>
    </w:p>
    <w:p>
      <w:pPr>
        <w:ind w:right="60" w:firstLine="881"/>
        <w:spacing w:after="0" w:line="254" w:lineRule="auto"/>
        <w:rPr>
          <w:sz w:val="20"/>
          <w:szCs w:val="20"/>
          <w:color w:val="auto"/>
        </w:rPr>
      </w:pPr>
      <w:r>
        <w:rPr>
          <w:rFonts w:ascii="Times New Roman" w:cs="Times New Roman" w:eastAsia="Times New Roman" w:hAnsi="Times New Roman"/>
          <w:sz w:val="18"/>
          <w:szCs w:val="18"/>
          <w:color w:val="auto"/>
        </w:rPr>
        <w:t>In addition, the Investment Advisor’s investment team also manages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The Investment Advisor and its affiliates may also manage other funds in the future that may have investment mandates that are similar, in whole and in part, with ours.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w:t>
      </w:r>
    </w:p>
    <w:p>
      <w:pPr>
        <w:spacing w:after="0" w:line="186" w:lineRule="exact"/>
        <w:rPr>
          <w:sz w:val="20"/>
          <w:szCs w:val="20"/>
          <w:color w:val="auto"/>
        </w:rPr>
      </w:pPr>
    </w:p>
    <w:p>
      <w:pPr>
        <w:ind w:right="220" w:firstLine="881"/>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62"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is the chief executive officer, president and a director of our Administrator, and Mr. Broyhill, a member of our Board, is the trustee of a trust that has a controlling interest in our Adminstrator.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right="480" w:firstLine="881"/>
        <w:spacing w:after="0" w:line="266" w:lineRule="auto"/>
        <w:rPr>
          <w:sz w:val="20"/>
          <w:szCs w:val="20"/>
          <w:color w:val="auto"/>
        </w:rPr>
      </w:pPr>
      <w:r>
        <w:rPr>
          <w:rFonts w:ascii="Times New Roman" w:cs="Times New Roman" w:eastAsia="Times New Roman" w:hAnsi="Times New Roman"/>
          <w:sz w:val="18"/>
          <w:szCs w:val="18"/>
          <w:color w:val="auto"/>
        </w:rPr>
        <w:t>On October 3, 2014, we announced that we have declared distributions for the months of October, November, and December of 2014. The Company converted to monthly distributions, effective October 2014. Accordingly, on October 2, 2014, the Company’s Board of Directors declared the following distributions: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tbl>
      <w:tblPr>
        <w:tblLayout w:type="fixed"/>
        <w:tblInd w:w="114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 Date</w:t>
            </w: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Payment Date</w:t>
            </w: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Amount Per Share</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10/22/14</w:t>
            </w:r>
          </w:p>
        </w:tc>
        <w:tc>
          <w:tcPr>
            <w:tcW w:w="8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10/30/14</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11/21/14</w:t>
            </w: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11/28/14</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12/19/14</w:t>
            </w:r>
          </w:p>
        </w:tc>
        <w:tc>
          <w:tcPr>
            <w:tcW w:w="3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12/30/14</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0.1567</w:t>
            </w:r>
          </w:p>
        </w:tc>
        <w:tc>
          <w:tcPr>
            <w:tcW w:w="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October 17, 2014, we entered into a senior secured revolving credit agreement (the “Credit Facility”) with ING Capital LLC, as administrative agent, arranger and bookrunner, and the lenders party thereto. The Credit Facility initially provides for borrowings of up to $50,000,000 and may be increased up to $150,000,000 pursuant to its “accordion” feature. The Credit Facility matures on October 17, 2018.</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October 23, 2014, we invested $5.0 million in the first lien senior debt (LIBOR plus 5.75%, 1.00% floor) of Flavors Holdings, Inc. On November 4, 2014, we invested an additional $3.0 million in the first lien senior debt (LIBOR plus 5.75%, 1.00% floor) of Flavors Holdings, Inc. On October 27, 2014, we invested $12.0 million in the subordinated debt (LIBOR plus 10.00%/1.00% floor) of Flavors Holdings, Inc.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30, 2014, Boot Barn Inc. completed an initial public offering (“IPO”) and began trading on the NYSE under the ticker symbol BOOT.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 25:1 stock conversion at IPO, we now own 600,000 shares of common stock in Boot Barn, which priced at $16per share in an all primary offering.</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October 31, 2014, we received $2.8 million from Naples Lumber &amp; Supply Co., representing full repayment of the investment, generating a gain of $1.5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and nine months ended September 30, 2014, we did not engage in hedging activities.</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2014, the Company held 5 securities at a cost of $49.1 million bearing a variable rate of interest. The Company’s variable rate investments represent approximately 15% of the fair market value of total interest earning investments. All variable rate securities are London Interbank Offered Rate-based (“LIBOR”) and are subject to interest rate floors. As of and for the three and nine month periods ended September 30, 2014, all variable rate securities are yielding interest at a rate equal to the established interest rate floor. As of September 30, 2014, all of our interest paying liabilities, consisting of $192.2 million in SBA-guaranteed debentures and $113.4 million in notes payable, bear interest at a fixed rate.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firstLine="881"/>
        <w:spacing w:after="0" w:line="254" w:lineRule="auto"/>
        <w:rPr>
          <w:sz w:val="20"/>
          <w:szCs w:val="20"/>
          <w:color w:val="auto"/>
        </w:rPr>
      </w:pPr>
      <w:r>
        <w:rPr>
          <w:rFonts w:ascii="Times New Roman" w:cs="Times New Roman" w:eastAsia="Times New Roman" w:hAnsi="Times New Roman"/>
          <w:sz w:val="18"/>
          <w:szCs w:val="18"/>
          <w:color w:val="auto"/>
        </w:rPr>
        <w:t>As of September 30, 2014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5" w:lineRule="exact"/>
        <w:rPr>
          <w:sz w:val="20"/>
          <w:szCs w:val="20"/>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ind w:right="260" w:firstLine="881"/>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change in the Company’s internal control over financing reporting that occurred during the third quarter of 2014 that has materially affected, or is reasonably likely to materially affect, the Company’s internal control over financial reporting.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0" w:firstLine="881"/>
        <w:spacing w:after="0" w:line="258" w:lineRule="auto"/>
        <w:rPr>
          <w:sz w:val="20"/>
          <w:szCs w:val="20"/>
          <w:color w:val="auto"/>
        </w:rPr>
      </w:pPr>
      <w:r>
        <w:rPr>
          <w:rFonts w:ascii="Times New Roman" w:cs="Times New Roman" w:eastAsia="Times New Roman" w:hAnsi="Times New Roman"/>
          <w:sz w:val="18"/>
          <w:szCs w:val="18"/>
          <w:color w:val="auto"/>
        </w:rPr>
        <w:t>None of us, our Investment Advisor or Administrator or any of the Legacy Funds, is currently subject to any material legal proceedings, nor, to our knowledge, is any material legal proceeding threatened against us, or against our Investment Advisor or Administrator.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firstLine="881"/>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fiscal year ended December 31, 2013, which could materially affect our business, financial condition and/or operating results. The risks described in our Annual Report on Form 10-K are not the only risks we face. Additional risks and uncertainties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During the quarter ended September 30, 2014, we issued 5,995 shares of common stock under our dividend reinvestment plan. The issuances were not subject to the registration requirements under the Securities Act of 1933, as amended. The cash paid for shares of common stock issued under our dividend reinvestment plan during the quarter ended September 30, 2014 was approximately $110 thousand. Other than the shares issued under our dividend reinvestment plan during the quarter ended September 30, 2014, we did not sell any unregistered equity securities and we did not repurchase any of our equity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tc>
      </w:tr>
      <w:tr>
        <w:trPr>
          <w:trHeight w:val="4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45"/>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98"/>
        </w:trPr>
        <w:tc>
          <w:tcPr>
            <w:tcW w:w="20" w:type="dxa"/>
            <w:vAlign w:val="bottom"/>
          </w:tcPr>
          <w:p>
            <w:pPr>
              <w:spacing w:after="0"/>
              <w:rPr>
                <w:sz w:val="17"/>
                <w:szCs w:val="17"/>
                <w:color w:val="auto"/>
              </w:rPr>
            </w:pPr>
          </w:p>
        </w:tc>
        <w:tc>
          <w:tcPr>
            <w:tcW w:w="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Articles of Amendment and Restatement(1)</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Bylaws(1)</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Common Stock Certificate(1)</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Base Indenture(2)</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First Supplemental Indenture(2)</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Global Note (included as Exhibit A to the Form of First Supplemental Indenture)(2)</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Dividend Reinvestment Plan(1)</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Investment Advisory Agreement by and between Registrant and Capitala Investment Advisors, LLC(1)</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Custodian Agreement(1)</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Administration Agreement by and between Registrant and Capitala Advisors Corp.(1)</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by and between Registrant and each of its directors(1)</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Trademark License Agreement by and between Registrant and Capitala Investment Advisors, LLC(1)</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Form of Senior Secured Revolving Credit Agreement dated October 17, 2014, among Capitala Finance Corp., as Borrower, the lenders party</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thereto, and ING Capital LLC, as Administrative Agent, Arranger and Bookrunner(3)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Guarantee, Pledge and Security Agreement dated October 17, 2014, among Capitala Finance Corp., as Borrower, the subsidiary</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guarantors party thereto, ING Capital LLC, as Revolving Administrative Agent for the Revolving Lenders and as Collateral Agent, and each</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Financing Agent and Designated Indebtedness Holder party thereto(3)</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Per Share Earnings (included in the notes to the consolidated financial statements contained in this report)</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 of the Securities Exchange Act of 1934, as adopted pursuant to Section 302</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 (filed herewith)</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 of the Securities Exchange Act of 1934, as adopted pursuant to Section 302</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 (filed herewith)</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18 U.S.C. Section 1350, as adopted pursuant to section 906 of the Sarbanes-Oxley Act of 2002</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18 U.S.C. Section 1350, as adopted pursuant to section 906 of the Sarbanes-Oxley Act of 2002 (filed</w:t>
            </w: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herewith)</w:t>
            </w:r>
          </w:p>
        </w:tc>
      </w:tr>
    </w:tbl>
    <w:p>
      <w:pPr>
        <w:ind w:left="1260" w:right="380" w:hanging="1207"/>
        <w:spacing w:after="0" w:line="258"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Pre-Effective Amendment No. 1 to Capitala Finance Corp.’s registration statement on Form N-2 (File No. 333-188956) filed on September 9, 2013.</w:t>
      </w:r>
    </w:p>
    <w:p>
      <w:pPr>
        <w:ind w:left="1260" w:right="260" w:hanging="1252"/>
        <w:spacing w:after="0" w:line="250"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Capitala Finance Corp.’s registration statement on Form N-2 (File No. 333-193374) filed on May 21, 2014.</w:t>
      </w:r>
    </w:p>
    <w:p>
      <w:pPr>
        <w:ind w:left="1260" w:hanging="1252"/>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Capitala Finance Corp.’s report on Form 8-K filed on October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8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2014</w:t>
            </w:r>
          </w:p>
        </w:tc>
        <w:tc>
          <w:tcPr>
            <w:tcW w:w="76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By/s/ Joseph B. Alala III</w:t>
            </w:r>
          </w:p>
        </w:tc>
      </w:tr>
      <w:tr>
        <w:trPr>
          <w:trHeight w:val="191"/>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Joseph B. Alala III</w:t>
            </w:r>
          </w:p>
        </w:tc>
      </w:tr>
      <w:tr>
        <w:trPr>
          <w:trHeight w:val="214"/>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8"/>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34"/>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2014</w:t>
            </w:r>
          </w:p>
        </w:tc>
        <w:tc>
          <w:tcPr>
            <w:tcW w:w="76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By/s/ Stephen A. Arnall</w:t>
            </w:r>
          </w:p>
        </w:tc>
      </w:tr>
      <w:tr>
        <w:trPr>
          <w:trHeight w:val="191"/>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A. Arnall</w:t>
            </w:r>
          </w:p>
        </w:tc>
      </w:tr>
      <w:tr>
        <w:trPr>
          <w:trHeight w:val="214"/>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8"/>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234"/>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r>
      <w:tr>
        <w:trPr>
          <w:trHeight w:val="648"/>
        </w:trPr>
        <w:tc>
          <w:tcPr>
            <w:tcW w:w="3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B. Alala III, certify that:</w:t>
      </w:r>
    </w:p>
    <w:p>
      <w:pPr>
        <w:spacing w:after="0" w:line="225" w:lineRule="exact"/>
        <w:rPr>
          <w:sz w:val="20"/>
          <w:szCs w:val="20"/>
          <w:color w:val="auto"/>
        </w:rPr>
      </w:pPr>
    </w:p>
    <w:p>
      <w:pPr>
        <w:ind w:left="580" w:hanging="572"/>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Capitala Finance Corp.;</w:t>
      </w:r>
    </w:p>
    <w:p>
      <w:pPr>
        <w:spacing w:after="0" w:line="225" w:lineRule="exact"/>
        <w:rPr>
          <w:rFonts w:ascii="Times New Roman" w:cs="Times New Roman" w:eastAsia="Times New Roman" w:hAnsi="Times New Roman"/>
          <w:sz w:val="18"/>
          <w:szCs w:val="18"/>
          <w:color w:val="auto"/>
        </w:rPr>
      </w:pPr>
    </w:p>
    <w:p>
      <w:pPr>
        <w:jc w:val="both"/>
        <w:ind w:left="580" w:right="360" w:hanging="572"/>
        <w:spacing w:after="0" w:line="266"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20" w:hanging="572"/>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360" w:hanging="572"/>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720" w:right="580" w:hanging="564"/>
        <w:spacing w:after="0" w:line="266" w:lineRule="auto"/>
        <w:tabs>
          <w:tab w:leader="none" w:pos="17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720" w:hanging="564"/>
        <w:spacing w:after="0" w:line="266" w:lineRule="auto"/>
        <w:tabs>
          <w:tab w:leader="none" w:pos="17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720" w:right="360" w:hanging="564"/>
        <w:spacing w:after="0" w:line="266" w:lineRule="auto"/>
        <w:tabs>
          <w:tab w:leader="none" w:pos="17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60" w:hanging="572"/>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20" w:right="220" w:hanging="564"/>
        <w:spacing w:after="0" w:line="282" w:lineRule="auto"/>
        <w:tabs>
          <w:tab w:leader="none" w:pos="17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20" w:hanging="564"/>
        <w:spacing w:after="0" w:line="282" w:lineRule="auto"/>
        <w:tabs>
          <w:tab w:leader="none" w:pos="17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2014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Joseph B. Alala III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Arnall, certify that:</w:t>
      </w:r>
    </w:p>
    <w:p>
      <w:pPr>
        <w:spacing w:after="0" w:line="225" w:lineRule="exact"/>
        <w:rPr>
          <w:sz w:val="20"/>
          <w:szCs w:val="20"/>
          <w:color w:val="auto"/>
        </w:rPr>
      </w:pPr>
    </w:p>
    <w:p>
      <w:pPr>
        <w:ind w:left="580" w:hanging="572"/>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Capitala Finance Corp.;</w:t>
      </w:r>
    </w:p>
    <w:p>
      <w:pPr>
        <w:spacing w:after="0" w:line="225" w:lineRule="exact"/>
        <w:rPr>
          <w:rFonts w:ascii="Times New Roman" w:cs="Times New Roman" w:eastAsia="Times New Roman" w:hAnsi="Times New Roman"/>
          <w:sz w:val="18"/>
          <w:szCs w:val="18"/>
          <w:color w:val="auto"/>
        </w:rPr>
      </w:pPr>
    </w:p>
    <w:p>
      <w:pPr>
        <w:jc w:val="both"/>
        <w:ind w:left="580" w:right="360" w:hanging="572"/>
        <w:spacing w:after="0" w:line="266"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20" w:hanging="572"/>
        <w:spacing w:after="0" w:line="282"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360" w:hanging="572"/>
        <w:spacing w:after="0" w:line="282"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720" w:right="580" w:hanging="564"/>
        <w:spacing w:after="0" w:line="266" w:lineRule="auto"/>
        <w:tabs>
          <w:tab w:leader="none" w:pos="1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720" w:hanging="564"/>
        <w:spacing w:after="0" w:line="266" w:lineRule="auto"/>
        <w:tabs>
          <w:tab w:leader="none" w:pos="1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720" w:right="360" w:hanging="564"/>
        <w:spacing w:after="0" w:line="266" w:lineRule="auto"/>
        <w:tabs>
          <w:tab w:leader="none" w:pos="1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60" w:hanging="572"/>
        <w:spacing w:after="0" w:line="282"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20" w:right="220" w:hanging="564"/>
        <w:spacing w:after="0" w:line="282" w:lineRule="auto"/>
        <w:tabs>
          <w:tab w:leader="none" w:pos="1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20" w:right="500" w:hanging="564"/>
        <w:spacing w:after="0" w:line="282" w:lineRule="auto"/>
        <w:tabs>
          <w:tab w:leader="none" w:pos="1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2014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Stephen A. Arnall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 Joseph B. Alala III, Chief Executive Officer, in connection with the Quarterly Report of Capitala Finance Corp. (the “Company”) on Form 10-Q for the quarterly period ended September 30, 2014, as filed with the U.S. Securities and Exchange Commission on the date hereof (the “Quarterly Report”), certify, pursuant to Section 906 of the Sarbanes-Oxley Act of 2002, that:</w:t>
      </w:r>
    </w:p>
    <w:p>
      <w:pPr>
        <w:spacing w:after="0" w:line="176" w:lineRule="exact"/>
        <w:rPr>
          <w:sz w:val="20"/>
          <w:szCs w:val="20"/>
          <w:color w:val="auto"/>
        </w:rPr>
      </w:pPr>
    </w:p>
    <w:p>
      <w:pPr>
        <w:ind w:left="1720" w:right="500" w:hanging="564"/>
        <w:spacing w:after="0" w:line="282" w:lineRule="auto"/>
        <w:tabs>
          <w:tab w:leader="none" w:pos="1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720" w:right="540" w:hanging="564"/>
        <w:spacing w:after="0" w:line="282" w:lineRule="auto"/>
        <w:tabs>
          <w:tab w:leader="none" w:pos="1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2014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Joseph B. Alala III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 Stephen A. Arnall, Chief Financial Officer, in connection with the Quarterly Report of Capitala Finance Corp. (the “Company”) on Form 10-Q for the quarterly period ended September 30, 2014, as filed with the U.S. Securities and Exchange Commission on the date hereof (the “Quarterly Report”), certify, pursuant to Section 906 of the Sarbanes-Oxley Act of 2002, that:</w:t>
      </w:r>
    </w:p>
    <w:p>
      <w:pPr>
        <w:spacing w:after="0" w:line="176" w:lineRule="exact"/>
        <w:rPr>
          <w:sz w:val="20"/>
          <w:szCs w:val="20"/>
          <w:color w:val="auto"/>
        </w:rPr>
      </w:pPr>
    </w:p>
    <w:p>
      <w:pPr>
        <w:ind w:left="1720" w:right="500" w:hanging="564"/>
        <w:spacing w:after="0" w:line="282" w:lineRule="auto"/>
        <w:tabs>
          <w:tab w:leader="none" w:pos="1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720" w:hanging="564"/>
        <w:spacing w:after="0" w:line="282" w:lineRule="auto"/>
        <w:tabs>
          <w:tab w:leader="none" w:pos="1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2014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Stephen A. Arnall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upperLetter"/>
      <w:start w:val="6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upperLetter"/>
      <w:start w:val="35"/>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decimal"/>
      <w:start w:val="1"/>
    </w:lvl>
    <w:lvl w:ilvl="1">
      <w:lvlJc w:val="left"/>
      <w:lvlText w:val="(%2)"/>
      <w:numFmt w:val="decimal"/>
      <w:start w:val="1"/>
    </w:lvl>
  </w:abstractNum>
  <w:abstractNum w:abstractNumId="19">
    <w:nsid w:val="721DA317"/>
    <w:multiLevelType w:val="hybridMultilevel"/>
    <w:lvl w:ilvl="0">
      <w:lvlJc w:val="left"/>
      <w:lvlText w:val="(%1)"/>
      <w:numFmt w:val="decimal"/>
      <w:start w:val="2"/>
    </w:lvl>
    <w:lvl w:ilvl="1">
      <w:lvlJc w:val="left"/>
      <w:lvlText w:val="%2"/>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2019-12-08T06:29:34Z</dcterms:created>
  <dcterms:modified xsi:type="dcterms:W3CDTF">2019-12-08T06:29:34Z</dcterms:modified>
</cp:coreProperties>
</file>