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360680</wp:posOffset>
            </wp:positionV>
            <wp:extent cx="4219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40" w:right="5359" w:hanging="685"/>
        <w:spacing w:after="0" w:line="313" w:lineRule="auto"/>
        <w:tabs>
          <w:tab w:leader="none" w:pos="11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ind w:left="2020"/>
              <w:spacing w:after="0"/>
              <w:rPr>
                <w:sz w:val="20"/>
                <w:szCs w:val="20"/>
                <w:color w:val="auto"/>
              </w:rPr>
            </w:pPr>
            <w:r>
              <w:rPr>
                <w:rFonts w:ascii="Arial" w:cs="Arial" w:eastAsia="Arial" w:hAnsi="Arial"/>
                <w:sz w:val="18"/>
                <w:szCs w:val="18"/>
                <w:b w:val="1"/>
                <w:bCs w:val="1"/>
                <w:color w:val="auto"/>
              </w:rPr>
              <w:t>For the Fiscal Year Ended December 31, 2015</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72"/>
              </w:rPr>
              <w:t>o</w:t>
            </w:r>
          </w:p>
        </w:tc>
        <w:tc>
          <w:tcPr>
            <w:tcW w:w="60" w:type="dxa"/>
            <w:vAlign w:val="bottom"/>
          </w:tcPr>
          <w:p>
            <w:pPr>
              <w:spacing w:after="0"/>
              <w:rPr>
                <w:sz w:val="24"/>
                <w:szCs w:val="24"/>
                <w:color w:val="auto"/>
              </w:rPr>
            </w:pPr>
          </w:p>
        </w:tc>
        <w:tc>
          <w:tcPr>
            <w:tcW w:w="7080" w:type="dxa"/>
            <w:vAlign w:val="bottom"/>
            <w:gridSpan w:val="3"/>
          </w:tcPr>
          <w:p>
            <w:pPr>
              <w:ind w:left="100"/>
              <w:spacing w:after="0"/>
              <w:rPr>
                <w:sz w:val="20"/>
                <w:szCs w:val="20"/>
                <w:color w:val="auto"/>
              </w:rPr>
            </w:pPr>
            <w:r>
              <w:rPr>
                <w:rFonts w:ascii="Arial" w:cs="Arial" w:eastAsia="Arial" w:hAnsi="Arial"/>
                <w:sz w:val="18"/>
                <w:szCs w:val="18"/>
                <w:b w:val="1"/>
                <w:bCs w:val="1"/>
                <w:color w:val="auto"/>
              </w:rPr>
              <w:t>Transition Report Pursuant to Section 13 or 15(d)</w:t>
            </w: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ind w:left="100"/>
              <w:spacing w:after="0"/>
              <w:rPr>
                <w:sz w:val="20"/>
                <w:szCs w:val="20"/>
                <w:color w:val="auto"/>
              </w:rPr>
            </w:pPr>
            <w:r>
              <w:rPr>
                <w:rFonts w:ascii="Arial" w:cs="Arial" w:eastAsia="Arial" w:hAnsi="Arial"/>
                <w:sz w:val="18"/>
                <w:szCs w:val="18"/>
                <w:b w:val="1"/>
                <w:bCs w:val="1"/>
                <w:color w:val="auto"/>
              </w:rPr>
              <w:t>of the Securities Exchange Act of 1934</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60" w:type="dxa"/>
            <w:vAlign w:val="bottom"/>
          </w:tcPr>
          <w:p>
            <w:pPr>
              <w:spacing w:after="0"/>
              <w:rPr>
                <w:sz w:val="24"/>
                <w:szCs w:val="24"/>
                <w:color w:val="auto"/>
              </w:rPr>
            </w:pPr>
          </w:p>
        </w:tc>
        <w:tc>
          <w:tcPr>
            <w:tcW w:w="7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Exact name of registrant as specified in its charter, address of principal executive</w:t>
            </w:r>
          </w:p>
        </w:tc>
        <w:tc>
          <w:tcPr>
            <w:tcW w:w="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I.R.S. Employer</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File Number</w:t>
            </w:r>
          </w:p>
        </w:tc>
        <w:tc>
          <w:tcPr>
            <w:tcW w:w="60" w:type="dxa"/>
            <w:vAlign w:val="bottom"/>
          </w:tcPr>
          <w:p>
            <w:pPr>
              <w:spacing w:after="0"/>
              <w:rPr>
                <w:sz w:val="14"/>
                <w:szCs w:val="14"/>
                <w:color w:val="auto"/>
              </w:rPr>
            </w:pPr>
          </w:p>
        </w:tc>
        <w:tc>
          <w:tcPr>
            <w:tcW w:w="7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office, telephone number and state or other jurisdiction of incorporation or organization</w:t>
            </w:r>
          </w:p>
        </w:tc>
        <w:tc>
          <w:tcPr>
            <w:tcW w:w="4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28"/>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60" w:type="dxa"/>
            <w:vAlign w:val="bottom"/>
          </w:tcPr>
          <w:p>
            <w:pPr>
              <w:spacing w:after="0"/>
              <w:rPr>
                <w:sz w:val="19"/>
                <w:szCs w:val="19"/>
                <w:color w:val="auto"/>
              </w:rPr>
            </w:pPr>
          </w:p>
        </w:tc>
        <w:tc>
          <w:tcPr>
            <w:tcW w:w="7080" w:type="dxa"/>
            <w:vAlign w:val="bottom"/>
            <w:gridSpan w:val="3"/>
            <w:vMerge w:val="restart"/>
          </w:tcPr>
          <w:p>
            <w:pPr>
              <w:jc w:val="center"/>
              <w:spacing w:after="0" w:line="339" w:lineRule="exact"/>
              <w:rPr>
                <w:sz w:val="20"/>
                <w:szCs w:val="20"/>
                <w:color w:val="auto"/>
              </w:rPr>
            </w:pPr>
            <w:r>
              <w:rPr>
                <w:rFonts w:ascii="Arial" w:cs="Arial" w:eastAsia="Arial" w:hAnsi="Arial"/>
                <w:sz w:val="32"/>
                <w:szCs w:val="32"/>
                <w:b w:val="1"/>
                <w:bCs w:val="1"/>
                <w:color w:val="auto"/>
                <w:w w:val="93"/>
              </w:rPr>
              <w:t>Capitala Finance Corp.</w:t>
            </w:r>
          </w:p>
        </w:tc>
        <w:tc>
          <w:tcPr>
            <w:tcW w:w="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90-0945675</w:t>
            </w:r>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4201 Congress St., Suite 360</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Charlotte, North Carolina, 28209</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Telephone: (704) 376-5502</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State of Incorporation: Maryland</w:t>
            </w: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-1748790</wp:posOffset>
            </wp:positionV>
            <wp:extent cx="4219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1957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610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column">
              <wp:posOffset>2270125</wp:posOffset>
            </wp:positionH>
            <wp:positionV relativeFrom="paragraph">
              <wp:posOffset>188595</wp:posOffset>
            </wp:positionV>
            <wp:extent cx="15436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209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4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1"/>
        </w:trPr>
        <w:tc>
          <w:tcPr>
            <w:tcW w:w="4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40" w:type="dxa"/>
            <w:vAlign w:val="bottom"/>
          </w:tcPr>
          <w:p>
            <w:pPr>
              <w:spacing w:after="0"/>
              <w:rPr>
                <w:sz w:val="16"/>
                <w:szCs w:val="16"/>
                <w:color w:val="auto"/>
              </w:rPr>
            </w:pPr>
          </w:p>
        </w:tc>
        <w:tc>
          <w:tcPr>
            <w:tcW w:w="48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Global Select Market</w:t>
            </w:r>
          </w:p>
        </w:tc>
      </w:tr>
      <w:tr>
        <w:trPr>
          <w:trHeight w:val="234"/>
        </w:trPr>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89"/>
              </w:rPr>
              <w:t>7.125% Notes due 2021</w:t>
            </w:r>
          </w:p>
        </w:tc>
        <w:tc>
          <w:tcPr>
            <w:tcW w:w="4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90"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jc w:val="both"/>
        <w:ind w:left="60" w:right="599" w:firstLine="270"/>
        <w:spacing w:after="0" w:line="27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3"/>
          <w:szCs w:val="13"/>
          <w:color w:val="auto"/>
        </w:rPr>
        <w:t>No o</w:t>
      </w:r>
    </w:p>
    <w:p>
      <w:pPr>
        <w:spacing w:after="0" w:line="109" w:lineRule="exact"/>
        <w:rPr>
          <w:sz w:val="24"/>
          <w:szCs w:val="24"/>
          <w:color w:val="auto"/>
        </w:rPr>
      </w:pPr>
    </w:p>
    <w:p>
      <w:pPr>
        <w:ind w:left="60" w:right="679" w:firstLine="270"/>
        <w:spacing w:after="0" w:line="27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o</w:t>
      </w:r>
    </w:p>
    <w:p>
      <w:pPr>
        <w:spacing w:after="0" w:line="109" w:lineRule="exact"/>
        <w:rPr>
          <w:sz w:val="24"/>
          <w:szCs w:val="24"/>
          <w:color w:val="auto"/>
        </w:rPr>
      </w:pPr>
    </w:p>
    <w:p>
      <w:pPr>
        <w:jc w:val="both"/>
        <w:ind w:left="60" w:right="519" w:firstLine="270"/>
        <w:spacing w:after="0" w:line="277"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831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30" w:lineRule="exact"/>
        <w:rPr>
          <w:sz w:val="24"/>
          <w:szCs w:val="24"/>
          <w:color w:val="auto"/>
        </w:rPr>
      </w:pPr>
    </w:p>
    <w:p>
      <w:pPr>
        <w:ind w:left="7780"/>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ind w:left="60" w:right="779" w:firstLine="270"/>
        <w:spacing w:after="0" w:line="33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-28575</wp:posOffset>
            </wp:positionV>
            <wp:extent cx="5831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ectPr>
          <w:pgSz w:w="11900" w:h="16838" w:orient="portrait"/>
          <w:cols w:equalWidth="0" w:num="1">
            <w:col w:w="10099"/>
          </w:cols>
          <w:pgMar w:left="360" w:top="1440" w:right="1440" w:bottom="23" w:gutter="0" w:footer="0" w:header="0"/>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 o</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Accelerated filer x</w:t>
      </w:r>
    </w:p>
    <w:p>
      <w:pPr>
        <w:spacing w:after="0"/>
        <w:rPr>
          <w:sz w:val="20"/>
          <w:szCs w:val="20"/>
          <w:color w:val="auto"/>
        </w:rPr>
      </w:pPr>
      <w:r>
        <w:rPr>
          <w:rFonts w:ascii="Arial" w:cs="Arial" w:eastAsia="Arial" w:hAnsi="Arial"/>
          <w:sz w:val="13"/>
          <w:szCs w:val="13"/>
          <w:color w:val="auto"/>
        </w:rPr>
        <w:t>Smaller reporting company o</w:t>
      </w:r>
    </w:p>
    <w:p>
      <w:pPr>
        <w:spacing w:after="0" w:line="109" w:lineRule="exact"/>
        <w:rPr>
          <w:sz w:val="24"/>
          <w:szCs w:val="24"/>
          <w:color w:val="auto"/>
        </w:rPr>
      </w:pPr>
    </w:p>
    <w:p>
      <w:pPr>
        <w:sectPr>
          <w:pgSz w:w="11900" w:h="16838" w:orient="portrait"/>
          <w:cols w:equalWidth="0" w:num="2">
            <w:col w:w="3980" w:space="720"/>
            <w:col w:w="5399"/>
          </w:cols>
          <w:pgMar w:left="360" w:top="1440" w:right="1440" w:bottom="23" w:gutter="0" w:footer="0" w:header="0"/>
          <w:type w:val="continuous"/>
        </w:sect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58318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76" w:lineRule="exact"/>
        <w:rPr>
          <w:sz w:val="24"/>
          <w:szCs w:val="24"/>
          <w:color w:val="auto"/>
        </w:rPr>
      </w:pPr>
    </w:p>
    <w:p>
      <w:pPr>
        <w:ind w:left="7640"/>
        <w:spacing w:after="0"/>
        <w:tabs>
          <w:tab w:leader="none" w:pos="8420" w:val="left"/>
        </w:tabs>
        <w:rPr>
          <w:sz w:val="20"/>
          <w:szCs w:val="20"/>
          <w:color w:val="auto"/>
        </w:rPr>
      </w:pP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09" w:lineRule="exact"/>
        <w:rPr>
          <w:sz w:val="24"/>
          <w:szCs w:val="24"/>
          <w:color w:val="auto"/>
        </w:rPr>
      </w:pPr>
    </w:p>
    <w:p>
      <w:pPr>
        <w:ind w:left="60" w:right="519" w:firstLine="270"/>
        <w:spacing w:after="0" w:line="27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$234.6 million based on the number of shares held by non-affiliates of the registrant as of June 30, 2015, which was the last business day of the registrant’s most recently completed second fiscal quarter. For the purposes of calculating this amount only, all directors and executive officers of the registrant have been treated as affiliates.</w:t>
      </w:r>
    </w:p>
    <w:p>
      <w:pPr>
        <w:spacing w:after="0" w:line="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Capitala Finance Corp.’s common stock, $0.01 par value, outstanding as of March 7, 2016 was 15,792,556.</w:t>
      </w:r>
    </w:p>
    <w:p>
      <w:pPr>
        <w:spacing w:after="0" w:line="218"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0099"/>
          </w:cols>
          <w:pgMar w:left="360" w:top="1440" w:right="1440" w:bottom="23" w:gutter="0" w:footer="0" w:header="0"/>
          <w:type w:val="continuous"/>
        </w:sectPr>
      </w:pPr>
    </w:p>
    <w:bookmarkStart w:id="1" w:name="page2"/>
    <w:bookmarkEnd w:id="1"/>
    <w:p>
      <w:pPr>
        <w:ind w:right="719" w:firstLine="270"/>
        <w:spacing w:after="0" w:line="277"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pursuant to Regulation 14A relating to the registrant’s 2016 Annual Meeting of Stockholders, to be filed with the Securities and Exchange Commission within 120 days following the end of the Company’s fiscal year, are incorporated by reference in Part III of this Annual Report on Form 10-K as indicated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768350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18415</wp:posOffset>
            </wp:positionV>
            <wp:extent cx="6071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43815</wp:posOffset>
            </wp:positionV>
            <wp:extent cx="6071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39"/>
          </w:cols>
          <w:pgMar w:left="420" w:top="188" w:right="1440"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1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PART 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Item 1A.</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Item 1B.</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Unresolved Staff Comments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2.</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Properties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3.</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Item 4.</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20" w:type="dxa"/>
            <w:vAlign w:val="bottom"/>
            <w:gridSpan w:val="8"/>
          </w:tcPr>
          <w:p>
            <w:pPr>
              <w:ind w:left="20"/>
              <w:spacing w:after="0"/>
              <w:rPr>
                <w:sz w:val="20"/>
                <w:szCs w:val="20"/>
                <w:color w:val="auto"/>
              </w:rPr>
            </w:pPr>
            <w:r>
              <w:rPr>
                <w:rFonts w:ascii="Arial" w:cs="Arial" w:eastAsia="Arial" w:hAnsi="Arial"/>
                <w:sz w:val="18"/>
                <w:szCs w:val="18"/>
                <w:color w:val="auto"/>
              </w:rPr>
              <w:t>PART II</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Item 5.</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Market for Registrant’s Common Equity, Related Stockholder Matters and Issuer</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0000EE"/>
            </w:tcBorders>
            <w:gridSpan w:val="24"/>
            <w:shd w:val="clear" w:color="auto" w:fill="CCEEFF"/>
          </w:tcPr>
          <w:p>
            <w:pPr>
              <w:ind w:left="18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Purchases of Equity Securities</w:t>
              </w:r>
            </w:hyperlink>
          </w:p>
        </w:tc>
        <w:tc>
          <w:tcPr>
            <w:tcW w:w="7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6.</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Selected Consolidated Financial Data</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Item 7.</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Management’s Discussion and Analysis of Financial Condition and Results of</w:t>
              </w:r>
            </w:hyperlink>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EE"/>
            </w:tcBorders>
            <w:gridSpan w:val="21"/>
            <w:shd w:val="clear" w:color="auto" w:fill="CCEEFF"/>
          </w:tcPr>
          <w:p>
            <w:pPr>
              <w:ind w:left="18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Operations</w:t>
              </w:r>
            </w:hyperlink>
          </w:p>
        </w:tc>
        <w:tc>
          <w:tcPr>
            <w:tcW w:w="960" w:type="dxa"/>
            <w:vAlign w:val="bottom"/>
            <w:tcBorders>
              <w:top w:val="single" w:sz="8" w:color="CCEEFF"/>
            </w:tcBorders>
            <w:gridSpan w:val="4"/>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Item 7A.</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Quantitative and Qualitative Disclosures about Market Risk</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Item 8.</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Financial Statements and Supplementary Data</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87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Item 9.</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Changes in and Disagreements with Accountants on Accounting and Financial</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60" w:type="dxa"/>
            <w:vAlign w:val="bottom"/>
            <w:tcBorders>
              <w:top w:val="single" w:sz="8" w:color="0000EE"/>
            </w:tcBorders>
            <w:gridSpan w:val="22"/>
          </w:tcPr>
          <w:p>
            <w:pPr>
              <w:ind w:left="18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Disclosure</w:t>
              </w:r>
            </w:hyperlink>
          </w:p>
        </w:tc>
        <w:tc>
          <w:tcPr>
            <w:tcW w:w="920" w:type="dxa"/>
            <w:vAlign w:val="bottom"/>
            <w:gridSpan w:val="3"/>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88</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2"/>
              </w:rPr>
            </w:pPr>
            <w:hyperlink w:anchor="page147">
              <w:r>
                <w:rPr>
                  <w:rFonts w:ascii="Arial" w:cs="Arial" w:eastAsia="Arial" w:hAnsi="Arial"/>
                  <w:sz w:val="18"/>
                  <w:szCs w:val="18"/>
                  <w:color w:val="0000EE"/>
                  <w:w w:val="92"/>
                </w:rPr>
                <w:t>Item 9A.</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88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2"/>
              </w:rPr>
            </w:pPr>
            <w:hyperlink w:anchor="page147">
              <w:r>
                <w:rPr>
                  <w:rFonts w:ascii="Arial" w:cs="Arial" w:eastAsia="Arial" w:hAnsi="Arial"/>
                  <w:sz w:val="18"/>
                  <w:szCs w:val="18"/>
                  <w:color w:val="0000EE"/>
                  <w:w w:val="92"/>
                </w:rPr>
                <w:t>Item 9B.</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Other Information</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88</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PART III</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Item 10.</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Directors, Executive Officers and Corporate Governance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89</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Item 11.</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Executive Compensation</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89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Item 12.</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Security Ownership of Certain Beneficial Owners and Management and Related</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23"/>
          </w:tcPr>
          <w:p>
            <w:pPr>
              <w:ind w:left="18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Stockholder Matters</w:t>
              </w:r>
            </w:hyperlink>
          </w:p>
        </w:tc>
        <w:tc>
          <w:tcPr>
            <w:tcW w:w="800" w:type="dxa"/>
            <w:vAlign w:val="bottom"/>
            <w:gridSpan w:val="2"/>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89</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ind w:left="360"/>
              <w:spacing w:after="0" w:line="17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Item 13.</w:t>
              </w:r>
            </w:hyperlink>
          </w:p>
        </w:tc>
        <w:tc>
          <w:tcPr>
            <w:tcW w:w="6660" w:type="dxa"/>
            <w:vAlign w:val="bottom"/>
            <w:gridSpan w:val="26"/>
            <w:shd w:val="clear" w:color="auto" w:fill="CCEEFF"/>
          </w:tcPr>
          <w:p>
            <w:pPr>
              <w:ind w:left="80"/>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Certain Relationships and Related Transactions, and Director Independence</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89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48">
              <w:r>
                <w:rPr>
                  <w:rFonts w:ascii="Arial" w:cs="Arial" w:eastAsia="Arial" w:hAnsi="Arial"/>
                  <w:sz w:val="18"/>
                  <w:szCs w:val="18"/>
                  <w:color w:val="0000EE"/>
                  <w:w w:val="95"/>
                </w:rPr>
                <w:t>Item 14.</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Principal Accountant Fees and Services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89</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02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PART IV</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1000" w:type="dxa"/>
            <w:vAlign w:val="bottom"/>
            <w:gridSpan w:val="7"/>
          </w:tcPr>
          <w:p>
            <w:pPr>
              <w:ind w:left="360"/>
              <w:spacing w:after="0" w:line="176" w:lineRule="exact"/>
              <w:rPr>
                <w:rFonts w:ascii="Arial" w:cs="Arial" w:eastAsia="Arial" w:hAnsi="Arial"/>
                <w:sz w:val="18"/>
                <w:szCs w:val="18"/>
                <w:color w:val="0000EE"/>
                <w:w w:val="95"/>
              </w:rPr>
            </w:pPr>
            <w:hyperlink w:anchor="page149">
              <w:r>
                <w:rPr>
                  <w:rFonts w:ascii="Arial" w:cs="Arial" w:eastAsia="Arial" w:hAnsi="Arial"/>
                  <w:sz w:val="18"/>
                  <w:szCs w:val="18"/>
                  <w:color w:val="0000EE"/>
                  <w:w w:val="95"/>
                </w:rPr>
                <w:t>Item 15.</w:t>
              </w:r>
            </w:hyperlink>
          </w:p>
        </w:tc>
        <w:tc>
          <w:tcPr>
            <w:tcW w:w="6660" w:type="dxa"/>
            <w:vAlign w:val="bottom"/>
            <w:gridSpan w:val="26"/>
          </w:tcPr>
          <w:p>
            <w:pPr>
              <w:ind w:left="80"/>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Exhibits and Consolidated Financial Statement Schedules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90</w:t>
              </w:r>
            </w:hyperlink>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0" w:type="dxa"/>
            <w:vAlign w:val="bottom"/>
            <w:gridSpan w:val="8"/>
            <w:shd w:val="clear" w:color="auto" w:fill="CCEEFF"/>
          </w:tcPr>
          <w:p>
            <w:pPr>
              <w:ind w:left="20"/>
              <w:spacing w:after="0" w:line="176" w:lineRule="exact"/>
              <w:rPr>
                <w:rFonts w:ascii="Arial" w:cs="Arial" w:eastAsia="Arial" w:hAnsi="Arial"/>
                <w:sz w:val="18"/>
                <w:szCs w:val="18"/>
                <w:color w:val="0000EE"/>
              </w:rPr>
            </w:pPr>
            <w:hyperlink w:anchor="page152">
              <w:r>
                <w:rPr>
                  <w:rFonts w:ascii="Arial" w:cs="Arial" w:eastAsia="Arial" w:hAnsi="Arial"/>
                  <w:sz w:val="18"/>
                  <w:szCs w:val="18"/>
                  <w:color w:val="0000EE"/>
                </w:rPr>
                <w:t>Signatures</w:t>
              </w:r>
            </w:hyperlink>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52">
              <w:r>
                <w:rPr>
                  <w:rFonts w:ascii="Arial" w:cs="Arial" w:eastAsia="Arial" w:hAnsi="Arial"/>
                  <w:sz w:val="18"/>
                  <w:szCs w:val="18"/>
                  <w:color w:val="0000EE"/>
                </w:rPr>
                <w:t>93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-4192905</wp:posOffset>
            </wp:positionV>
            <wp:extent cx="52139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this annual report on Form 10-K, except as otherwise indicated, the terms:</w:t>
      </w:r>
    </w:p>
    <w:p>
      <w:pPr>
        <w:spacing w:after="0" w:line="117" w:lineRule="exact"/>
        <w:rPr>
          <w:sz w:val="20"/>
          <w:szCs w:val="20"/>
          <w:color w:val="auto"/>
        </w:rPr>
      </w:pPr>
    </w:p>
    <w:p>
      <w:pPr>
        <w:ind w:left="600" w:right="143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“us,” “our,” “Capitala Finance” and the “Company” refer to Capitala Finance Corp., together with its consolidated subsidiaries;</w:t>
      </w:r>
    </w:p>
    <w:p>
      <w:pPr>
        <w:spacing w:after="0" w:line="62" w:lineRule="exact"/>
        <w:rPr>
          <w:rFonts w:ascii="Arial" w:cs="Arial" w:eastAsia="Arial" w:hAnsi="Arial"/>
          <w:sz w:val="18"/>
          <w:szCs w:val="18"/>
          <w:color w:val="auto"/>
        </w:rPr>
      </w:pPr>
    </w:p>
    <w:p>
      <w:pPr>
        <w:ind w:left="600" w:right="1319" w:hanging="32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“Investment Advisor” and “Capitala Investment Advisors” refers to Capitala Investment Advisors, LLC, our investment adviser;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The “Administrator” refers to Capitala Advisors Corp., our administrator.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FORMATION OF OUR COMPANY</w:t>
      </w:r>
    </w:p>
    <w:p>
      <w:pPr>
        <w:spacing w:after="0" w:line="121"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We are an externally managed non-diversified closed-end management investment company incorporated in Maryland that has elected to be regulated as a business development company (“BDC”) under the Investment Company Act of 1940, as amended (the “1940 Act”). We commenced operations on May 24, 2013 and completed our initial public offering (“IPO”) on September 30, 2013. The Company is managed by the Investment Advisor, an investment adviser that is registered as an investment adviser under the Investment Advisers Act of 1940, as amended (the “Advisers Act”), and the Administrator provides the administrative services necessary for us to operate. For U.S. federal income tax purposes, the Company has elected to be treated, and intends to comply with the requirements to continue to qualify annually, as a regulated investment company (“RIC”) under Subchapter M of the Internal Revenue Code of 1986, as amended (the “Code”). We are an “emerging growth company” within the meaning of the Jumpstart Our Business Startups Act of 2012 (the “JOBS Act”), and as such are subject to reduced public company reporting requirements.</w:t>
      </w:r>
    </w:p>
    <w:p>
      <w:pPr>
        <w:spacing w:after="0" w:line="70"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smaller and lower middle-market companies.</w:t>
      </w:r>
    </w:p>
    <w:p>
      <w:pPr>
        <w:spacing w:after="0" w:line="70"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in mezzanine and senior debt investments that are secured by subordinated liens on all or a portion of our borrower’s assets and, to a lesser extent, in senior, cash flow-based “unitranche” securities. Many of our debt investments are coupled with equity interests, whether in the form of detachable “penny” warrants or equity co-investments made pari-passu with our borrower’s financial sponsors.</w:t>
      </w:r>
    </w:p>
    <w:p>
      <w:pPr>
        <w:spacing w:after="0" w:line="71"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commissions, and other offering expenses totaling $5.75 million.</w:t>
      </w:r>
    </w:p>
    <w:p>
      <w:pPr>
        <w:spacing w:after="0" w:line="200" w:lineRule="exact"/>
        <w:rPr>
          <w:sz w:val="20"/>
          <w:szCs w:val="20"/>
          <w:color w:val="auto"/>
        </w:rPr>
      </w:pPr>
    </w:p>
    <w:p>
      <w:pPr>
        <w:spacing w:after="0" w:line="30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INVESTMENT STRATEGY</w:t>
      </w:r>
    </w:p>
    <w:p>
      <w:pPr>
        <w:spacing w:after="0" w:line="121"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Our investment objective is to generate both current income and capital appreciation through debt and equity investments. We expect the companies in which we invest will generally have between $5 million and $30 million in trailing twelve month earnings before interest, tax, depreciation and amortization (“EBITDA”). We believe our focus on mezzanine and senior subordinated loans enables us to receive higher interest rates and more substantial equity participation. We may also invest in first-lien, senior secured positions in “stretch” senior secured loans, also referred to as “unitranche” loans, which combine characteristics of traditional first-lien senior secured loans and subordinated loans, providing us with greater influence and security in the primary collateral of a borrower and potentially mitigating loss of principal should a borrower default. In addition to debt securities, we may acquire equity or detachable equity-related interests (including warrants) from a borrower. Typically, the debt in which we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We intend to target investments that mature in four to six years from our investment.</w:t>
      </w:r>
    </w:p>
    <w:p>
      <w:pPr>
        <w:spacing w:after="0" w:line="72" w:lineRule="exact"/>
        <w:rPr>
          <w:sz w:val="20"/>
          <w:szCs w:val="20"/>
          <w:color w:val="auto"/>
        </w:rPr>
      </w:pPr>
    </w:p>
    <w:p>
      <w:pPr>
        <w:ind w:left="40" w:right="619" w:firstLine="270"/>
        <w:spacing w:after="0" w:line="289" w:lineRule="auto"/>
        <w:rPr>
          <w:sz w:val="20"/>
          <w:szCs w:val="20"/>
          <w:color w:val="auto"/>
        </w:rPr>
      </w:pPr>
      <w:r>
        <w:rPr>
          <w:rFonts w:ascii="Arial" w:cs="Arial" w:eastAsia="Arial" w:hAnsi="Arial"/>
          <w:sz w:val="16"/>
          <w:szCs w:val="16"/>
          <w:color w:val="auto"/>
        </w:rPr>
        <w:t>We typically will not limit our loan commitments to a percentage of a traditional borrowing base, although we attempt to protect against risk of loss on our debt investments by structuring, underwriting and pricing loans based on anticipated cash flows of our borrowers. As of December 31, 2015, our Investment Advisor underwrote investments in 114 lower middle-market and traditional middle-market companies totaling more than $980 million of invested capital since 2000, and we believe that a continuation of this strategy allows us to make structured investments with more attractive pricing and greater opportunities for meaningful equity participation than traditional asset-based, senior secured loans. Further, we believe that we benefit from our Investment Advisor’s long-standing relationships with many private equity fund sponsors, whose participation in portfolio companies, we believe, makes repayment from refinancing, asset sales and/or sales of the borrowers themselves more likely than a strategy whereby we consider investments only in founder-owned or non-sponsored borrowers.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INVESTMENT ADVISOR</w:t>
      </w:r>
    </w:p>
    <w:p>
      <w:pPr>
        <w:spacing w:after="0" w:line="121"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We are managed by the Investment Advisor, whose investment team members have significant and diverse experience financing, advising, operating and investing in smaller and lower middle-market companies. Moreover, our Investment Advisor’s investment team has refined its investment strategy by sourcing, reviewing, acquiring and monitoring 114 portfolio companies totaling more than $980 million of invested capital from 2000 through December 31, 2015. The Investment Advisor’s investment team also manages CapitalSouth Partners SBIC Fund IV, L.P. (“Fund IV”), a private investment limited partnership providing financing solutions to companies that generate between $5 million and $50 million in annual revenues and have between $1 million and $5 million in annual EBITDA. Fund IV had its first closing in March 2013 and obtained SBA approval for its SBIC license in April 2013. In addition to Fund IV, affiliates of the Investment Advisor manage several affiliated funds. We will not co-invest in transactions with other entities affiliated with the Investment Advisor unless we obtain an exemptive order from the SEC, for which we have applied, or do so in accordance with existing regulatory guidance. We do not expect to make co-investments, or otherwise compete for investment opportunities, with Fund IV because its focus and investment strategy differ from our own.</w:t>
      </w:r>
    </w:p>
    <w:p>
      <w:pPr>
        <w:spacing w:after="0" w:line="65"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Our Investment Advisor is led by Joseph B. Alala, III, our chief executive officer, president, chairman of our Board of Directors (the “Board”), and the managing partner and chief investment officer of our Investment Advisor, Hunt Broyhill, a partner of our Investment Advisor, Stephen A. Arnall, our chief financial officer, and John F. McGlinn, our chief operating officer, secretary and treasurer, and a director of our Investment Advisor. Messrs. Alala, Broyhill and McGlinn serve as our Investment Advisor’s investment committee. They are assisted by Christopher B. Norton, who serves as the chief risk officer and a director of our Investment Advisor, Michael S. Marr, Richard Wheelahan, Adam Richeson, and Davis Hutchens who each serve as directors of our Investment Advisor, as well as thirteen other investment professionals.</w:t>
      </w:r>
    </w:p>
    <w:p>
      <w:pPr>
        <w:spacing w:after="0" w:line="200" w:lineRule="exact"/>
        <w:rPr>
          <w:sz w:val="20"/>
          <w:szCs w:val="20"/>
          <w:color w:val="auto"/>
        </w:rPr>
      </w:pPr>
    </w:p>
    <w:p>
      <w:pPr>
        <w:spacing w:after="0" w:line="3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Our Investment Advisor’s investment committee, as well as certain key investment team members that are involved in screening and underwriting portfolio transactions, have worked together for more than ten years. These investment professionals have an average of over 20 years of experience in various finance-related fields, including operations, corporate finance, investment banking, business law and merchant banking, and have collectively developed a broad network of contacts that can offer us investment opportunities. Much of our Investment Advisor’s investment team has worked together screening opportunities, underwriting new investments and managing a portfolio of investments in smaller and lower middle-market companies through two recessions, a credit crunch, the dot-com boom and bust and a historic, leverage-fueled asset valuation bubble.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40" w:right="599" w:firstLine="270"/>
        <w:spacing w:after="0" w:line="253" w:lineRule="auto"/>
        <w:rPr>
          <w:sz w:val="20"/>
          <w:szCs w:val="20"/>
          <w:color w:val="auto"/>
        </w:rPr>
      </w:pPr>
      <w:r>
        <w:rPr>
          <w:rFonts w:ascii="Arial" w:cs="Arial" w:eastAsia="Arial" w:hAnsi="Arial"/>
          <w:sz w:val="18"/>
          <w:szCs w:val="18"/>
          <w:color w:val="auto"/>
        </w:rPr>
        <w:t>We will engage in various investment strategies from time to time in order to achieve our overall lending and investment objectives. Our strategies will generally require current cash yields and sensible leverage and fixed charge coverage ratios and either a first or second-lien position (subject to limited instances in which we will not obtain security) in the collateral of the portfolio company. The strategy we select will depend upon, among other things, market opportunities, the skills and experience of our Investment Advisor’s investment team, the result of our financial, operational and strategic evaluation of the opportunity, and our overall portfolio composition. Most of our existing debt investments offer, and we expect most of our future debt investments will offer, the opportunity to participate in a borrower’s equity performance through warrant participation, direct equity ownership or otherwise, and many notes that we purchase will require the borrower to pay an early termination fee. Collectively, these attributes have been, and are expected to be, important contributors to the returns generated by our Investment Advisor’s investment team.</w:t>
      </w:r>
    </w:p>
    <w:p>
      <w:pPr>
        <w:spacing w:after="0" w:line="87"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The Investment Advisor’s investment team uses a disciplined investment portfolio monitoring and risk management process that emphasizes strict underwriting standards and guidelines, strong due diligence investigation, regular portfolio review, analysis and performance-guided responses, and proper investment diversification. We allocate capital among different industries, geographies and private equity sponsors on the basis of relative risk/reward profiles as a function of their associated downside risk, volatility, perceived fundamental risk and our ability to obtain favorable investment protection terms.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Types of Investments</w:t>
      </w:r>
    </w:p>
    <w:p>
      <w:pPr>
        <w:spacing w:after="0" w:line="117"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We will target debt investments that yield meaningful current income and, in many cases, provide the opportunity for capital appreciation through equity securities. In each case, the following criteria and guidelines are applied to the review of a potential investment; however, not all criteria are met in every single investment in our portfolio, nor do we guarantee that all criteria will be met in the investments we will make in the future.</w:t>
      </w:r>
    </w:p>
    <w:p>
      <w:pPr>
        <w:spacing w:after="0" w:line="79" w:lineRule="exact"/>
        <w:rPr>
          <w:sz w:val="20"/>
          <w:szCs w:val="20"/>
          <w:color w:val="auto"/>
        </w:rPr>
      </w:pPr>
    </w:p>
    <w:p>
      <w:pPr>
        <w:ind w:left="600" w:right="599" w:hanging="322"/>
        <w:spacing w:after="0" w:line="259"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Companies With Positive Cash Flow. </w:t>
      </w:r>
      <w:r>
        <w:rPr>
          <w:rFonts w:ascii="Arial" w:cs="Arial" w:eastAsia="Arial" w:hAnsi="Arial"/>
          <w:sz w:val="18"/>
          <w:szCs w:val="18"/>
          <w:color w:val="auto"/>
        </w:rPr>
        <w:t>We seek to invest in established companies with a history of generating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and positive cash flows. We intend to focus on companies with a history of profitability and minimum trailing twelve-month EBITDA of $5 million. We do not intend to invest in start-up companies, distressed or “turn-around” situations or companies with business plans that we do not understand.</w:t>
      </w:r>
    </w:p>
    <w:p>
      <w:pPr>
        <w:spacing w:after="0" w:line="78" w:lineRule="exact"/>
        <w:rPr>
          <w:rFonts w:ascii="Arial" w:cs="Arial" w:eastAsia="Arial" w:hAnsi="Arial"/>
          <w:sz w:val="18"/>
          <w:szCs w:val="18"/>
          <w:color w:val="auto"/>
        </w:rPr>
      </w:pPr>
    </w:p>
    <w:p>
      <w:pPr>
        <w:ind w:left="600" w:right="799" w:hanging="322"/>
        <w:spacing w:after="0" w:line="259"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Teams with Meaningful Investment. </w:t>
      </w:r>
      <w:r>
        <w:rPr>
          <w:rFonts w:ascii="Arial" w:cs="Arial" w:eastAsia="Arial" w:hAnsi="Arial"/>
          <w:sz w:val="18"/>
          <w:szCs w:val="18"/>
          <w:color w:val="auto"/>
        </w:rPr>
        <w:t>We seek to invest in companies in which senior or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managers have significant company or industry-level experience and have significant equity ownership. It has been our experience that these management teams are more committed to the company’s success and more likely to manage the company in a manner that protects our debt and equity investments.</w:t>
      </w: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79" w:hanging="322"/>
        <w:spacing w:after="0" w:line="279"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Invested Capital. </w:t>
      </w:r>
      <w:r>
        <w:rPr>
          <w:rFonts w:ascii="Arial" w:cs="Arial" w:eastAsia="Arial" w:hAnsi="Arial"/>
          <w:sz w:val="17"/>
          <w:szCs w:val="17"/>
          <w:color w:val="auto"/>
        </w:rPr>
        <w:t>We believe that the existence of an appropriate amount of equity beneath our debt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provides valuable support for our investment. In addition, the degree to which the particular investment is a meaningful one for the portfolio company’s financial sponsor, and the financial sponsor’s ability and willingness to invest additional equity capital as and to the extent necessary, are also important considerations.</w:t>
      </w:r>
    </w:p>
    <w:p>
      <w:pPr>
        <w:spacing w:after="0" w:line="63" w:lineRule="exact"/>
        <w:rPr>
          <w:rFonts w:ascii="Arial" w:cs="Arial" w:eastAsia="Arial" w:hAnsi="Arial"/>
          <w:sz w:val="17"/>
          <w:szCs w:val="17"/>
          <w:color w:val="auto"/>
        </w:rPr>
      </w:pPr>
    </w:p>
    <w:p>
      <w:pPr>
        <w:jc w:val="both"/>
        <w:ind w:left="600" w:right="699" w:hanging="322"/>
        <w:spacing w:after="0" w:line="259"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Appropriate Capital Structures. </w:t>
      </w:r>
      <w:r>
        <w:rPr>
          <w:rFonts w:ascii="Arial" w:cs="Arial" w:eastAsia="Arial" w:hAnsi="Arial"/>
          <w:sz w:val="18"/>
          <w:szCs w:val="18"/>
          <w:color w:val="auto"/>
        </w:rPr>
        <w:t>We seek to invest in companies that are appropriately capitalized. First, we examine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equity that is being invested by the company’s private equity sponsor to determine whether there is a sufficient capital cushion beneath our invested capital. We also analyze the amount of leverage and the characteristics of senior debt with lien priority over our investment.</w:t>
      </w:r>
    </w:p>
    <w:p>
      <w:pPr>
        <w:spacing w:after="0" w:line="78" w:lineRule="exact"/>
        <w:rPr>
          <w:rFonts w:ascii="Arial" w:cs="Arial" w:eastAsia="Arial" w:hAnsi="Arial"/>
          <w:sz w:val="18"/>
          <w:szCs w:val="18"/>
          <w:color w:val="auto"/>
        </w:rPr>
      </w:pPr>
    </w:p>
    <w:p>
      <w:pPr>
        <w:ind w:left="600" w:right="579" w:hanging="322"/>
        <w:spacing w:after="0" w:line="276"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Competitive Position. </w:t>
      </w:r>
      <w:r>
        <w:rPr>
          <w:rFonts w:ascii="Arial" w:cs="Arial" w:eastAsia="Arial" w:hAnsi="Arial"/>
          <w:sz w:val="17"/>
          <w:szCs w:val="17"/>
          <w:color w:val="auto"/>
        </w:rPr>
        <w:t>We intend to invest in companies that have developed strong, defensible product or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offerings within their respective market segments. These companies should be well positioned to capitalize on organic and strategic growth opportunities, and should compete in industries with strong fundamentals and meaningful barriers to entry. We further analyze prospective portfolio investments in order to identify competitive advantages within their industry, which may result in superior operating margins or industry-leading growth.</w:t>
      </w:r>
    </w:p>
    <w:p>
      <w:pPr>
        <w:spacing w:after="0" w:line="64" w:lineRule="exact"/>
        <w:rPr>
          <w:rFonts w:ascii="Arial" w:cs="Arial" w:eastAsia="Arial" w:hAnsi="Arial"/>
          <w:sz w:val="17"/>
          <w:szCs w:val="17"/>
          <w:color w:val="auto"/>
        </w:rPr>
      </w:pPr>
    </w:p>
    <w:p>
      <w:pPr>
        <w:ind w:left="600" w:right="579" w:hanging="322"/>
        <w:spacing w:after="0" w:line="272"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and Supplier Diversification. </w:t>
      </w:r>
      <w:r>
        <w:rPr>
          <w:rFonts w:ascii="Arial" w:cs="Arial" w:eastAsia="Arial" w:hAnsi="Arial"/>
          <w:sz w:val="17"/>
          <w:szCs w:val="17"/>
          <w:color w:val="auto"/>
        </w:rPr>
        <w:t>We expect to invest in companies with sufficiently diverse customer and supplier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bases. We believe these companies will be better able to endure industry consolidation, economic contraction and increased competition than those that are not sufficiently diversified. However, we also recognize that from time to time, an attractive investment opportunity with some concentration among its customer base or supply chain will present itself. We believe that concentration issues can be evaluated and, in some instances (whether due to supplier or customer product or platform diversification, the existence and quality of long-term agreements with such customers or suppliers or other select factors), mitigated, thus presenting a superior risk-adjusted pricing scenario.</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The Investment Advisor’s investment team tailors the terms of each debt investment to the facts and circumstances of the transaction, the needs of the prospective portfolio company and, as applicable, its financial sponsor, negotiating a structure that seeks to protect our rights and manage our risk while creating incentives for the portfolio company to achieve its business plan. As of December 31, 2015, 43.7% of our debt investments were secured by a first-lien on the assets of the portfolio company, 53.2% of our debt investments were secured by a second-lien on the assets of the portfolio company and 3.1% of our debt investments were unsecured. We expect our primary source of return to be the monthly cash interest we will collect on our debt investments. We also typically seek Board observation rights with each portfolio company and we offer (and have historically provided) managerial and strategic assistance to these companies. We seek to further protect invested principal by negotiating appropriate affirmative, negative and financial covenants in our debt documents that are conservative enough to represent a prudent cushion at closing or to budgeted projections, but that are flexible enough to afford our portfolio companies and their financial sponsors sufficient latitude to allow them to grow their businesses. Typical covenants include default triggers and remedies (including penalties), lien protection, leverage and fixed charge coverage ratios, change of control provisions and put rights. Most of our loans feature call protection to enhance our total return on debt investments that are repaid prior to maturity.</w:t>
      </w:r>
    </w:p>
    <w:p>
      <w:pPr>
        <w:spacing w:after="0" w:line="67"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Most of our debt investments are structured as senior subordinated notes. On a fair market value basis, 54.0% of our debt investments consist of senior subordinated notes as of December 31, 2015. Senior subordinated notes are subordinate to senior debt provided by financial institutions (primarily, asset-based revolving credit facilities and, in some cases, term loans) but senior to other subordinated notes, including junior subordinated notes and seller notes. Our senior subordinated notes are typically issued with five-year terms. Some senior subordinated notes have payment-in-kind (“PIK”) interest, which is a form of interest that is not paid currently in cash, but is accrued and added to the loan balance until paid at the end of the term. While we generally seek to minimize the percentage of our fixed return that is in the form of PIK interest, we sometimes receive PIK due to prevailing market conditions that do not support the overall blended interest</w:t>
      </w:r>
    </w:p>
    <w:p>
      <w:pPr>
        <w:spacing w:after="0" w:line="200" w:lineRule="exact"/>
        <w:rPr>
          <w:sz w:val="20"/>
          <w:szCs w:val="20"/>
          <w:color w:val="auto"/>
        </w:rPr>
      </w:pPr>
    </w:p>
    <w:p>
      <w:pPr>
        <w:spacing w:after="0" w:line="33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7" w:lineRule="auto"/>
        <w:rPr>
          <w:sz w:val="20"/>
          <w:szCs w:val="20"/>
          <w:color w:val="auto"/>
        </w:rPr>
      </w:pPr>
      <w:r>
        <w:rPr>
          <w:rFonts w:ascii="Arial" w:cs="Arial" w:eastAsia="Arial" w:hAnsi="Arial"/>
          <w:sz w:val="18"/>
          <w:szCs w:val="18"/>
          <w:color w:val="auto"/>
        </w:rPr>
        <w:t>yield on our debt investments being paid in all-cash interest. As of December 31, 2015, our weighted average PIK yield in our debt investments is 0.7%. In addition to yield in the form of current cash and PIK interest, some of our debt investments include an equity component, such as a warrant to purchase a common equity interest in the borrower for a nominal price. As of December 31, 2015, the weighted average annualized yield on all of our outstanding debt investments was 11.5%, the weighted average annualized yield excluding PIK interest, was 10.8%.</w:t>
      </w:r>
    </w:p>
    <w:p>
      <w:pPr>
        <w:spacing w:after="0" w:line="80"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We also opportunistically structure certain debt investments as senior secured or unitranche notes and as of December 31, 2015, 46.0% of the fair value of our debt investments consisted of such investments. Senior secured loans will typically provide for a fixed interest rate and may contain some minimum amount of principal amortization, excess cash flow sweep feature, prepayment penalties, or any combination of the foregoing. Senior secured loans are secured by a first priority lien in existing and future assets of the borrower and may take the form of term loans or delayed draw facilities. In some cases, senior secured loans may be subordinated only to a senior secured revolving credit facility. Unitranche debt financing typically involves issuing one debt security that blends the risk and return profiles of both senior secured and subordinated debt in one debt security. We believe that unitranche debt can be attractive for many smaller and lower middle-market businesses, given the reduced structural complexity, single lender interface and elimination of intercreditor or potential agency conflicts among lenders.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When we make a debt investment, we may be granted equity participation in the form of detachable warrants to purchase common equity in the company in the same class of security that the owners or equity sponsors receive upon funding. In addition, we may make non-control equity co-investments in conjunction with a loan transaction with a borrower. The Investment Advisor’s investment team generally seeks to structure our equity investments, such as direct equity co-investments, to provide us with minority rights provisions and, as and to the extent available, event-driven put rights. They also seek to obtain limited registration rights in connection with these investments, which may include “piggyback” registration rights. In addition to warrants and equity co-investments, our debt investments in the future may contain a synthetic equity position.</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PROCESS</w:t>
      </w:r>
    </w:p>
    <w:p>
      <w:pPr>
        <w:spacing w:after="0" w:line="121" w:lineRule="exact"/>
        <w:rPr>
          <w:sz w:val="20"/>
          <w:szCs w:val="20"/>
          <w:color w:val="auto"/>
        </w:rPr>
      </w:pPr>
    </w:p>
    <w:p>
      <w:pPr>
        <w:ind w:left="40" w:right="579" w:firstLine="270"/>
        <w:spacing w:after="0" w:line="268" w:lineRule="auto"/>
        <w:rPr>
          <w:sz w:val="20"/>
          <w:szCs w:val="20"/>
          <w:color w:val="auto"/>
        </w:rPr>
      </w:pPr>
      <w:r>
        <w:rPr>
          <w:rFonts w:ascii="Arial" w:cs="Arial" w:eastAsia="Arial" w:hAnsi="Arial"/>
          <w:sz w:val="17"/>
          <w:szCs w:val="17"/>
          <w:color w:val="auto"/>
        </w:rPr>
        <w:t>Our Investment Advisor’s investment team is led by its investment committee and is responsible for all aspects of our investment process. The current members of the investment committee are Joseph B. Alala, III, our chief executive officer, president, chairman of our Board and the managing partner and chief investment officer of our Investment Advisor, Hunt Broyhill, a partner of our Investment Advisor, and John F. McGlinn, our chief operating officer, secretary and treasurer, and a director of our Investment Advisor. Christopher B. Norton serves as chief risk officer and a director of our Investment Advisor. Richard Wheelahan, our chief compliance officer, Michael S. Marr, Randall Fontes, Adam Richeson, Mario Shaffer, and Davis Hutchens, serve as directors of our Investment Advisor, and Casey Swercheck, Eric Althofer, Michael Graham and Christian MacCarron each serve as vice presidents of our Investment Advisor. While the investment strategy involves a team approach, whereby potential transactions are screened by various members of the investment team, Mr. Alala and one other member of the investment committee of the Investment Advisor must approve investments in order for them to proceed. Messrs. Alala and McGlinn meet weekly and, together with Mr. Broyhill, on an as needed basis, depending on the nature and volume of investment opportunities. The Investment Advisor’s investment committee has worked together for over ten years. The stages of our investment selection process are as follows: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Deal Generation/Origination</w:t>
      </w:r>
    </w:p>
    <w:p>
      <w:pPr>
        <w:spacing w:after="0" w:line="117"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Deal generation and origination is maximized through long-standing and extensive relationships with industry contacts, brokers, commercial and investment bankers, entrepreneurs, service providers (such as lawyers and accountants), as well as current and former clients, portfolio companies and investors. Our Investment Advisor’s investment team supplements these lead generators by also utilizing broader marketing efforts, such as attendance at prospective borrower industry conventions, an active calling effort to investment banking boutiques, private equity firms and independent sponsors that are also investing in high quality</w:t>
      </w:r>
    </w:p>
    <w:p>
      <w:pPr>
        <w:spacing w:after="0" w:line="200" w:lineRule="exact"/>
        <w:rPr>
          <w:sz w:val="20"/>
          <w:szCs w:val="20"/>
          <w:color w:val="auto"/>
        </w:rPr>
      </w:pPr>
    </w:p>
    <w:p>
      <w:pPr>
        <w:spacing w:after="0" w:line="29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71" w:lineRule="auto"/>
        <w:rPr>
          <w:sz w:val="20"/>
          <w:szCs w:val="20"/>
          <w:color w:val="auto"/>
        </w:rPr>
      </w:pPr>
      <w:r>
        <w:rPr>
          <w:rFonts w:ascii="Arial" w:cs="Arial" w:eastAsia="Arial" w:hAnsi="Arial"/>
          <w:sz w:val="17"/>
          <w:szCs w:val="17"/>
          <w:color w:val="auto"/>
        </w:rPr>
        <w:t>smaller and lower middle-market companies, and, most importantly, based on our Investment Advisor’s track record as a responsive, flexible, value-add lender and co-investor, as demonstrated by 114 investments in lower middle-market and traditional middle-market businesses and equity co-investments with reputed private equity firms. We have developed a reputation as a knowledgeable and reliable source of capital, providing value-added industry advice and financing assistance to borrowers’ businesses and in executing financial sponsors’ growth strategies. Furthermore, with offices throughout the United States, we have the ability to cover a large geographical area and to market to unique groups from each office. Specifically, our Charlotte, Raleigh, Fort Lauderdale, Atlanta, Washington D.C., and Los Angeles offices cover significant territory that is traditionally underserved, allowing us to source a high volume of direct deal flow.</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Screening</w:t>
      </w:r>
    </w:p>
    <w:p>
      <w:pPr>
        <w:spacing w:after="0" w:line="117"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All potential investments that are received are screened for suitability and consistency with our investment criteria (see “— Due Diligence and Underwriting,” below). In screening potential investments, our Investment Advisor’s investment team utilizes the same value-oriented investment philosophy they employed in their work with the Legacy Funds and commits resources to managing downside exposure. If a potential investment meets our basic investment criteria, a deal team is assigned to perform preliminary due diligence. In doing so, we consider some or all of the following factors:</w:t>
      </w:r>
    </w:p>
    <w:p>
      <w:pPr>
        <w:spacing w:after="0" w:line="64" w:lineRule="exact"/>
        <w:rPr>
          <w:sz w:val="20"/>
          <w:szCs w:val="20"/>
          <w:color w:val="auto"/>
        </w:rPr>
      </w:pPr>
    </w:p>
    <w:p>
      <w:pPr>
        <w:ind w:left="600" w:right="519" w:hanging="322"/>
        <w:spacing w:after="0" w:line="25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comprehensive financial model that we prepare based on quantitative analysis of historical financial performance, financial projections made by management or the financial sponsor, as the case may be, and pro forma financial ratios assuming an investment consistent with possible structures. In analyzing our model, we test various investment structures, pricing options, downside scenarios and other sensitivities in order to better understand potential risks and possible financial covenant ratios.</w:t>
      </w:r>
    </w:p>
    <w:p>
      <w:pPr>
        <w:spacing w:after="0" w:line="80"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landscape and industry dynamics impacting the potential portfolio company;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Strengths and weaknesses of the potential investment’s business strategy and industry outlook; and</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Results of a broad qualitative analysis of the company’s products or services, market position and outlook, customers, suppliers and quality of management.</w:t>
      </w:r>
    </w:p>
    <w:p>
      <w:pPr>
        <w:spacing w:after="0" w:line="62"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If the results of this preliminary due diligence are satisfactory, the deal team prepares an executive summary that is presented to certain members of our Investment Advisor’s investment committee in a meeting that includes all members of the portfolio and investment teams. This executive summary includes the following areas:</w:t>
      </w:r>
    </w:p>
    <w:p>
      <w:pPr>
        <w:spacing w:after="0" w:line="73"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history and summary of product(s) and/or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overview of investors, anticipated capital sources and transaction timing;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structure and expected returns, including initial projected financial ratios;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Analysis of historical financial results and key assumptions;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Analysis of the company’s business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Analysis of the financial sponsor’s relevant experience or expected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strengths, weaknesses and priority issues to be addressed in due diligence;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 forma capitalization and ownership.</w:t>
      </w:r>
    </w:p>
    <w:p>
      <w:pPr>
        <w:spacing w:after="0" w:line="117"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7"/>
          <w:szCs w:val="17"/>
          <w:color w:val="auto"/>
        </w:rPr>
        <w:t>If our investment committee recommends moving forward, we will issue a non-binding term sheet or indication of interest to the potential portfolio company and, when applicable, its financial sponsor. If a term sheet is successfully negotiated, we will begin more formal due diligence and underwriting as we progress towards the ultimate investment approval and closing.</w:t>
      </w:r>
    </w:p>
    <w:p>
      <w:pPr>
        <w:spacing w:after="0" w:line="200" w:lineRule="exact"/>
        <w:rPr>
          <w:sz w:val="20"/>
          <w:szCs w:val="20"/>
          <w:color w:val="auto"/>
        </w:rPr>
      </w:pPr>
    </w:p>
    <w:p>
      <w:pPr>
        <w:spacing w:after="0" w:line="3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Due Diligence and Underwriting</w:t>
      </w:r>
    </w:p>
    <w:p>
      <w:pPr>
        <w:spacing w:after="0" w:line="117" w:lineRule="exact"/>
        <w:rPr>
          <w:sz w:val="20"/>
          <w:szCs w:val="20"/>
          <w:color w:val="auto"/>
        </w:rPr>
      </w:pPr>
    </w:p>
    <w:p>
      <w:pPr>
        <w:ind w:left="40" w:right="699" w:firstLine="270"/>
        <w:spacing w:after="0" w:line="271" w:lineRule="auto"/>
        <w:rPr>
          <w:sz w:val="20"/>
          <w:szCs w:val="20"/>
          <w:color w:val="auto"/>
        </w:rPr>
      </w:pPr>
      <w:r>
        <w:rPr>
          <w:rFonts w:ascii="Arial" w:cs="Arial" w:eastAsia="Arial" w:hAnsi="Arial"/>
          <w:sz w:val="17"/>
          <w:szCs w:val="17"/>
          <w:color w:val="auto"/>
        </w:rPr>
        <w:t>The completion of due diligence deliverables is led by at least two investment professionals. However, all investment and portfolio team members are regularly updated with due diligence progress, especially any issues that emerge. The two investment professionals leading the due diligence efforts are typically assigned to the original deal team that worked on the executive summary. However, post-term sheet deal teams sometimes contain one or more additional investment professionals and may include other professionals from business development, portfolio or other areas if a particular skill or experience set would be especially valuable in the due diligence process. The members of the underwriting team complete due diligence and analyze the relationships among the prospective portfolio company’s business plan, operations and expected financial performance. Due diligence touches upon some or all of the following:</w:t>
      </w:r>
    </w:p>
    <w:p>
      <w:pPr>
        <w:spacing w:after="0" w:line="71"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On-site visits with management and relevant key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In-depth review of historical and projected financial statements, including covenant calculation work sheets;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Interviews with customers and suppliers;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background checks;</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reports by third-party accountants, outside counsel and other industry, operational or financial experts, whether retained by us, or the financial sponsor;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material contracts;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financial sponsor’s due diligence package and internal executive summaries.</w:t>
      </w:r>
    </w:p>
    <w:p>
      <w:pPr>
        <w:spacing w:after="0" w:line="117"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Typically, we utilize outside experts to analyze the legal affairs, accounting systems and financial results and, where appropriate, we engage specialists to investigate certain issues. During the underwriting process, significant, ongoing attention is devoted to sensitivity analyses regarding whether a company might bear a significant “downside” case and remain profitable and in compliance with assumed financial covenants. These “downside” scenarios typically involve assumptions regarding the loss of key customers and/or suppliers, an economic downturn, adverse regulatory changes and other relevant stressors that we attempt to simulate in our quantitative and qualitative analyses. Further, we continually examine the effect of these scenarios on financial ratios and other metrics.</w:t>
      </w:r>
    </w:p>
    <w:p>
      <w:pPr>
        <w:spacing w:after="0" w:line="81" w:lineRule="exact"/>
        <w:rPr>
          <w:sz w:val="20"/>
          <w:szCs w:val="20"/>
          <w:color w:val="auto"/>
        </w:rPr>
      </w:pPr>
    </w:p>
    <w:p>
      <w:pPr>
        <w:jc w:val="both"/>
        <w:ind w:left="40" w:right="599" w:firstLine="270"/>
        <w:spacing w:after="0" w:line="312" w:lineRule="auto"/>
        <w:rPr>
          <w:sz w:val="20"/>
          <w:szCs w:val="20"/>
          <w:color w:val="auto"/>
        </w:rPr>
      </w:pPr>
      <w:r>
        <w:rPr>
          <w:rFonts w:ascii="Arial" w:cs="Arial" w:eastAsia="Arial" w:hAnsi="Arial"/>
          <w:sz w:val="16"/>
          <w:szCs w:val="16"/>
          <w:color w:val="auto"/>
        </w:rPr>
        <w:t>During the underwriting process, the executive summary that was completed for the initial investment committee presentation is updated and changes are presented at subsequent, weekly meetings of the investment committee for continued discussion and, to the extent applicable, the investment committee issues new instructions to the underwriting team from the investment committee.</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Approval, Documentation and Closing</w:t>
      </w:r>
    </w:p>
    <w:p>
      <w:pPr>
        <w:spacing w:after="0" w:line="117"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The underwriting team for the proposed investment presents the updated executive summary and key findings from due diligence to the investment committee on an ongoing, weekly basis. Prior to the commencement of documentation, approval from the investment committee is sought and, if approved, the underwriting professionals heretofore involved proceed to documentation.</w:t>
      </w:r>
    </w:p>
    <w:p>
      <w:pPr>
        <w:spacing w:after="0" w:line="39"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At all times during the documentation process, the underwriting professionals who conducted the due diligence remain involved; likewise, all extensively negotiated documentation decisions are made by the lead underwriting team member, in accordance with input from at least one investment committee member and guidance from outside counsel. As and to the extent necessary, key documentation challenges are brought before the investment committee for prompt discussion and resolution. Upon the completion of satisfactory documentation and the satisfaction of closing conditions, final approval is sought from the investment committee before closing and funding.</w:t>
      </w:r>
    </w:p>
    <w:p>
      <w:pPr>
        <w:spacing w:after="0" w:line="200" w:lineRule="exact"/>
        <w:rPr>
          <w:sz w:val="20"/>
          <w:szCs w:val="20"/>
          <w:color w:val="auto"/>
        </w:rPr>
      </w:pPr>
    </w:p>
    <w:p>
      <w:pPr>
        <w:spacing w:after="0" w:line="33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4819"/>
        <w:spacing w:after="0" w:line="401" w:lineRule="auto"/>
        <w:rPr>
          <w:sz w:val="20"/>
          <w:szCs w:val="20"/>
          <w:color w:val="auto"/>
        </w:rPr>
      </w:pPr>
      <w:r>
        <w:rPr>
          <w:rFonts w:ascii="Arial" w:cs="Arial" w:eastAsia="Arial" w:hAnsi="Arial"/>
          <w:sz w:val="18"/>
          <w:szCs w:val="18"/>
          <w:b w:val="1"/>
          <w:bCs w:val="1"/>
          <w:color w:val="auto"/>
        </w:rPr>
        <w:t xml:space="preserve">ONGOING RELATIONSHIPS WITH PORTFOLIO COMPANIES </w:t>
      </w:r>
      <w:r>
        <w:rPr>
          <w:rFonts w:ascii="Arial" w:cs="Arial" w:eastAsia="Arial" w:hAnsi="Arial"/>
          <w:sz w:val="18"/>
          <w:szCs w:val="18"/>
          <w:b w:val="1"/>
          <w:bCs w:val="1"/>
          <w:i w:val="1"/>
          <w:iCs w:val="1"/>
          <w:color w:val="auto"/>
        </w:rPr>
        <w:t>Monitoring</w:t>
      </w:r>
    </w:p>
    <w:p>
      <w:pPr>
        <w:spacing w:after="0" w:line="1"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Our Investment Advisor will monitor our portfolio companies on an ongoing basis. It will monitor the financial trends of each portfolio company to determine if it is meeting its business plan and to assess the appropriate course of action for each company. We generally require our portfolio companies to provide annual audited financial statements, quarterly unaudited financial statements, in each case, with management discussion and analysis and covenant compliance certificates, and monthly unaudited financial statements. Using the monthly financial statements, we calculate and evaluate all financial covenants and additional financial coverage ratios that might not be part of our covenant package in the loan documents. For purposes of analyzing a portfolio company’s financial performance, we may adjust their financial statements to reflect pro forma results in the event of a recent change of control, sale, acquisition or anticipated cost savings.</w:t>
      </w:r>
    </w:p>
    <w:p>
      <w:pPr>
        <w:spacing w:after="0" w:line="71"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Our Investment Advisor has several methods of evaluating and monitoring the performance and fair value of our investments, including the following:</w:t>
      </w:r>
    </w:p>
    <w:p>
      <w:pPr>
        <w:spacing w:after="0" w:line="62"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Assessment of success in adhering to each portfolio company’s business plan and compliance with covenants;</w:t>
      </w:r>
    </w:p>
    <w:p>
      <w:pPr>
        <w:spacing w:after="0" w:line="117" w:lineRule="exact"/>
        <w:rPr>
          <w:rFonts w:ascii="Arial" w:cs="Arial" w:eastAsia="Arial" w:hAnsi="Arial"/>
          <w:sz w:val="18"/>
          <w:szCs w:val="18"/>
          <w:color w:val="auto"/>
        </w:rPr>
      </w:pPr>
    </w:p>
    <w:p>
      <w:pPr>
        <w:ind w:left="600" w:right="71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Comparisons to our other portfolio companies in the industry, if any;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Attendance at and participation in the board meetings;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17"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In addition to various risk management and monitoring tools, our Investment Advisor also uses an investment rating system to characterize and monitor our expected level of return on each investment in our portfolio.</w:t>
      </w:r>
    </w:p>
    <w:p>
      <w:pPr>
        <w:spacing w:after="0" w:line="62"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200" w:lineRule="exact"/>
        <w:rPr>
          <w:sz w:val="20"/>
          <w:szCs w:val="20"/>
          <w:color w:val="auto"/>
        </w:rPr>
      </w:pPr>
    </w:p>
    <w:p>
      <w:pPr>
        <w:spacing w:after="0" w:line="33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16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13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80" w:type="dxa"/>
            <w:vAlign w:val="bottom"/>
          </w:tcPr>
          <w:p>
            <w:pPr>
              <w:jc w:val="center"/>
              <w:ind w:right="1328"/>
              <w:spacing w:after="0"/>
              <w:rPr>
                <w:sz w:val="20"/>
                <w:szCs w:val="20"/>
                <w:color w:val="auto"/>
              </w:rPr>
            </w:pPr>
            <w:r>
              <w:rPr>
                <w:rFonts w:ascii="Arial" w:cs="Arial" w:eastAsia="Arial" w:hAnsi="Arial"/>
                <w:sz w:val="14"/>
                <w:szCs w:val="14"/>
                <w:b w:val="1"/>
                <w:bCs w:val="1"/>
                <w:color w:val="auto"/>
                <w:w w:val="91"/>
              </w:rPr>
              <w:t>Investment</w:t>
            </w:r>
          </w:p>
        </w:tc>
        <w:tc>
          <w:tcPr>
            <w:tcW w:w="2760" w:type="dxa"/>
            <w:vAlign w:val="bottom"/>
            <w:vMerge w:val="restart"/>
          </w:tcPr>
          <w:p>
            <w:pPr>
              <w:ind w:left="1400"/>
              <w:spacing w:after="0"/>
              <w:rPr>
                <w:sz w:val="20"/>
                <w:szCs w:val="20"/>
                <w:color w:val="auto"/>
              </w:rPr>
            </w:pPr>
            <w:r>
              <w:rPr>
                <w:rFonts w:ascii="Arial" w:cs="Arial" w:eastAsia="Arial" w:hAnsi="Arial"/>
                <w:sz w:val="14"/>
                <w:szCs w:val="14"/>
                <w:b w:val="1"/>
                <w:bCs w:val="1"/>
                <w:color w:val="auto"/>
                <w:w w:val="92"/>
              </w:rPr>
              <w:t>Summary Description</w:t>
            </w:r>
          </w:p>
        </w:tc>
        <w:tc>
          <w:tcPr>
            <w:tcW w:w="0" w:type="dxa"/>
            <w:vAlign w:val="bottom"/>
          </w:tcPr>
          <w:p>
            <w:pPr>
              <w:spacing w:after="0"/>
              <w:rPr>
                <w:sz w:val="1"/>
                <w:szCs w:val="1"/>
                <w:color w:val="auto"/>
              </w:rPr>
            </w:pPr>
          </w:p>
        </w:tc>
      </w:tr>
      <w:tr>
        <w:trPr>
          <w:trHeight w:val="186"/>
        </w:trPr>
        <w:tc>
          <w:tcPr>
            <w:tcW w:w="2080" w:type="dxa"/>
            <w:vAlign w:val="bottom"/>
          </w:tcPr>
          <w:p>
            <w:pPr>
              <w:jc w:val="center"/>
              <w:ind w:right="1348"/>
              <w:spacing w:after="0"/>
              <w:rPr>
                <w:sz w:val="20"/>
                <w:szCs w:val="20"/>
                <w:color w:val="auto"/>
              </w:rPr>
            </w:pPr>
            <w:r>
              <w:rPr>
                <w:rFonts w:ascii="Arial" w:cs="Arial" w:eastAsia="Arial" w:hAnsi="Arial"/>
                <w:sz w:val="14"/>
                <w:szCs w:val="14"/>
                <w:b w:val="1"/>
                <w:bCs w:val="1"/>
                <w:color w:val="auto"/>
                <w:w w:val="96"/>
              </w:rPr>
              <w:t>Rating</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wp:posOffset>
            </wp:positionV>
            <wp:extent cx="4751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ind w:left="1340" w:right="2919" w:hanging="731"/>
        <w:spacing w:after="0" w:line="264" w:lineRule="auto"/>
        <w:tabs>
          <w:tab w:leader="none" w:pos="1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general, the investment may be performing above our internal expectations. Full return of principal and interest is expected. Capital gain is expected.</w:t>
      </w:r>
    </w:p>
    <w:p>
      <w:pPr>
        <w:spacing w:after="0" w:line="1" w:lineRule="exact"/>
        <w:rPr>
          <w:sz w:val="20"/>
          <w:szCs w:val="20"/>
          <w:color w:val="auto"/>
        </w:rPr>
      </w:pPr>
    </w:p>
    <w:p>
      <w:pPr>
        <w:ind w:left="1340" w:hanging="731"/>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general, the investment may be performing within our internal expectations, and</w:t>
      </w:r>
    </w:p>
    <w:p>
      <w:pPr>
        <w:spacing w:after="0" w:line="9" w:lineRule="exact"/>
        <w:rPr>
          <w:sz w:val="20"/>
          <w:szCs w:val="20"/>
          <w:color w:val="auto"/>
        </w:rPr>
      </w:pPr>
    </w:p>
    <w:p>
      <w:pPr>
        <w:ind w:left="1340" w:right="2839"/>
        <w:spacing w:after="0" w:line="250" w:lineRule="auto"/>
        <w:rPr>
          <w:sz w:val="20"/>
          <w:szCs w:val="20"/>
          <w:color w:val="auto"/>
        </w:rPr>
      </w:pPr>
      <w:r>
        <w:rPr>
          <w:rFonts w:ascii="Arial" w:cs="Arial" w:eastAsia="Arial" w:hAnsi="Arial"/>
          <w:sz w:val="18"/>
          <w:szCs w:val="18"/>
          <w:color w:val="auto"/>
        </w:rPr>
        <w:t>potential risks to the applicable investment are considered to be neutral or favorable compared to any potential risks at the time of the original investment. All new investments are initially given this rating.</w:t>
      </w:r>
    </w:p>
    <w:p>
      <w:pPr>
        <w:spacing w:after="0" w:line="1" w:lineRule="exact"/>
        <w:rPr>
          <w:sz w:val="20"/>
          <w:szCs w:val="20"/>
          <w:color w:val="auto"/>
        </w:rPr>
      </w:pPr>
    </w:p>
    <w:p>
      <w:pPr>
        <w:ind w:left="1340" w:right="2699" w:hanging="731"/>
        <w:spacing w:after="0" w:line="281" w:lineRule="auto"/>
        <w:tabs>
          <w:tab w:leader="none" w:pos="1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general, the investment may be performing below our internal expectations and therefore, investments in this category may require closer internal monitoring; however, the valuation team believes that no loss of investment return (interest and/or</w:t>
      </w:r>
    </w:p>
    <w:p>
      <w:pPr>
        <w:spacing w:after="0" w:line="2" w:lineRule="exact"/>
        <w:rPr>
          <w:sz w:val="20"/>
          <w:szCs w:val="20"/>
          <w:color w:val="auto"/>
        </w:rPr>
      </w:pPr>
    </w:p>
    <w:p>
      <w:pPr>
        <w:ind w:left="1340" w:right="2939"/>
        <w:spacing w:after="0" w:line="265" w:lineRule="auto"/>
        <w:rPr>
          <w:sz w:val="20"/>
          <w:szCs w:val="20"/>
          <w:color w:val="auto"/>
        </w:rPr>
      </w:pPr>
      <w:r>
        <w:rPr>
          <w:rFonts w:ascii="Arial" w:cs="Arial" w:eastAsia="Arial" w:hAnsi="Arial"/>
          <w:sz w:val="17"/>
          <w:szCs w:val="17"/>
          <w:color w:val="auto"/>
        </w:rPr>
        <w:t>dividends) or principal is expected. The investment also may be out of compliance with certain senior or senior subordinated debt financial covenants.</w:t>
      </w:r>
    </w:p>
    <w:p>
      <w:pPr>
        <w:ind w:left="1340" w:hanging="731"/>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general, the investment may be performing below internal expectations and</w:t>
      </w:r>
    </w:p>
    <w:p>
      <w:pPr>
        <w:spacing w:after="0" w:line="9" w:lineRule="exact"/>
        <w:rPr>
          <w:sz w:val="20"/>
          <w:szCs w:val="20"/>
          <w:color w:val="auto"/>
        </w:rPr>
      </w:pPr>
    </w:p>
    <w:p>
      <w:pPr>
        <w:ind w:left="1340" w:right="2939"/>
        <w:spacing w:after="0" w:line="250" w:lineRule="auto"/>
        <w:rPr>
          <w:sz w:val="20"/>
          <w:szCs w:val="20"/>
          <w:color w:val="auto"/>
        </w:rPr>
      </w:pPr>
      <w:r>
        <w:rPr>
          <w:rFonts w:ascii="Arial" w:cs="Arial" w:eastAsia="Arial" w:hAnsi="Arial"/>
          <w:sz w:val="18"/>
          <w:szCs w:val="18"/>
          <w:color w:val="auto"/>
        </w:rPr>
        <w:t>quantitative or qualitative risks may have increased substantially since the original investment. Loss of some or all principal is expected.</w:t>
      </w:r>
    </w:p>
    <w:p>
      <w:pPr>
        <w:spacing w:after="0" w:line="1" w:lineRule="exact"/>
        <w:rPr>
          <w:sz w:val="20"/>
          <w:szCs w:val="20"/>
          <w:color w:val="auto"/>
        </w:rPr>
      </w:pPr>
    </w:p>
    <w:p>
      <w:pPr>
        <w:ind w:left="1340" w:right="2799" w:hanging="731"/>
        <w:spacing w:after="0" w:line="302" w:lineRule="auto"/>
        <w:tabs>
          <w:tab w:leader="none" w:pos="1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47" w:lineRule="exact"/>
        <w:rPr>
          <w:sz w:val="20"/>
          <w:szCs w:val="20"/>
          <w:color w:val="auto"/>
        </w:rPr>
      </w:pPr>
    </w:p>
    <w:p>
      <w:pPr>
        <w:ind w:left="180" w:right="659" w:firstLine="270"/>
        <w:spacing w:after="0" w:line="259"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79" w:lineRule="exact"/>
        <w:rPr>
          <w:sz w:val="20"/>
          <w:szCs w:val="20"/>
          <w:color w:val="auto"/>
        </w:rPr>
      </w:pPr>
    </w:p>
    <w:p>
      <w:pPr>
        <w:ind w:left="180" w:right="619" w:firstLine="27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421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Performance Rating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at Fair</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191,894</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335,388</w:t>
            </w:r>
          </w:p>
        </w:tc>
        <w:tc>
          <w:tcPr>
            <w:tcW w:w="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37,164</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28,010</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592,456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-179705</wp:posOffset>
            </wp:positionV>
            <wp:extent cx="475107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180" w:right="619" w:firstLine="27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421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Performance Rating</w:t>
            </w: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at Fair</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00" w:type="dxa"/>
            <w:vAlign w:val="bottom"/>
            <w:tcBorders>
              <w:bottom w:val="single" w:sz="8" w:color="auto"/>
            </w:tcBorders>
            <w:vMerge w:val="continue"/>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2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146,471</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2</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271,864</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56.6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55,325</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4</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6,677</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480,337</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20" w:type="dxa"/>
            <w:vAlign w:val="bottom"/>
            <w:vMerge w:val="restart"/>
          </w:tcPr>
          <w:p>
            <w:pPr>
              <w:jc w:val="right"/>
              <w:ind w:right="5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20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-805180</wp:posOffset>
            </wp:positionV>
            <wp:extent cx="475107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AGREEMENTS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Advisory Agreement</w:t>
      </w:r>
    </w:p>
    <w:p>
      <w:pPr>
        <w:spacing w:after="0" w:line="121" w:lineRule="exact"/>
        <w:rPr>
          <w:sz w:val="20"/>
          <w:szCs w:val="20"/>
          <w:color w:val="auto"/>
        </w:rPr>
      </w:pPr>
    </w:p>
    <w:p>
      <w:pPr>
        <w:jc w:val="both"/>
        <w:ind w:left="40" w:right="559" w:firstLine="270"/>
        <w:spacing w:after="0" w:line="286" w:lineRule="auto"/>
        <w:rPr>
          <w:sz w:val="20"/>
          <w:szCs w:val="20"/>
          <w:color w:val="auto"/>
        </w:rPr>
      </w:pPr>
      <w:r>
        <w:rPr>
          <w:rFonts w:ascii="Arial" w:cs="Arial" w:eastAsia="Arial" w:hAnsi="Arial"/>
          <w:sz w:val="17"/>
          <w:szCs w:val="17"/>
          <w:color w:val="auto"/>
        </w:rPr>
        <w:t>Our Investment Advisor is registered as an investment adviser under the Advisers Act. Subject to the overall supervision of our Board, our Investment Advisor manages our day-to-day operations, and provides Investment Advisory and management services to us. Under the terms of our Investment Advisory Agreement, the Investment Advisor:</w:t>
      </w:r>
    </w:p>
    <w:p>
      <w:pPr>
        <w:spacing w:after="0" w:line="57" w:lineRule="exact"/>
        <w:rPr>
          <w:sz w:val="20"/>
          <w:szCs w:val="20"/>
          <w:color w:val="auto"/>
        </w:rPr>
      </w:pPr>
    </w:p>
    <w:p>
      <w:pPr>
        <w:ind w:left="600" w:right="113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00" w:right="81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 Fee</w:t>
      </w:r>
    </w:p>
    <w:p>
      <w:pPr>
        <w:spacing w:after="0" w:line="117" w:lineRule="exact"/>
        <w:rPr>
          <w:sz w:val="20"/>
          <w:szCs w:val="20"/>
          <w:color w:val="auto"/>
        </w:rPr>
      </w:pPr>
    </w:p>
    <w:p>
      <w:pPr>
        <w:ind w:left="40" w:right="699" w:firstLine="270"/>
        <w:spacing w:after="0" w:line="308" w:lineRule="auto"/>
        <w:rPr>
          <w:sz w:val="20"/>
          <w:szCs w:val="20"/>
          <w:color w:val="auto"/>
        </w:rPr>
      </w:pPr>
      <w:r>
        <w:rPr>
          <w:rFonts w:ascii="Arial" w:cs="Arial" w:eastAsia="Arial" w:hAnsi="Arial"/>
          <w:sz w:val="17"/>
          <w:szCs w:val="17"/>
          <w:color w:val="auto"/>
        </w:rPr>
        <w:t>Pursuant to the Investment Advisory Agreement, we have agreed to pay the Investment Advisor a fee for investment advisory and management services consisting of two components — a base management fee and an incentive fee.</w:t>
      </w:r>
    </w:p>
    <w:p>
      <w:pPr>
        <w:spacing w:after="0" w:line="38"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The base management fee is calculated at an annual rate of 1.75% of our gross assets, which is our total assets as reflected on our consolidated statements of assets and liabilities and includes any borrowings for investment purposes. Although we do not anticipate making significant investments in derivative financial instruments, the fair value of any such investments, which will not necessarily equal their notional value, will be included in our calculation of gross assets. For services rendered under the Investment Advisory Agreement, the base management fee is payable quarterly in arrears. The base management fee was initially calculated based on the value of our gross assets at the end of the first calendar quarter subsequent to consummation of our IPO, and thereafter is calculated based on the average value of our gross assets at the end of the two most recently completed calendar quarters, and appropriately adjusted for any share issuances or repurchases during the current calendar quarter. For the first twelve months following our IPO, the Investment Advisor waived the portion of the base management fee payable on cash and cash equivalents held at the Capitala Finance level, excluding cash and cash equivalents held by the Legacy Funds that was acquired by Capitala Finance in connection with the Formation Transactions.</w:t>
      </w:r>
    </w:p>
    <w:p>
      <w:pPr>
        <w:spacing w:after="0" w:line="65"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The incentive fee has two parts. The first part of the incentive fee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Our net investment income used to calculate this part of the incentive fee is also included</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79"/>
        <w:spacing w:after="0" w:line="308" w:lineRule="auto"/>
        <w:rPr>
          <w:sz w:val="20"/>
          <w:szCs w:val="20"/>
          <w:color w:val="auto"/>
        </w:rPr>
      </w:pPr>
      <w:r>
        <w:rPr>
          <w:rFonts w:ascii="Arial" w:cs="Arial" w:eastAsia="Arial" w:hAnsi="Arial"/>
          <w:sz w:val="17"/>
          <w:szCs w:val="17"/>
          <w:color w:val="auto"/>
        </w:rPr>
        <w:t>in the amount of our gross assets used to calculate the 1.75% base management fee. We pay the Investment Advisor an incentive fee with respect to our pre-incentive fee net investment income in each calendar quarter as follows:</w:t>
      </w:r>
    </w:p>
    <w:p>
      <w:pPr>
        <w:spacing w:after="0" w:line="38" w:lineRule="exact"/>
        <w:rPr>
          <w:sz w:val="20"/>
          <w:szCs w:val="20"/>
          <w:color w:val="auto"/>
        </w:rPr>
      </w:pPr>
    </w:p>
    <w:p>
      <w:pPr>
        <w:ind w:left="600" w:right="579" w:hanging="322"/>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our pre-incentive fee net investment income does not exceed the hurdle of 2.0%;</w:t>
      </w:r>
    </w:p>
    <w:p>
      <w:pPr>
        <w:spacing w:after="0" w:line="62" w:lineRule="exact"/>
        <w:rPr>
          <w:rFonts w:ascii="Arial" w:cs="Arial" w:eastAsia="Arial" w:hAnsi="Arial"/>
          <w:sz w:val="18"/>
          <w:szCs w:val="18"/>
          <w:color w:val="auto"/>
        </w:rPr>
      </w:pPr>
    </w:p>
    <w:p>
      <w:pPr>
        <w:ind w:left="600" w:right="559" w:hanging="322"/>
        <w:spacing w:after="0" w:line="297"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100% of our pre-incentive fee net investment income with respect to that portion of such pre-incentive fee net investment income, if any, that exceeds the hurdle but is less than 2.5% in any calendar quarter (10.0% annualized). We refer to this portion of our pre-incentive fee net investment income (which exceeds the hurdle but is less than 2.5%) as the “catch-up.” The “catch-up” is meant to provide our Investment Advisor with 20% of our pre-incentive fee net investment income as if a hurdle did not apply if this net investment income exceeds 2.5% in any calendar quarter; and</w:t>
      </w:r>
    </w:p>
    <w:p>
      <w:pPr>
        <w:spacing w:after="0" w:line="50" w:lineRule="exact"/>
        <w:rPr>
          <w:rFonts w:ascii="Arial" w:cs="Arial" w:eastAsia="Arial" w:hAnsi="Arial"/>
          <w:sz w:val="16"/>
          <w:szCs w:val="16"/>
          <w:color w:val="auto"/>
        </w:rPr>
      </w:pPr>
    </w:p>
    <w:p>
      <w:pPr>
        <w:jc w:val="both"/>
        <w:ind w:left="600" w:right="539" w:hanging="322"/>
        <w:spacing w:after="0" w:line="286"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20% of the amount of our pre-incentive fee net investment income, if any, that exceeds 2.5% in any calendar quarter (10.0% annualized) is payable to Capitala Investment Advisors (once the hurdle is reached and the catch-up is achieved, 20% of all pre-incentive fee investment income thereafter is allocated to Capitala Investment Advisors).</w:t>
      </w:r>
    </w:p>
    <w:p>
      <w:pPr>
        <w:spacing w:after="0" w:line="57"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As announced on January 4, 2016, the Investment Advisor has voluntarily agreed to waive all or such portion of the quarterly incentive fees earned by the Investment Advisor that would otherwise cause the Company’s quarterly net investment income to be less than the distribution payments declared by the Company’s Board of Directors. Quarterly incentive fees are earned by the Investment Adviser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This waiver was effective for the fourth quarter of 2015 and will continue for 2016, unless otherwise publicly disclosed by the Company.</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74295</wp:posOffset>
            </wp:positionV>
            <wp:extent cx="3302000" cy="462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Percentage of pre-incentive fee net investment income allocated to the Capitala Investment Advisors</w:t>
      </w:r>
    </w:p>
    <w:p>
      <w:pPr>
        <w:spacing w:after="0" w:line="133"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These calculations are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pre-incentive fee net investment income.</w:t>
      </w:r>
    </w:p>
    <w:p>
      <w:pPr>
        <w:spacing w:after="0" w:line="64"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 provided that, the incentive fee determined as of December 31, 2013 was calculated for a period of shorter than twelve calendar months to take into account any realized capital gains computed net of all realized capital losses and unrealized capital depreciation from the inception of Capitala Finance.</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firstLine="270"/>
        <w:spacing w:after="0" w:line="273" w:lineRule="auto"/>
        <w:rPr>
          <w:sz w:val="20"/>
          <w:szCs w:val="20"/>
          <w:color w:val="auto"/>
        </w:rPr>
      </w:pPr>
      <w:r>
        <w:rPr>
          <w:rFonts w:ascii="Arial" w:cs="Arial" w:eastAsia="Arial" w:hAnsi="Arial"/>
          <w:sz w:val="17"/>
          <w:szCs w:val="17"/>
          <w:color w:val="auto"/>
        </w:rPr>
        <w:t>We will defer cash payment of the portion of any incentive fee otherwise earned by our Investment Advisor that would, when taken together with all other incentive fees paid to our Investment Advisor during the most recent 12 full calendar month period ending on or prior to the date such payment is to be made, exceed 20% of the sum of (a) our pre-incentive fee net investment income during such period, (b) our net unrealized appreciation or depreciation during such period and (c) our net realized capital gains or losses during such period. Any deferred incentive fees will be carried over for payment in subsequent calculation periods to the extent such payment is payable under the Investment Advisory Agreement.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1: Income Related Portion of Incentive Fee*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1:</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income (including interest, dividends, fees, etc.) = 1.25%</w:t>
      </w:r>
    </w:p>
    <w:p>
      <w:pPr>
        <w:ind w:left="4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4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4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 (management fee + other expenses)) = 0.55%</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Pre-incentive net investment income does not exceed hurdle rate, therefore there is no incentive fee.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income (including interest, dividends, fees, etc.) = 2.9%</w:t>
      </w:r>
    </w:p>
    <w:p>
      <w:pPr>
        <w:ind w:left="4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4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4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 (management fee + other expenses)) = 2.2%</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Incentive fee = 100% × pre-incentive fee net investment income, subject to the “catch-up”</w:t>
      </w:r>
      <w:r>
        <w:rPr>
          <w:rFonts w:ascii="Arial" w:cs="Arial" w:eastAsia="Arial" w:hAnsi="Arial"/>
          <w:sz w:val="30"/>
          <w:szCs w:val="30"/>
          <w:color w:val="auto"/>
          <w:vertAlign w:val="superscript"/>
        </w:rPr>
        <w:t>(4)</w:t>
      </w:r>
    </w:p>
    <w:p>
      <w:pPr>
        <w:spacing w:after="0" w:line="32" w:lineRule="exact"/>
        <w:rPr>
          <w:sz w:val="20"/>
          <w:szCs w:val="20"/>
          <w:color w:val="auto"/>
        </w:rPr>
      </w:pPr>
    </w:p>
    <w:p>
      <w:pPr>
        <w:ind w:left="1220" w:hanging="137"/>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 (2.2% – 2.0%)</w:t>
      </w:r>
    </w:p>
    <w:p>
      <w:pPr>
        <w:spacing w:after="0" w:line="101" w:lineRule="exact"/>
        <w:rPr>
          <w:rFonts w:ascii="Arial" w:cs="Arial" w:eastAsia="Arial" w:hAnsi="Arial"/>
          <w:sz w:val="18"/>
          <w:szCs w:val="18"/>
          <w:color w:val="auto"/>
        </w:rPr>
      </w:pPr>
    </w:p>
    <w:p>
      <w:pPr>
        <w:ind w:left="1220" w:hanging="137"/>
        <w:spacing w:after="0"/>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0.20%</w:t>
      </w:r>
    </w:p>
    <w:p>
      <w:pPr>
        <w:spacing w:after="0" w:line="117"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Pre-incentive fee net investment income exceeds the hurdle rate, but does not fully satisfy the “catch-up” provision, therefore the income related portion of the incentive fee is 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17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hypothetical amount of pre-incentive fee net investment income shown is based on a percentage of total net assets.</w:t>
      </w:r>
    </w:p>
    <w:p>
      <w:pPr>
        <w:spacing w:after="0" w:line="1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 Represents 8.0% annualized hurdle rate.</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 Represents 2.00% annualized management fee.</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(3) Excludes organizational and offering expenses.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3:</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income (including interest, dividends, fees, etc.) = 3.50%</w:t>
      </w:r>
    </w:p>
    <w:p>
      <w:pPr>
        <w:ind w:left="40"/>
        <w:spacing w:after="0" w:line="233" w:lineRule="auto"/>
        <w:rPr>
          <w:sz w:val="20"/>
          <w:szCs w:val="20"/>
          <w:color w:val="auto"/>
        </w:rPr>
      </w:pPr>
      <w:r>
        <w:rPr>
          <w:rFonts w:ascii="Arial" w:cs="Arial" w:eastAsia="Arial" w:hAnsi="Arial"/>
          <w:sz w:val="18"/>
          <w:szCs w:val="18"/>
          <w:color w:val="auto"/>
        </w:rPr>
        <w:t>Hurdle rate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 2.0%</w:t>
      </w:r>
    </w:p>
    <w:p>
      <w:pPr>
        <w:ind w:left="40"/>
        <w:spacing w:after="0" w:line="197" w:lineRule="auto"/>
        <w:rPr>
          <w:sz w:val="20"/>
          <w:szCs w:val="20"/>
          <w:color w:val="auto"/>
        </w:rPr>
      </w:pPr>
      <w:r>
        <w:rPr>
          <w:rFonts w:ascii="Arial" w:cs="Arial" w:eastAsia="Arial" w:hAnsi="Arial"/>
          <w:sz w:val="18"/>
          <w:szCs w:val="18"/>
          <w:color w:val="auto"/>
        </w:rPr>
        <w:t>Management fee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0.50%</w:t>
      </w:r>
    </w:p>
    <w:p>
      <w:pPr>
        <w:ind w:left="40"/>
        <w:spacing w:after="0" w:line="185" w:lineRule="auto"/>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0.20%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Pre-incentive fee net investment income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 income – (management fee + other expenses)) = 2.80%</w:t>
      </w: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345"/>
        </w:trPr>
        <w:tc>
          <w:tcPr>
            <w:tcW w:w="1000" w:type="dxa"/>
            <w:vAlign w:val="bottom"/>
          </w:tcPr>
          <w:p>
            <w:pPr>
              <w:spacing w:after="0"/>
              <w:rPr>
                <w:sz w:val="20"/>
                <w:szCs w:val="20"/>
                <w:color w:val="auto"/>
              </w:rPr>
            </w:pPr>
            <w:r>
              <w:rPr>
                <w:rFonts w:ascii="Arial" w:cs="Arial" w:eastAsia="Arial" w:hAnsi="Arial"/>
                <w:sz w:val="18"/>
                <w:szCs w:val="18"/>
                <w:color w:val="auto"/>
                <w:w w:val="95"/>
              </w:rPr>
              <w:t>Incentive fee</w:t>
            </w:r>
          </w:p>
        </w:tc>
        <w:tc>
          <w:tcPr>
            <w:tcW w:w="5840" w:type="dxa"/>
            <w:vAlign w:val="bottom"/>
            <w:gridSpan w:val="2"/>
          </w:tcPr>
          <w:p>
            <w:pPr>
              <w:ind w:left="80"/>
              <w:spacing w:after="0"/>
              <w:rPr>
                <w:sz w:val="20"/>
                <w:szCs w:val="20"/>
                <w:color w:val="auto"/>
              </w:rPr>
            </w:pPr>
            <w:r>
              <w:rPr>
                <w:rFonts w:ascii="Arial" w:cs="Arial" w:eastAsia="Arial" w:hAnsi="Arial"/>
                <w:sz w:val="18"/>
                <w:szCs w:val="18"/>
                <w:color w:val="auto"/>
                <w:w w:val="97"/>
              </w:rPr>
              <w:t>= 20% × pre-incentive fee net investment income, subject to “catch-up”</w:t>
            </w:r>
            <w:r>
              <w:rPr>
                <w:rFonts w:ascii="Arial" w:cs="Arial" w:eastAsia="Arial" w:hAnsi="Arial"/>
                <w:sz w:val="30"/>
                <w:szCs w:val="30"/>
                <w:color w:val="auto"/>
                <w:w w:val="97"/>
                <w:vertAlign w:val="superscript"/>
              </w:rPr>
              <w:t>(4)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5"/>
              </w:rPr>
              <w:t>Incentive fee</w:t>
            </w:r>
          </w:p>
        </w:tc>
        <w:tc>
          <w:tcPr>
            <w:tcW w:w="5840" w:type="dxa"/>
            <w:vAlign w:val="bottom"/>
            <w:gridSpan w:val="2"/>
          </w:tcPr>
          <w:p>
            <w:pPr>
              <w:ind w:left="80"/>
              <w:spacing w:after="0"/>
              <w:rPr>
                <w:sz w:val="20"/>
                <w:szCs w:val="20"/>
                <w:color w:val="auto"/>
              </w:rPr>
            </w:pPr>
            <w:r>
              <w:rPr>
                <w:rFonts w:ascii="Arial" w:cs="Arial" w:eastAsia="Arial" w:hAnsi="Arial"/>
                <w:sz w:val="18"/>
                <w:szCs w:val="18"/>
                <w:color w:val="auto"/>
                <w:w w:val="92"/>
              </w:rPr>
              <w:t>= 100%×“catch-up” + (20%×(pre-incentive fee net investment income – 2.5%))</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Catch-up</w:t>
            </w:r>
          </w:p>
        </w:tc>
        <w:tc>
          <w:tcPr>
            <w:tcW w:w="5840" w:type="dxa"/>
            <w:vAlign w:val="bottom"/>
            <w:gridSpan w:val="2"/>
          </w:tcPr>
          <w:p>
            <w:pPr>
              <w:ind w:left="80"/>
              <w:spacing w:after="0"/>
              <w:rPr>
                <w:sz w:val="20"/>
                <w:szCs w:val="20"/>
                <w:color w:val="auto"/>
              </w:rPr>
            </w:pPr>
            <w:r>
              <w:rPr>
                <w:rFonts w:ascii="Arial" w:cs="Arial" w:eastAsia="Arial" w:hAnsi="Arial"/>
                <w:sz w:val="18"/>
                <w:szCs w:val="18"/>
                <w:color w:val="auto"/>
              </w:rPr>
              <w:t>= 2.5% – 2.0%</w:t>
            </w:r>
          </w:p>
        </w:tc>
      </w:tr>
      <w:tr>
        <w:trPr>
          <w:trHeight w:val="324"/>
        </w:trPr>
        <w:tc>
          <w:tcPr>
            <w:tcW w:w="10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5"/>
              </w:rPr>
              <w:t>= 0.5%</w:t>
            </w:r>
          </w:p>
        </w:tc>
        <w:tc>
          <w:tcPr>
            <w:tcW w:w="5200" w:type="dxa"/>
            <w:vAlign w:val="bottom"/>
          </w:tcPr>
          <w:p>
            <w:pPr>
              <w:spacing w:after="0"/>
              <w:rPr>
                <w:sz w:val="24"/>
                <w:szCs w:val="24"/>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w w:val="95"/>
              </w:rPr>
              <w:t>Incentive fee</w:t>
            </w:r>
          </w:p>
        </w:tc>
        <w:tc>
          <w:tcPr>
            <w:tcW w:w="5840" w:type="dxa"/>
            <w:vAlign w:val="bottom"/>
            <w:gridSpan w:val="2"/>
          </w:tcPr>
          <w:p>
            <w:pPr>
              <w:ind w:left="80"/>
              <w:spacing w:after="0"/>
              <w:rPr>
                <w:sz w:val="20"/>
                <w:szCs w:val="20"/>
                <w:color w:val="auto"/>
              </w:rPr>
            </w:pPr>
            <w:r>
              <w:rPr>
                <w:rFonts w:ascii="Arial" w:cs="Arial" w:eastAsia="Arial" w:hAnsi="Arial"/>
                <w:sz w:val="18"/>
                <w:szCs w:val="18"/>
                <w:color w:val="auto"/>
              </w:rPr>
              <w:t>= (100% × 0.5%) + (20% × (2.80% – 2.5%))</w:t>
            </w:r>
          </w:p>
        </w:tc>
      </w:tr>
      <w:tr>
        <w:trPr>
          <w:trHeight w:val="324"/>
        </w:trPr>
        <w:tc>
          <w:tcPr>
            <w:tcW w:w="10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5"/>
              </w:rPr>
              <w:t>= 0.5%</w:t>
            </w:r>
          </w:p>
        </w:tc>
        <w:tc>
          <w:tcPr>
            <w:tcW w:w="5200" w:type="dxa"/>
            <w:vAlign w:val="bottom"/>
          </w:tcPr>
          <w:p>
            <w:pPr>
              <w:ind w:left="20"/>
              <w:spacing w:after="0"/>
              <w:rPr>
                <w:sz w:val="20"/>
                <w:szCs w:val="20"/>
                <w:color w:val="auto"/>
              </w:rPr>
            </w:pPr>
            <w:r>
              <w:rPr>
                <w:rFonts w:ascii="Arial" w:cs="Arial" w:eastAsia="Arial" w:hAnsi="Arial"/>
                <w:sz w:val="18"/>
                <w:szCs w:val="18"/>
                <w:color w:val="auto"/>
              </w:rPr>
              <w:t>+ (20%×0.3%)</w:t>
            </w:r>
          </w:p>
        </w:tc>
      </w:tr>
      <w:tr>
        <w:trPr>
          <w:trHeight w:val="324"/>
        </w:trPr>
        <w:tc>
          <w:tcPr>
            <w:tcW w:w="100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5"/>
              </w:rPr>
              <w:t>= 0.5%</w:t>
            </w:r>
          </w:p>
        </w:tc>
        <w:tc>
          <w:tcPr>
            <w:tcW w:w="5200" w:type="dxa"/>
            <w:vAlign w:val="bottom"/>
          </w:tcPr>
          <w:p>
            <w:pPr>
              <w:ind w:left="20"/>
              <w:spacing w:after="0"/>
              <w:rPr>
                <w:sz w:val="20"/>
                <w:szCs w:val="20"/>
                <w:color w:val="auto"/>
              </w:rPr>
            </w:pPr>
            <w:r>
              <w:rPr>
                <w:rFonts w:ascii="Arial" w:cs="Arial" w:eastAsia="Arial" w:hAnsi="Arial"/>
                <w:sz w:val="18"/>
                <w:szCs w:val="18"/>
                <w:color w:val="auto"/>
              </w:rPr>
              <w:t>+ 0.06%</w:t>
            </w:r>
          </w:p>
        </w:tc>
      </w:tr>
    </w:tbl>
    <w:p>
      <w:pPr>
        <w:spacing w:after="0" w:line="9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 0.56%</w:t>
      </w:r>
    </w:p>
    <w:p>
      <w:pPr>
        <w:spacing w:after="0" w:line="117" w:lineRule="exact"/>
        <w:rPr>
          <w:sz w:val="20"/>
          <w:szCs w:val="20"/>
          <w:color w:val="auto"/>
        </w:rPr>
      </w:pPr>
    </w:p>
    <w:p>
      <w:pPr>
        <w:ind w:left="40" w:right="979" w:firstLine="270"/>
        <w:spacing w:after="0" w:line="277" w:lineRule="auto"/>
        <w:rPr>
          <w:sz w:val="20"/>
          <w:szCs w:val="20"/>
          <w:color w:val="auto"/>
        </w:rPr>
      </w:pPr>
      <w:r>
        <w:rPr>
          <w:rFonts w:ascii="Arial" w:cs="Arial" w:eastAsia="Arial" w:hAnsi="Arial"/>
          <w:sz w:val="18"/>
          <w:szCs w:val="18"/>
          <w:color w:val="auto"/>
        </w:rPr>
        <w:t>Pre-incentive fee net investment income exceeds the hurdle rate, and fully satisfies the “catch-up” provision, therefore the income related portion of the incentive fee is 0.56%.</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1:</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75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Year 2: Investment A sold for $50 million and fair market value (“FMV”) of Investment B determined to be $32 million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Year 3: FMV of Investment B determined to be $25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Year 4: Investment B sold for $31 million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17"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2: Capital gains incentive fee of $6 million ($30 million realized capital gains on sale of Investment A multiplied by 20%)</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3: None</w:t>
      </w:r>
    </w:p>
    <w:p>
      <w:pPr>
        <w:spacing w:after="0" w:line="117"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$5 million (20% multiplied by ($30 million cumulative capital gains less $5 million cumulative capital depreciation)) less $6 million (previous capital gains fee paid in Year 2).</w:t>
      </w:r>
    </w:p>
    <w:p>
      <w:pPr>
        <w:spacing w:after="0" w:line="62" w:lineRule="exact"/>
        <w:rPr>
          <w:sz w:val="20"/>
          <w:szCs w:val="20"/>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4: Capital gains incentive fee of $200,000</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$6.2 million ($31 million cumulative realized capital gains multiplied by 20%) less $6 million (capital gains fee taken in Year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8.0% annualized hurdle rate.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2.00% annualized management fee.</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17" w:lineRule="exact"/>
        <w:rPr>
          <w:rFonts w:ascii="Arial" w:cs="Arial" w:eastAsia="Arial" w:hAnsi="Arial"/>
          <w:sz w:val="18"/>
          <w:szCs w:val="18"/>
          <w:color w:val="auto"/>
        </w:rPr>
      </w:pPr>
    </w:p>
    <w:p>
      <w:pPr>
        <w:jc w:val="both"/>
        <w:ind w:left="280" w:right="999" w:hanging="272"/>
        <w:spacing w:after="0" w:line="264"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“catch-up” provision is intended to provide the Adviser with an incentive fee of 20% on all of Capitala Finance’s pre-incentive fee net investment income as if a hurdle rate did not apply when its net investment income exceeds 2.5% in any calendar quarter.</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Alternative 2:</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107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62" w:lineRule="exact"/>
        <w:rPr>
          <w:rFonts w:ascii="Arial" w:cs="Arial" w:eastAsia="Arial" w:hAnsi="Arial"/>
          <w:sz w:val="18"/>
          <w:szCs w:val="18"/>
          <w:color w:val="auto"/>
        </w:rPr>
      </w:pPr>
    </w:p>
    <w:p>
      <w:pPr>
        <w:ind w:left="600" w:right="65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3: FMV of Investment B determined to be $27 million and Investment C sold for $30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4: FMV of Investment B determined to be $24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 5: Investment B sold for $20 million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capital gains incentive fee, if any, would be:</w:t>
      </w:r>
    </w:p>
    <w:p>
      <w:pPr>
        <w:spacing w:after="0" w:line="117" w:lineRule="exact"/>
        <w:rPr>
          <w:sz w:val="20"/>
          <w:szCs w:val="20"/>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 2: $5 million capital gains incentive fee</w:t>
      </w:r>
    </w:p>
    <w:p>
      <w:pPr>
        <w:spacing w:after="0" w:line="117"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20% multiplied by $25 million ($30 million realized capital gains on Investment A less unrealized capital depreciation on Investment B).</w:t>
      </w:r>
    </w:p>
    <w:p>
      <w:pPr>
        <w:spacing w:after="0" w:line="56" w:lineRule="exact"/>
        <w:rPr>
          <w:sz w:val="20"/>
          <w:szCs w:val="20"/>
          <w:color w:val="auto"/>
        </w:rPr>
      </w:pPr>
    </w:p>
    <w:p>
      <w:pPr>
        <w:ind w:left="600" w:hanging="322"/>
        <w:spacing w:after="0"/>
        <w:tabs>
          <w:tab w:leader="none" w:pos="60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Year 3: $1.4 million capital gains incentive fee</w:t>
      </w:r>
      <w:r>
        <w:rPr>
          <w:rFonts w:ascii="Arial" w:cs="Arial" w:eastAsia="Arial" w:hAnsi="Arial"/>
          <w:sz w:val="30"/>
          <w:szCs w:val="30"/>
          <w:color w:val="auto"/>
          <w:vertAlign w:val="superscript"/>
        </w:rPr>
        <w:t>(1)</w:t>
      </w:r>
    </w:p>
    <w:p>
      <w:pPr>
        <w:ind w:left="40" w:right="779" w:firstLine="270"/>
        <w:spacing w:after="0" w:line="259" w:lineRule="auto"/>
        <w:rPr>
          <w:sz w:val="20"/>
          <w:szCs w:val="20"/>
          <w:color w:val="auto"/>
        </w:rPr>
      </w:pPr>
      <w:r>
        <w:rPr>
          <w:rFonts w:ascii="Arial" w:cs="Arial" w:eastAsia="Arial" w:hAnsi="Arial"/>
          <w:sz w:val="18"/>
          <w:szCs w:val="18"/>
          <w:color w:val="auto"/>
        </w:rPr>
        <w:t>$6.4 million (20% multiplied by $32 million ($35 million cumulative realized capital gains less $3 million unrealized capital depreciation)) less $5 million capital gains fee received in Year 2.</w:t>
      </w:r>
    </w:p>
    <w:p>
      <w:pPr>
        <w:spacing w:after="0" w:line="77" w:lineRule="exact"/>
        <w:rPr>
          <w:sz w:val="20"/>
          <w:szCs w:val="20"/>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4: None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Year 5: None</w:t>
      </w:r>
    </w:p>
    <w:p>
      <w:pPr>
        <w:spacing w:after="0" w:line="117"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$5 million (20% multiplied by $25 million (cumulative realized capital gains of $35 million less realized capital losses of $10 million)) less $6.4 million cumulative capital gains fee paid in Year 2 and Year 3.</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Example 3: Application of the Incentive Fee Deferral Mechanism</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Assumptions</w:t>
      </w:r>
    </w:p>
    <w:p>
      <w:pPr>
        <w:spacing w:after="0" w:line="117" w:lineRule="exact"/>
        <w:rPr>
          <w:sz w:val="20"/>
          <w:szCs w:val="20"/>
          <w:color w:val="auto"/>
        </w:rPr>
      </w:pPr>
    </w:p>
    <w:p>
      <w:pPr>
        <w:ind w:left="600" w:right="679" w:hanging="322"/>
        <w:spacing w:after="0" w:line="276" w:lineRule="auto"/>
        <w:tabs>
          <w:tab w:leader="none" w:pos="6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In each of Years 1 through 4 in this example pre-incentive fee net investment income equals $40.0 million per year, which we recognized evenly in each quarter of each year and paid quarterly. This amount exceeds the hurdle rate and the requirement of the “catch-up” provision in each quarter of such year. As a result, the annual income related portion of the incentive fee, before the application of the deferral mechanism in any year is $8.0 million ($40.0 million multiplied by 20%). All income-related incentive fees were paid quarterly in arrears.</w:t>
      </w:r>
    </w:p>
    <w:p>
      <w:pPr>
        <w:spacing w:after="0" w:line="64" w:lineRule="exact"/>
        <w:rPr>
          <w:rFonts w:ascii="Arial" w:cs="Arial" w:eastAsia="Arial" w:hAnsi="Arial"/>
          <w:sz w:val="17"/>
          <w:szCs w:val="17"/>
          <w:color w:val="auto"/>
        </w:rPr>
      </w:pPr>
    </w:p>
    <w:p>
      <w:pPr>
        <w:ind w:left="600" w:right="899" w:hanging="322"/>
        <w:spacing w:after="0" w:line="277" w:lineRule="auto"/>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each year preceding Year 1, we did not generate realized or unrealized capital gains or losses, no capital gain-related incentive fee was paid and there was no deferral of incentive fees.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Year 1: We did not generate realized or unrealized capital gains or losses.</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Year 2: We realized a $30.0 million capital gain and did not otherwise generate realized or unrealized capital gains or losses.</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Year 3: We recognized $5.0 million of unrealized capital depreciation and did not otherwise generate realized or unrealized capital gains or losses.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Year 4: We realized a $6.0 million capital gain and did not otherwise generate realized or unrealized capital gains or losses.</w:t>
      </w:r>
    </w:p>
    <w:p>
      <w:pPr>
        <w:spacing w:after="0" w:line="200" w:lineRule="exact"/>
        <w:rPr>
          <w:rFonts w:ascii="Arial" w:cs="Arial" w:eastAsia="Arial" w:hAnsi="Arial"/>
          <w:sz w:val="16"/>
          <w:szCs w:val="16"/>
          <w:color w:val="auto"/>
        </w:rPr>
      </w:pPr>
    </w:p>
    <w:p>
      <w:pPr>
        <w:spacing w:after="0" w:line="399" w:lineRule="exact"/>
        <w:rPr>
          <w:rFonts w:ascii="Arial" w:cs="Arial" w:eastAsia="Arial" w:hAnsi="Arial"/>
          <w:sz w:val="16"/>
          <w:szCs w:val="16"/>
          <w:color w:val="auto"/>
        </w:rPr>
      </w:pPr>
    </w:p>
    <w:p>
      <w:pPr>
        <w:ind w:left="280" w:right="559" w:hanging="272"/>
        <w:spacing w:after="0" w:line="264"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illustrated in Year 3 of Alternative 1 above, if the Company were to be wound up on a date other than December 31 of any year, the Company may have paid aggregate capital gain incentive fees that are more than the amount of such fees that would be payable if the Company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-612775</wp:posOffset>
            </wp:positionV>
            <wp:extent cx="6172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92075</wp:posOffset>
            </wp:positionV>
            <wp:extent cx="1586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4" w:lineRule="exact"/>
        <w:rPr>
          <w:sz w:val="20"/>
          <w:szCs w:val="20"/>
          <w:color w:val="auto"/>
        </w:rPr>
      </w:pPr>
    </w:p>
    <w:p>
      <w:pPr>
        <w:jc w:val="center"/>
        <w:ind w:left="800"/>
        <w:spacing w:after="0"/>
        <w:rPr>
          <w:sz w:val="20"/>
          <w:szCs w:val="20"/>
          <w:color w:val="auto"/>
        </w:rPr>
      </w:pPr>
      <w:r>
        <w:rPr>
          <w:rFonts w:ascii="Arial" w:cs="Arial" w:eastAsia="Arial" w:hAnsi="Arial"/>
          <w:sz w:val="13"/>
          <w:szCs w:val="13"/>
          <w:b w:val="1"/>
          <w:bCs w:val="1"/>
          <w:color w:val="auto"/>
        </w:rPr>
        <w:t>Income Related Incentive</w:t>
      </w:r>
    </w:p>
    <w:p>
      <w:pPr>
        <w:spacing w:after="0" w:line="3" w:lineRule="exact"/>
        <w:rPr>
          <w:sz w:val="20"/>
          <w:szCs w:val="20"/>
          <w:color w:val="auto"/>
        </w:rPr>
      </w:pPr>
    </w:p>
    <w:p>
      <w:pPr>
        <w:jc w:val="center"/>
        <w:ind w:left="800"/>
        <w:spacing w:after="0"/>
        <w:rPr>
          <w:sz w:val="20"/>
          <w:szCs w:val="20"/>
          <w:color w:val="auto"/>
        </w:rPr>
      </w:pPr>
      <w:r>
        <w:rPr>
          <w:rFonts w:ascii="Arial" w:cs="Arial" w:eastAsia="Arial" w:hAnsi="Arial"/>
          <w:sz w:val="14"/>
          <w:szCs w:val="14"/>
          <w:b w:val="1"/>
          <w:bCs w:val="1"/>
          <w:color w:val="auto"/>
        </w:rPr>
        <w:t>Fee Accrued</w:t>
      </w:r>
    </w:p>
    <w:p>
      <w:pPr>
        <w:jc w:val="center"/>
        <w:ind w:left="800"/>
        <w:spacing w:after="0" w:line="221" w:lineRule="auto"/>
        <w:rPr>
          <w:sz w:val="20"/>
          <w:szCs w:val="20"/>
          <w:color w:val="auto"/>
        </w:rPr>
      </w:pPr>
      <w:r>
        <w:rPr>
          <w:rFonts w:ascii="Arial" w:cs="Arial" w:eastAsia="Arial" w:hAnsi="Arial"/>
          <w:sz w:val="14"/>
          <w:szCs w:val="14"/>
          <w:b w:val="1"/>
          <w:bCs w:val="1"/>
          <w:color w:val="auto"/>
        </w:rPr>
        <w:t>Before Application</w:t>
      </w:r>
    </w:p>
    <w:p>
      <w:pPr>
        <w:jc w:val="center"/>
        <w:ind w:left="800"/>
        <w:spacing w:after="0" w:line="221" w:lineRule="auto"/>
        <w:rPr>
          <w:sz w:val="20"/>
          <w:szCs w:val="20"/>
          <w:color w:val="auto"/>
        </w:rPr>
      </w:pPr>
      <w:r>
        <w:rPr>
          <w:rFonts w:ascii="Arial" w:cs="Arial" w:eastAsia="Arial" w:hAnsi="Arial"/>
          <w:sz w:val="14"/>
          <w:szCs w:val="14"/>
          <w:b w:val="1"/>
          <w:bCs w:val="1"/>
          <w:color w:val="auto"/>
        </w:rPr>
        <w:t>of Deferral</w:t>
      </w:r>
    </w:p>
    <w:p>
      <w:pPr>
        <w:spacing w:after="0" w:line="1" w:lineRule="exact"/>
        <w:rPr>
          <w:sz w:val="20"/>
          <w:szCs w:val="20"/>
          <w:color w:val="auto"/>
        </w:rPr>
      </w:pPr>
    </w:p>
    <w:p>
      <w:pPr>
        <w:jc w:val="center"/>
        <w:ind w:left="800"/>
        <w:spacing w:after="0"/>
        <w:rPr>
          <w:sz w:val="20"/>
          <w:szCs w:val="20"/>
          <w:color w:val="auto"/>
        </w:rPr>
      </w:pPr>
      <w:r>
        <w:rPr>
          <w:rFonts w:ascii="Arial" w:cs="Arial" w:eastAsia="Arial" w:hAnsi="Arial"/>
          <w:sz w:val="14"/>
          <w:szCs w:val="14"/>
          <w:b w:val="1"/>
          <w:bCs w:val="1"/>
          <w:color w:val="auto"/>
        </w:rPr>
        <w:t>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-3175</wp:posOffset>
            </wp:positionV>
            <wp:extent cx="11493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tabs>
          <w:tab w:leader="none" w:pos="660" w:val="left"/>
        </w:tabs>
        <w:rPr>
          <w:sz w:val="20"/>
          <w:szCs w:val="20"/>
          <w:color w:val="auto"/>
        </w:rPr>
      </w:pPr>
      <w:r>
        <w:rPr>
          <w:rFonts w:ascii="Arial" w:cs="Arial" w:eastAsia="Arial" w:hAnsi="Arial"/>
          <w:sz w:val="18"/>
          <w:szCs w:val="18"/>
          <w:color w:val="auto"/>
        </w:rPr>
        <w:t>Year 1</w:t>
      </w:r>
      <w:r>
        <w:rPr>
          <w:sz w:val="20"/>
          <w:szCs w:val="20"/>
          <w:color w:val="auto"/>
        </w:rPr>
        <w:tab/>
      </w:r>
      <w:r>
        <w:rPr>
          <w:rFonts w:ascii="Arial" w:cs="Arial" w:eastAsia="Arial" w:hAnsi="Arial"/>
          <w:sz w:val="17"/>
          <w:szCs w:val="17"/>
          <w:color w:val="auto"/>
        </w:rPr>
        <w:t>$8.0 million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Year 2</w:t>
      </w:r>
      <w:r>
        <w:rPr>
          <w:sz w:val="20"/>
          <w:szCs w:val="20"/>
          <w:color w:val="auto"/>
        </w:rPr>
        <w:tab/>
      </w:r>
      <w:r>
        <w:rPr>
          <w:rFonts w:ascii="Arial" w:cs="Arial" w:eastAsia="Arial" w:hAnsi="Arial"/>
          <w:sz w:val="17"/>
          <w:szCs w:val="17"/>
          <w:color w:val="auto"/>
        </w:rPr>
        <w:t>$8.0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Year 3</w:t>
      </w:r>
      <w:r>
        <w:rPr>
          <w:sz w:val="20"/>
          <w:szCs w:val="20"/>
          <w:color w:val="auto"/>
        </w:rPr>
        <w:tab/>
      </w:r>
      <w:r>
        <w:rPr>
          <w:rFonts w:ascii="Arial" w:cs="Arial" w:eastAsia="Arial" w:hAnsi="Arial"/>
          <w:sz w:val="17"/>
          <w:szCs w:val="17"/>
          <w:color w:val="auto"/>
        </w:rPr>
        <w:t>$8.0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Year 4</w:t>
      </w:r>
      <w:r>
        <w:rPr>
          <w:sz w:val="20"/>
          <w:szCs w:val="20"/>
          <w:color w:val="auto"/>
        </w:rPr>
        <w:tab/>
      </w:r>
      <w:r>
        <w:rPr>
          <w:rFonts w:ascii="Arial" w:cs="Arial" w:eastAsia="Arial" w:hAnsi="Arial"/>
          <w:sz w:val="17"/>
          <w:szCs w:val="17"/>
          <w:color w:val="auto"/>
        </w:rPr>
        <w:t>$8.0 million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 million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multiplied by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Payment of Our Expenses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Capital Gains Related</w:t>
            </w: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 Fee</w:t>
            </w: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Incentive Fees Paid</w:t>
            </w: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 Before</w:t>
            </w:r>
          </w:p>
        </w:tc>
        <w:tc>
          <w:tcPr>
            <w:tcW w:w="80" w:type="dxa"/>
            <w:vAlign w:val="bottom"/>
          </w:tcPr>
          <w:p>
            <w:pPr>
              <w:spacing w:after="0"/>
              <w:rPr>
                <w:sz w:val="12"/>
                <w:szCs w:val="12"/>
                <w:color w:val="auto"/>
              </w:rPr>
            </w:pPr>
          </w:p>
        </w:tc>
        <w:tc>
          <w:tcPr>
            <w:tcW w:w="18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Incentive Fee</w:t>
            </w:r>
          </w:p>
        </w:tc>
        <w:tc>
          <w:tcPr>
            <w:tcW w:w="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Application of Deferral</w:t>
            </w:r>
          </w:p>
        </w:tc>
        <w:tc>
          <w:tcPr>
            <w:tcW w:w="8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Mechanism</w:t>
            </w:r>
          </w:p>
        </w:tc>
        <w:tc>
          <w:tcPr>
            <w:tcW w:w="80" w:type="dxa"/>
            <w:vAlign w:val="bottom"/>
          </w:tcPr>
          <w:p>
            <w:pPr>
              <w:spacing w:after="0"/>
              <w:rPr>
                <w:sz w:val="14"/>
                <w:szCs w:val="14"/>
                <w:color w:val="auto"/>
              </w:rPr>
            </w:pPr>
          </w:p>
        </w:tc>
        <w:tc>
          <w:tcPr>
            <w:tcW w:w="18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Calculations</w:t>
            </w:r>
          </w:p>
        </w:tc>
        <w:tc>
          <w:tcPr>
            <w:tcW w:w="10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Deferred</w:t>
            </w:r>
          </w:p>
        </w:tc>
        <w:tc>
          <w:tcPr>
            <w:tcW w:w="0" w:type="dxa"/>
            <w:vAlign w:val="bottom"/>
          </w:tcPr>
          <w:p>
            <w:pPr>
              <w:spacing w:after="0"/>
              <w:rPr>
                <w:sz w:val="1"/>
                <w:szCs w:val="1"/>
                <w:color w:val="auto"/>
              </w:rPr>
            </w:pPr>
          </w:p>
        </w:tc>
      </w:tr>
      <w:tr>
        <w:trPr>
          <w:trHeight w:val="195"/>
        </w:trPr>
        <w:tc>
          <w:tcPr>
            <w:tcW w:w="1820" w:type="dxa"/>
            <w:vAlign w:val="bottom"/>
          </w:tcPr>
          <w:p>
            <w:pPr>
              <w:ind w:left="20"/>
              <w:spacing w:after="0" w:line="195" w:lineRule="exact"/>
              <w:rPr>
                <w:sz w:val="20"/>
                <w:szCs w:val="20"/>
                <w:color w:val="auto"/>
              </w:rPr>
            </w:pPr>
            <w:r>
              <w:rPr>
                <w:rFonts w:ascii="Arial" w:cs="Arial" w:eastAsia="Arial" w:hAnsi="Arial"/>
                <w:sz w:val="18"/>
                <w:szCs w:val="18"/>
                <w:color w:val="auto"/>
              </w:rPr>
              <w:t>None</w:t>
            </w:r>
          </w:p>
        </w:tc>
        <w:tc>
          <w:tcPr>
            <w:tcW w:w="80" w:type="dxa"/>
            <w:vAlign w:val="bottom"/>
          </w:tcPr>
          <w:p>
            <w:pPr>
              <w:spacing w:after="0"/>
              <w:rPr>
                <w:sz w:val="16"/>
                <w:szCs w:val="16"/>
                <w:color w:val="auto"/>
              </w:rPr>
            </w:pPr>
          </w:p>
        </w:tc>
        <w:tc>
          <w:tcPr>
            <w:tcW w:w="1800" w:type="dxa"/>
            <w:vAlign w:val="bottom"/>
          </w:tcPr>
          <w:p>
            <w:pPr>
              <w:spacing w:after="0" w:line="195" w:lineRule="exact"/>
              <w:rPr>
                <w:sz w:val="20"/>
                <w:szCs w:val="20"/>
                <w:color w:val="auto"/>
              </w:rPr>
            </w:pPr>
            <w:r>
              <w:rPr>
                <w:rFonts w:ascii="Arial" w:cs="Arial" w:eastAsia="Arial" w:hAnsi="Arial"/>
                <w:sz w:val="18"/>
                <w:szCs w:val="18"/>
                <w:color w:val="auto"/>
              </w:rPr>
              <w:t>$8.0 million</w:t>
            </w:r>
          </w:p>
        </w:tc>
        <w:tc>
          <w:tcPr>
            <w:tcW w:w="100" w:type="dxa"/>
            <w:vAlign w:val="bottom"/>
          </w:tcPr>
          <w:p>
            <w:pPr>
              <w:spacing w:after="0"/>
              <w:rPr>
                <w:sz w:val="16"/>
                <w:szCs w:val="16"/>
                <w:color w:val="auto"/>
              </w:rPr>
            </w:pPr>
          </w:p>
        </w:tc>
        <w:tc>
          <w:tcPr>
            <w:tcW w:w="1840" w:type="dxa"/>
            <w:vAlign w:val="bottom"/>
          </w:tcPr>
          <w:p>
            <w:pPr>
              <w:spacing w:after="0" w:line="195" w:lineRule="exact"/>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$8.0 million paid; no</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$6.0 million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$14.0 million</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$30.0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$14.0 million paid; no</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None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$7.0 million (20% of</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net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 sum of (a) our</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$7.0 million paid;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of $25.0 million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pre-incentive fee net</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$8.0 million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($30.0 million in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accrued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realized</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(b) our net unrealized</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but payment restricted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less $5.0 million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appreciation or</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to $7.0 million;</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in cumulative</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depreciation during</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$1.0 million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unrealized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such period and</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depreciation) less</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 our net realized</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$6.0 million of capital</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capital gains or losses</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fee paid in</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during Year 3)</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Year 2)</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$0.2 million (20% of</w:t>
            </w:r>
          </w:p>
        </w:tc>
        <w:tc>
          <w:tcPr>
            <w:tcW w:w="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$8.2 million</w:t>
            </w: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net capital</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$9.2 million paid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gains of $31.0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($8.2 million of</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($36.0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accrued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realized</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 Year 4 plus</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capital gains less</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$1.0 million of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$5.0 million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incentive fees); no</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cumulative unrealized</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w w:val="99"/>
              </w:rPr>
              <w:t>incentive fees deferred</w:t>
            </w: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capital depreciation)</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less $6.0 million of</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20"/>
              <w:spacing w:after="0"/>
              <w:rPr>
                <w:sz w:val="20"/>
                <w:szCs w:val="20"/>
                <w:color w:val="auto"/>
              </w:rPr>
            </w:pPr>
            <w:r>
              <w:rPr>
                <w:rFonts w:ascii="Arial" w:cs="Arial" w:eastAsia="Arial" w:hAnsi="Arial"/>
                <w:sz w:val="18"/>
                <w:szCs w:val="18"/>
                <w:color w:val="auto"/>
              </w:rPr>
              <w:t>capital gains fee paid</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in Year 2)</w:t>
            </w: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-4672965</wp:posOffset>
            </wp:positionV>
            <wp:extent cx="3576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2380" w:space="180"/>
            <w:col w:w="7519"/>
          </w:cols>
          <w:pgMar w:left="380" w:top="792" w:right="1440" w:bottom="1440" w:gutter="0" w:footer="0" w:header="0"/>
        </w:sectPr>
      </w:pPr>
    </w:p>
    <w:p>
      <w:pPr>
        <w:ind w:left="40" w:right="559" w:firstLine="270"/>
        <w:spacing w:after="0" w:line="259" w:lineRule="auto"/>
        <w:rPr>
          <w:sz w:val="20"/>
          <w:szCs w:val="20"/>
          <w:color w:val="auto"/>
        </w:rPr>
      </w:pPr>
      <w:r>
        <w:rPr>
          <w:rFonts w:ascii="Arial" w:cs="Arial" w:eastAsia="Arial" w:hAnsi="Arial"/>
          <w:sz w:val="18"/>
          <w:szCs w:val="18"/>
          <w:color w:val="auto"/>
        </w:rPr>
        <w:t>The investment team of our Investment Advisor and their respective staffs, when and to the extent engaged in providing investment advisory and management services, and the compensation and routine overhead expenses of such personnel allocable to such services, are provided and paid for by the Investment Advisor. We bear all other costs and expenses of our operations and transactions, including (without limitation):</w:t>
      </w:r>
    </w:p>
    <w:p>
      <w:pPr>
        <w:spacing w:after="0" w:line="79" w:lineRule="exact"/>
        <w:rPr>
          <w:sz w:val="20"/>
          <w:szCs w:val="20"/>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17" w:lineRule="exact"/>
        <w:rPr>
          <w:rFonts w:ascii="Arial" w:cs="Arial" w:eastAsia="Arial" w:hAnsi="Arial"/>
          <w:sz w:val="18"/>
          <w:szCs w:val="18"/>
          <w:color w:val="auto"/>
        </w:rPr>
      </w:pPr>
    </w:p>
    <w:p>
      <w:pPr>
        <w:ind w:left="600" w:right="839" w:hanging="322"/>
        <w:spacing w:after="0" w:line="264"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17" w:lineRule="exact"/>
        <w:rPr>
          <w:rFonts w:ascii="Arial" w:cs="Arial" w:eastAsia="Arial" w:hAnsi="Arial"/>
          <w:sz w:val="18"/>
          <w:szCs w:val="18"/>
          <w:color w:val="auto"/>
        </w:rPr>
      </w:pPr>
    </w:p>
    <w:p>
      <w:pPr>
        <w:ind w:left="600" w:right="659" w:hanging="32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Exchange Act and other applicable federal and state securities laws, and ongoing stock exchange fees;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117" w:lineRule="exact"/>
        <w:rPr>
          <w:rFonts w:ascii="Arial" w:cs="Arial" w:eastAsia="Arial" w:hAnsi="Arial"/>
          <w:sz w:val="18"/>
          <w:szCs w:val="18"/>
          <w:color w:val="auto"/>
        </w:rPr>
      </w:pPr>
    </w:p>
    <w:p>
      <w:pPr>
        <w:ind w:left="600" w:right="1099" w:hanging="32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117" w:lineRule="exact"/>
        <w:rPr>
          <w:rFonts w:ascii="Arial" w:cs="Arial" w:eastAsia="Arial" w:hAnsi="Arial"/>
          <w:sz w:val="18"/>
          <w:szCs w:val="18"/>
          <w:color w:val="auto"/>
        </w:rPr>
      </w:pPr>
    </w:p>
    <w:p>
      <w:pPr>
        <w:ind w:left="600" w:right="739" w:hanging="322"/>
        <w:spacing w:after="0" w:line="255"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117" w:lineRule="exact"/>
        <w:rPr>
          <w:sz w:val="20"/>
          <w:szCs w:val="20"/>
          <w:color w:val="auto"/>
        </w:rPr>
      </w:pPr>
    </w:p>
    <w:p>
      <w:pPr>
        <w:ind w:left="40" w:right="599" w:firstLine="270"/>
        <w:spacing w:after="0" w:line="253" w:lineRule="auto"/>
        <w:rPr>
          <w:sz w:val="20"/>
          <w:szCs w:val="20"/>
          <w:color w:val="auto"/>
        </w:rPr>
      </w:pPr>
      <w:r>
        <w:rPr>
          <w:rFonts w:ascii="Arial" w:cs="Arial" w:eastAsia="Arial" w:hAnsi="Arial"/>
          <w:sz w:val="18"/>
          <w:szCs w:val="18"/>
          <w:color w:val="auto"/>
        </w:rPr>
        <w:t>The Investment Advisory Agreement was initially approved by the Board on June 10, 2013 and signed on September 24, 2013. The Investment Advisory Agreement was re-approved by the Board, including by a majority of our non-interested directors, at an in-person meeting on August 6, 2015. Unless earlier terminated as described below, the Investment Advisory Agreement will remain in effect from year to year if approved annually by our Board or by the affirmative vote of the holders of a majority of our outstanding voting securities, including, in either case, approval by a majority of our directors who are not parties to such agreement or who are not “interested persons” of any such party, as such term is defined in Section 2(a)(19) of the 1940 Act. The Investment Advisory Agreement will automatically terminate in the event of its assignment. The Investment Advisory Agreement may also be terminated by either party without penalty upon not less than 60 days’ written notice to the other party. See “Risk Factors — Risks Relating to Our Business and Structure — Our Investment Advisor will have the right to resign on 60 days’ notice.”</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The Investment Advisory Agreement provides that, absent willful misfeasance, bad faith or gross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the Investment Advisor’s services under the Investment Advisory Agreement or otherwise as an investment adviser of Capitala Finance.</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 of the Investment Advisor</w:t>
      </w:r>
    </w:p>
    <w:p>
      <w:pPr>
        <w:spacing w:after="0" w:line="117"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The Investment Advisor is a Delaware limited liability company. The principal executive offices of the Investment Advisor are located at 4201 Congress Street, Suite 360, Charlotte, North Carolina 28209.</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Capitala Advisors Corp., a North Carolina corporation, serves as our administrator. The principal executive offices of our administrator are located at 4201 Congress Street, Suite 360, Charlotte, North Carolina 28209. Capitala Advisors Corp., pursuant to a sub-administration agreement, has engaged</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67" w:lineRule="auto"/>
        <w:rPr>
          <w:sz w:val="20"/>
          <w:szCs w:val="20"/>
          <w:color w:val="auto"/>
        </w:rPr>
      </w:pPr>
      <w:r>
        <w:rPr>
          <w:rFonts w:ascii="Arial" w:cs="Arial" w:eastAsia="Arial" w:hAnsi="Arial"/>
          <w:sz w:val="17"/>
          <w:szCs w:val="17"/>
          <w:color w:val="auto"/>
        </w:rPr>
        <w:t>U.S. Bancorp Fund Services, LLC to act on behalf of the Administrator in its performance of certain administrative services for us. The principal office of U.S. Bancorp Fund Services, LLC is 777 East Wisconsin Avenue, Milwaukee, WI 53202. Pursuant to the Administration Agreement, our administrator furnishes us with office facilities, equipment and clerical, bookkeeping and record keeping services at such facilities. Under the Administration Agreement, our administrator also performs, or oversees the performance of, our required administrative services, which include, among other things, being responsible for the financial records that we are required to maintain and preparing reports to our stockholders. In addition, our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the Administration Agreement are equal to an amount based upon our allocable portion of our administrator’s overhead in performing its obligations under the Administration Agreement, including rent, the fees and expenses associated with performing compliance functions and our allocable portion of the compensation of our chief financial officer, chief compliance officer and our allocable portion of the compensation of their respective administrative support staff. Under the Administration Agreement, our administrator will also provide on our behalf managerial assistance to those portfolio companies that request such assistance. Unless terminated earlier in accordance with its terms, the Administration Agreement will remain in effect if approved annually by our Board. On August 6, 2015, the Board approved the renewal of the Administration Agreement. The Administration Agreement may be terminated by either party without penalty upon 60 days’ written notice to the other party. To the extent that our administrator outsources any of its functions, we will pay the fees associated with such functions on a direct basis without any incremental profit to our administrator. Stockholder approval is not required to amend the Administration Agreement.</w:t>
      </w:r>
    </w:p>
    <w:p>
      <w:pPr>
        <w:spacing w:after="0" w:line="82"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Our administrator also provides administrative services to our Investment Advisor. As a result, the Investment Advisor will also reimburse our administrator for its allocable portion of our administrator’s overhead, including rent, the fees and expenses associated with performing compliance functions for the Investment Advisor, and its allocable portion of the compensation of any administrative support staff.</w:t>
      </w:r>
    </w:p>
    <w:p>
      <w:pPr>
        <w:spacing w:after="0" w:line="79" w:lineRule="exact"/>
        <w:rPr>
          <w:sz w:val="20"/>
          <w:szCs w:val="20"/>
          <w:color w:val="auto"/>
        </w:rPr>
      </w:pPr>
    </w:p>
    <w:p>
      <w:pPr>
        <w:ind w:left="40" w:right="819" w:firstLine="270"/>
        <w:spacing w:after="0" w:line="273" w:lineRule="auto"/>
        <w:rPr>
          <w:sz w:val="20"/>
          <w:szCs w:val="20"/>
          <w:color w:val="auto"/>
        </w:rPr>
      </w:pPr>
      <w:r>
        <w:rPr>
          <w:rFonts w:ascii="Arial" w:cs="Arial" w:eastAsia="Arial" w:hAnsi="Arial"/>
          <w:sz w:val="17"/>
          <w:szCs w:val="17"/>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Capitala Finance for any damages, liabilities, costs and expenses (including reasonable attorneys’ fees and amounts reasonably paid in settlement) arising from the rendering of our administrator’s services under the Administration Agreement or otherwise as administrator for Capitala Finance.</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 Under this agreement, we have a right to use the Capitala name for so long as the Investment Advisory Agreement with the Investment Advisor is in effect. Other than with respect to this limited license, we will have no legal right to the “Capitala” name.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Staffing</w:t>
      </w:r>
    </w:p>
    <w:p>
      <w:pPr>
        <w:spacing w:after="0" w:line="121" w:lineRule="exact"/>
        <w:rPr>
          <w:sz w:val="20"/>
          <w:szCs w:val="20"/>
          <w:color w:val="auto"/>
        </w:rPr>
      </w:pPr>
    </w:p>
    <w:p>
      <w:pPr>
        <w:ind w:left="40" w:right="819" w:firstLine="270"/>
        <w:spacing w:after="0" w:line="286" w:lineRule="auto"/>
        <w:rPr>
          <w:sz w:val="20"/>
          <w:szCs w:val="20"/>
          <w:color w:val="auto"/>
        </w:rPr>
      </w:pPr>
      <w:r>
        <w:rPr>
          <w:rFonts w:ascii="Arial" w:cs="Arial" w:eastAsia="Arial" w:hAnsi="Arial"/>
          <w:sz w:val="17"/>
          <w:szCs w:val="17"/>
          <w:color w:val="auto"/>
        </w:rPr>
        <w:t>Capitala Finance has no employees. Mr. Alala, through his financial interests in the Investment Advisor, will be entitled to a portion of any investment advisory fees paid by Capitala Finance to the Investment Advisor. Our other executive officers are employees of our administrator and perform their functions under the terms of our Administration Agreement.</w:t>
      </w:r>
    </w:p>
    <w:p>
      <w:pPr>
        <w:spacing w:after="0" w:line="5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Our day-to-day investment operations are managed by the Investment Advisor. The Investment Advisor’s investment team currently consists of the members of its investment committee, Messrs. Alala, McGlinn and Broyhill, and a team of eighteen additional investment professionals. The Investment Advisor may hire additional investment professionals, based upon its needs, in the future. See “— Investment Advisory Agreement.”</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In addition, we reimburse our administrator for our allocable portion of overhead and other expenses incurred by it in performing its obligations under the Administration Agreement, including rent, the fees and expenses associated with performing compliance functions, and the compensation of our chief financial officer, chief compliance officer, and their respective administrative support staff. See “— Administration Agreement.”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PROCESS AND DETERMINATION OF NET ASSET VALUE</w:t>
      </w:r>
    </w:p>
    <w:p>
      <w:pPr>
        <w:spacing w:after="0" w:line="12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We determine the net asset value of our investment portfolio each quarter by subtracting our total liabilities from the fair value of our gross assets.</w:t>
      </w:r>
    </w:p>
    <w:p>
      <w:pPr>
        <w:spacing w:after="0" w:line="62" w:lineRule="exact"/>
        <w:rPr>
          <w:sz w:val="20"/>
          <w:szCs w:val="20"/>
          <w:color w:val="auto"/>
        </w:rPr>
      </w:pPr>
    </w:p>
    <w:p>
      <w:pPr>
        <w:jc w:val="both"/>
        <w:ind w:left="40" w:right="759" w:firstLine="270"/>
        <w:spacing w:after="0" w:line="264" w:lineRule="auto"/>
        <w:rPr>
          <w:sz w:val="20"/>
          <w:szCs w:val="20"/>
          <w:color w:val="auto"/>
        </w:rPr>
      </w:pPr>
      <w:r>
        <w:rPr>
          <w:rFonts w:ascii="Arial" w:cs="Arial" w:eastAsia="Arial" w:hAnsi="Arial"/>
          <w:sz w:val="18"/>
          <w:szCs w:val="18"/>
          <w:color w:val="auto"/>
        </w:rPr>
        <w:t>We conduct the valuation of our assets, pursuant to which our net asset value shall be determined, at all times consistent with U.S. generally accepted accounting principles (“U.S. GAAP”) and the 1940 Act. Our valuation procedures are set forth in more detail below:</w:t>
      </w:r>
    </w:p>
    <w:p>
      <w:pPr>
        <w:spacing w:after="0" w:line="73"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Securities for which market quotations are readily available on an exchange shall be valued at such price as of the closing price on the day of valuation. We may also obtain quotes with respect to certain of our investments from pricing services or brokers or dealers in order to value assets. When doing so, we determine whether the quote obtained is sufficient according to GAAP to determine the fair value of the security. If determined adequate, we use the quote obtained.</w:t>
      </w:r>
    </w:p>
    <w:p>
      <w:pPr>
        <w:spacing w:after="0" w:line="63"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our Investment Advisor or the Board, does not represent fair value, which we expect will represent a substantial majority of the investments in our portfolio, shall be valued as follows: (i) each portfolio company or investment is initially valued by the investment professionals responsible for the portfolio investment; (ii) preliminary valuation conclusions are documented and discussed with our senior management; (iii) independent third-party valuation firms engaged by, or on behalf of, the Board will conduct independent appraisals, review management’s preliminary valuations and prepare separate preliminary valuation conclusions on a selected basis such that each portfolio investment shall be independently reviewed at least annually (investments will not be selected for such review, however, if they (a) have a value as of the previous quarter of less than 1.0% of our gross assets as of the previous quarter, or (b) have a value as of the current quarter of less than 1.0% of our gross assets as of the previous quarter, after taking into account any repayment of principal during the current quarter); and (iv) the Board will discuss valuations and determine the fair value of each investment in our portfolio in good faith based on the input of the Investment Advisor and, where appropriate, the respective third-party valuation firms.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recommendation of fair value will generally be based on the following factors, as relevant:</w:t>
      </w:r>
    </w:p>
    <w:p>
      <w:pPr>
        <w:spacing w:after="0" w:line="117" w:lineRule="exact"/>
        <w:rPr>
          <w:sz w:val="20"/>
          <w:szCs w:val="20"/>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portfolio company’s ability to make payments;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portfolio company’s earnings and discounted cash flow;</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markets in which the issuer does business;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comparisons to publicly traded securities.</w:t>
      </w:r>
    </w:p>
    <w:p>
      <w:pPr>
        <w:spacing w:after="0" w:line="117"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Securities for which market quotations are not readily available or for which a pricing source is not sufficient may include, but are not limited to, the following:</w:t>
      </w:r>
    </w:p>
    <w:p>
      <w:pPr>
        <w:spacing w:after="0" w:line="62" w:lineRule="exact"/>
        <w:rPr>
          <w:sz w:val="20"/>
          <w:szCs w:val="20"/>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private placements and restricted securities that do not have an active trading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whose trading has been suspended or for which market quotes are no longer available;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securities that have recently gone into default and for which there is no current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whose prices are stale;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affected by significant events;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that the investment adviser believes were priced incorrectly.</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79" w:firstLine="270"/>
        <w:spacing w:after="0" w:line="279" w:lineRule="auto"/>
        <w:rPr>
          <w:sz w:val="20"/>
          <w:szCs w:val="20"/>
          <w:color w:val="auto"/>
        </w:rPr>
      </w:pPr>
      <w:r>
        <w:rPr>
          <w:rFonts w:ascii="Arial" w:cs="Arial" w:eastAsia="Arial" w:hAnsi="Arial"/>
          <w:sz w:val="17"/>
          <w:szCs w:val="17"/>
          <w:color w:val="auto"/>
        </w:rPr>
        <w:t>Determination of fair value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 In addition, the SBA has established certain valuation guidelines for SBICs to follow when valuing portfolio investments.</w:t>
      </w:r>
    </w:p>
    <w:p>
      <w:pPr>
        <w:spacing w:after="0" w:line="63" w:lineRule="exact"/>
        <w:rPr>
          <w:sz w:val="20"/>
          <w:szCs w:val="20"/>
          <w:color w:val="auto"/>
        </w:rPr>
      </w:pPr>
    </w:p>
    <w:p>
      <w:pPr>
        <w:ind w:left="40" w:right="839" w:firstLine="270"/>
        <w:spacing w:after="0" w:line="293" w:lineRule="auto"/>
        <w:rPr>
          <w:sz w:val="20"/>
          <w:szCs w:val="20"/>
          <w:color w:val="auto"/>
        </w:rPr>
      </w:pPr>
      <w:r>
        <w:rPr>
          <w:rFonts w:ascii="Arial" w:cs="Arial" w:eastAsia="Arial" w:hAnsi="Arial"/>
          <w:sz w:val="16"/>
          <w:szCs w:val="16"/>
          <w:color w:val="auto"/>
        </w:rPr>
        <w:t>In making the good faith determination of the value of these securities, we start with the cost basis of the security, which includes the amortized original issue discount and paid-in-kind interest or dividends, if any. We prepare the valuations of our investments in portfolio companies using the most recent portfolio company financial statements and forecasts. We also consult updates that we receive from senior management members at portfolio companies, whether solicited for valuation purposes, or received in the ordinary course of our portfolio monitoring or due diligence process. These updates include information such as industry trends, new product development or service offerings and other operational or strategic issues.</w:t>
      </w:r>
    </w:p>
    <w:p>
      <w:pPr>
        <w:spacing w:after="0" w:line="57"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For debt securities that are not publicly traded or for which there is no market, we begin with our investment rating of the security as described above. Using this investment rating, we seek to determine the value of the security as if we intended to sell the security in a current sale. The factors that may be taken into account in arriving at fair value include the following, as applicable: the portfolio company’s ability to service its interest and principal payment obligations, its estimated earnings and projected discounted cash flows, the nature and realizable value of any collateral, the financial environment in which the portfolio company operates, comparisons to securities of similar publicly traded companies, statistical ratios compared to lending standards and to other similarly situated securities and other relevant factors.</w:t>
      </w:r>
    </w:p>
    <w:p>
      <w:pPr>
        <w:spacing w:after="0" w:line="8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As part of the valuation process, the audit committee reviews the preliminary evaluations prepared by the independent valuation firm engaged by the Board, as well as management’s valuation recommendations. Management and the independent valuation firm respond to the preliminary evaluation to reflect comments provided by the audit committee. The audit committee reviews the final valuation report and management’s valuation recommendations and makes a recommendation to the Board based on its analysis of the methodologies employed and the various weights that should be accorded to each portion of the valuation as well as factors that the independent valuation firm and management may not have considered in their evaluation process. The Board then evaluates the audit committee recommendations and undertakes a similar analysis to determine the fair value of each investment in the portfolio in good faith.</w:t>
      </w:r>
    </w:p>
    <w:p>
      <w:pPr>
        <w:spacing w:after="0" w:line="7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 Additionally, changes in the market environment and other events that may occur over the life of the investments may cause the gains or losses ultimately realized on these investments to differ from the valuations assigned at any time. For a discussion of the risks inherent in determining the fair value of securities for which readily available market values do not exist, see “Risk Factors.”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In connection with certain future offerings of shares of our common stock, our Board or an authorized committee thereof will be required to make the determination that we are not selling shares of our common stock at a price below the then current net asset value of our common stock at the time at which the sale is made. Our Board or an authorized committee thereof will consider the following factors, among others, in making such a determination:</w:t>
      </w:r>
    </w:p>
    <w:p>
      <w:pPr>
        <w:spacing w:after="0" w:line="79" w:lineRule="exact"/>
        <w:rPr>
          <w:sz w:val="20"/>
          <w:szCs w:val="20"/>
          <w:color w:val="auto"/>
        </w:rPr>
      </w:pPr>
    </w:p>
    <w:p>
      <w:pPr>
        <w:ind w:left="600" w:hanging="32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17" w:lineRule="exact"/>
        <w:rPr>
          <w:rFonts w:ascii="Arial" w:cs="Arial" w:eastAsia="Arial" w:hAnsi="Arial"/>
          <w:sz w:val="18"/>
          <w:szCs w:val="18"/>
          <w:color w:val="auto"/>
        </w:rPr>
      </w:pPr>
    </w:p>
    <w:p>
      <w:pPr>
        <w:ind w:left="600" w:right="619" w:hanging="322"/>
        <w:spacing w:after="0" w:line="259"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619" w:hanging="322"/>
        <w:spacing w:after="0" w:line="273"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magnitude of the difference between (i) a value that our Board or an authorized committee thereof has determined reflects the current (as of a time within 48 hours, excluding Sundays and holidays) net asset value of our common stock, which is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70"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Moreover, to the extent that there is even a remote possibility that we may (i) issue shares of our common stock at a price per share below the then current net asset value per share of our common stock at the time at which the sale is made or (ii) trigger the undertaking (which we provide in certain registration statements we file with the SEC) to suspend the offering of shares of our common stock if the net asset value per share of our common stock fluctuates by certain amounts in certain circumstances until the prospectus is amended, our Board will elect, in the case of clause (i) above, either to postpone the offering until such time that there is no longer the possibility of the occurrence of such event or to undertake to determine the net asset value per share of our common stock within two days prior to any such sale to ensure that such sale will not be below our then current net asset value per share and, in the case of clause (ii) above, to comply with such undertaking or to undertake to determine the net asset value per share of our common stock to ensure that such undertaking has not been triggered.</w:t>
      </w:r>
    </w:p>
    <w:p>
      <w:pPr>
        <w:spacing w:after="0" w:line="59"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We compete for investments with other BDCs and investment funds (including private equity funds, mezzanine funds and other SBICs), as well as traditional financial services companies such as commercial banks and other sources of funding. Additionally, competition for investment opportunities has emerged among alternative investment vehicles, such as Collateralized Loan Obligations (“CLO”) and other BDCs, some of which are sponsored by other alternative asset investors, as these entities have begun to focus on making investments in smaller and lower middle-market companies. As a result of these new entrants, competition for our investment opportunities may intensify. Many of these entities have greater financial and managerial resources than we do. We believe we will be able to compete with these entities primarily on the basis of our experience and reputation, our willingness to make smaller investments than other specialty finance companies, the contacts and relationships of our Investment Advisor, our responsive and efficient investment analysis and decision-making processes, and the investment terms we offer.</w:t>
      </w:r>
    </w:p>
    <w:p>
      <w:pPr>
        <w:spacing w:after="0" w:line="59"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We believe that certain of our competitors may make first- and second-lien loans with interest rates and returns that will be comparable to or lower than the rates and returns that we will target. Therefore, we will not seek to compete solely on the interest rates and returns that we offer to potential portfolio companies. For additional information concerning the competitive risks we face, see “Risk Factors — Risk Relating to Our Business and Structure — We operate in a highly competitive market for investment opportunities, which could reduce returns and result in losses.”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As a BDC, the Company has elected to be treated, and intends to comply with the requirements to continue to qualify annually, as a regulated investment company under Subchapter M of the Internal Revenue Code of 1986, as amended. As a RIC, we generally will not have to pay corporate-level U.S. federal income taxes on any income that we distribute to our stockholders as dividends. To qualify as a RIC, we must, among other things, meet certain source-of-income and asset diversification requirements (as described below). In addition, to qualify for RIC tax treatment we must distribute to our stockholders, for each taxable year, at least 90% of our “investment company taxable income,” which generally is our ordinary income plus the excess of our realized net short-term capital gains over our realized net long-term capital losses (the “Annual Distribution Requirement”).</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any taxable year in which we:</w:t>
      </w:r>
    </w:p>
    <w:p>
      <w:pPr>
        <w:spacing w:after="0" w:line="117" w:lineRule="exact"/>
        <w:rPr>
          <w:sz w:val="20"/>
          <w:szCs w:val="20"/>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17" w:lineRule="exact"/>
        <w:rPr>
          <w:sz w:val="20"/>
          <w:szCs w:val="20"/>
          <w:color w:val="auto"/>
        </w:rPr>
      </w:pPr>
    </w:p>
    <w:p>
      <w:pPr>
        <w:jc w:val="both"/>
        <w:ind w:left="40" w:right="679"/>
        <w:spacing w:after="0" w:line="342" w:lineRule="auto"/>
        <w:rPr>
          <w:sz w:val="20"/>
          <w:szCs w:val="20"/>
          <w:color w:val="auto"/>
        </w:rPr>
      </w:pPr>
      <w:r>
        <w:rPr>
          <w:rFonts w:ascii="Arial" w:cs="Arial" w:eastAsia="Arial" w:hAnsi="Arial"/>
          <w:sz w:val="16"/>
          <w:szCs w:val="16"/>
          <w:color w:val="auto"/>
        </w:rPr>
        <w:t>we generally will not be subject to U.S. federal income tax on the portion of our income we distribute to stockholders. We will be subject to U.S. federal income tax at the regular corporate rates on any income or capital gains not distributed to our stockholders.</w:t>
      </w:r>
    </w:p>
    <w:p>
      <w:pPr>
        <w:spacing w:after="0" w:line="16"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We will be subject to a 4% nondeductible U.S. federal excise tax on certain undistributed income unless we distribute in a timely manner an amount at least equal to the sum of (1) 98% of our net ordinary income for each calendar year, (2) 98.2% of our capital gain net income for the one-year period ending October 31 in that calendar year and (3) any income recognized, but not distributed, in preceding years and on which we paid no corporate-level U.S. federal income tax (the “Excise Tax Distribution Requirement”).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order to qualify as a RIC for U.S. federal income tax purposes, we must, among other things:</w:t>
      </w:r>
    </w:p>
    <w:p>
      <w:pPr>
        <w:spacing w:after="0" w:line="117" w:lineRule="exact"/>
        <w:rPr>
          <w:sz w:val="20"/>
          <w:szCs w:val="20"/>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 to qualify as a BDC under the 1940 Act at all times during each taxable year;</w:t>
      </w:r>
    </w:p>
    <w:p>
      <w:pPr>
        <w:spacing w:after="0" w:line="117" w:lineRule="exact"/>
        <w:rPr>
          <w:rFonts w:ascii="Arial" w:cs="Arial" w:eastAsia="Arial" w:hAnsi="Arial"/>
          <w:sz w:val="18"/>
          <w:szCs w:val="18"/>
          <w:color w:val="auto"/>
        </w:rPr>
      </w:pPr>
    </w:p>
    <w:p>
      <w:pPr>
        <w:ind w:left="600" w:right="619" w:hanging="322"/>
        <w:spacing w:after="0" w:line="259"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loans of certain securities, gains from the sale or other disposition of stock, securities or foreign currencies, net income from certain “qualified publicly traded partnerships,” or other income derived with respect to our business of investing in such stock or securities (the “90% Income Test”); and</w:t>
      </w:r>
    </w:p>
    <w:p>
      <w:pPr>
        <w:spacing w:after="0" w:line="78"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ind w:left="880" w:right="579" w:hanging="332"/>
        <w:spacing w:after="0" w:line="286" w:lineRule="auto"/>
        <w:tabs>
          <w:tab w:leader="none" w:pos="8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7" w:lineRule="exact"/>
        <w:rPr>
          <w:rFonts w:ascii="Arial" w:cs="Arial" w:eastAsia="Arial" w:hAnsi="Arial"/>
          <w:sz w:val="17"/>
          <w:szCs w:val="17"/>
          <w:color w:val="auto"/>
        </w:rPr>
      </w:pPr>
    </w:p>
    <w:p>
      <w:pPr>
        <w:ind w:left="880" w:right="679" w:hanging="332"/>
        <w:spacing w:after="0" w:line="259" w:lineRule="auto"/>
        <w:tabs>
          <w:tab w:leader="none" w:pos="8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“Diversification Tests”).</w:t>
      </w:r>
    </w:p>
    <w:p>
      <w:pPr>
        <w:spacing w:after="0" w:line="79"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Qualified earnings may exclude such income as management fees received in connection with our SBIC subsidiaries or other potential outside managed funds and certain other fees.</w:t>
      </w:r>
    </w:p>
    <w:p>
      <w:pPr>
        <w:spacing w:after="0" w:line="62"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IRS, a RIC may treat a distribution of its own stock as fulfilling its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We have no current intention of paying dividends in shares of our stock in accordance with these Treasury regulations or private letter rulings.</w:t>
      </w:r>
    </w:p>
    <w:p>
      <w:pPr>
        <w:spacing w:after="0" w:line="74"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55" w:lineRule="auto"/>
        <w:rPr>
          <w:sz w:val="20"/>
          <w:szCs w:val="20"/>
          <w:color w:val="auto"/>
        </w:rPr>
      </w:pPr>
      <w:r>
        <w:rPr>
          <w:rFonts w:ascii="Arial" w:cs="Arial" w:eastAsia="Arial" w:hAnsi="Arial"/>
          <w:sz w:val="18"/>
          <w:szCs w:val="18"/>
          <w:color w:val="auto"/>
        </w:rPr>
        <w:t>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85"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Gain or loss realized by us from the sale or exchange of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3"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Distribution Requirement, we may make such dispositions at times that, from an investment standpoint, are not advantageous. If we are prohibited from making distributions or are unable to obtain cash from other sources to make the distributions, we may fail to qualify as a RIC, which would result in us becoming subject to corporate-level U.S. federal income tax.</w:t>
      </w:r>
    </w:p>
    <w:p>
      <w:pPr>
        <w:spacing w:after="0" w:line="89"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In addition, we will be partially dependent on our SBIC subsidiaries for cash distributions to enable us to meet the RIC distribution requirements. Our SBIC subsidiaries may be limited by the Small Business Investment Act of 1958, and SBA regulations governing SBICs, from making certain distributions to us that may be necessary to maintain our status as a RIC. We may have to request a waiver of the SBA’s restrictions for our SBIC subsidiaries to make certain distributions to maintain our RIC status. We cannot assure you that the SBA will grant such waiver. If our SBIC subsidiaries are unable to obtain a waiver, compliance with the SBA regulations may cause us to fail to qualify as a RIC, which would result in us becoming subject to corporate-level U.S. federal income tax.</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remainder of this discussion assumes that we will qualify as a RIC and have satisfied the Annual Distribution Requirement.</w:t>
      </w:r>
    </w:p>
    <w:p>
      <w:pPr>
        <w:spacing w:after="0" w:line="140"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Any transactions in options, futures contracts, constructive sales, hedging, straddle, conversion or similar transactions, and forward contracts will be subject to special tax rules, the effect of which may be to accelerate income to us, defer losses, cause adjustments to the holding periods of our investments, convert long-term capital gains into short-term capital gains, convert short-term capital losses into long-term capital losses or have other tax consequences. These rules could affect the amount, timing and character of distributions to stockholders. We do not currently intend to engage in these types of transactions.</w:t>
      </w:r>
    </w:p>
    <w:p>
      <w:pPr>
        <w:spacing w:after="0" w:line="50"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A RIC is limited in its ability to deduct expenses in excess of its “investment company taxable income” (which is, generally, ordinary income plus net realized short-term capital gains in excess of net realized long-term capital losses). If our expenses in a given year exceed gross taxable income (e.g., as the result of large amounts of equity-based compensation),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w:t>
      </w:r>
    </w:p>
    <w:p>
      <w:pPr>
        <w:spacing w:after="0" w:line="6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Investment income received from sources within foreign countries, or capital gains earned by investing in securities of foreign issuers, may be subject to foreign income taxes withheld at the source. In this regard,</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76" w:lineRule="auto"/>
        <w:rPr>
          <w:sz w:val="20"/>
          <w:szCs w:val="20"/>
          <w:color w:val="auto"/>
        </w:rPr>
      </w:pPr>
      <w:r>
        <w:rPr>
          <w:rFonts w:ascii="Arial" w:cs="Arial" w:eastAsia="Arial" w:hAnsi="Arial"/>
          <w:sz w:val="17"/>
          <w:szCs w:val="17"/>
          <w:color w:val="auto"/>
        </w:rPr>
        <w:t>withholding tax rates in countries with which the United States does not have a tax treaty are often as high as 35% or more. The United States has entered into tax treaties with many foreign countries that may entitle us to a reduced rate of tax or exemption from tax on this related income and gains. The effective rate of foreign tax cannot be determined at this time since the amount of our assets to be invested within various countries is not now known. We do not anticipate being eligible for the special election that allows a RIC to treat foreign income taxes paid by such RIC as paid by its stockholders.</w:t>
      </w:r>
    </w:p>
    <w:p>
      <w:pPr>
        <w:spacing w:after="0" w:line="64" w:lineRule="exact"/>
        <w:rPr>
          <w:sz w:val="20"/>
          <w:szCs w:val="20"/>
          <w:color w:val="auto"/>
        </w:rPr>
      </w:pPr>
    </w:p>
    <w:p>
      <w:pPr>
        <w:ind w:left="40" w:right="639" w:firstLine="270"/>
        <w:spacing w:after="0" w:line="290" w:lineRule="auto"/>
        <w:rPr>
          <w:sz w:val="20"/>
          <w:szCs w:val="20"/>
          <w:color w:val="auto"/>
        </w:rPr>
      </w:pPr>
      <w:r>
        <w:rPr>
          <w:rFonts w:ascii="Arial" w:cs="Arial" w:eastAsia="Arial" w:hAnsi="Arial"/>
          <w:sz w:val="16"/>
          <w:szCs w:val="16"/>
          <w:color w:val="auto"/>
        </w:rPr>
        <w:t>If we acquire stock in certain foreign corporations that receive at least 75% of their annual gross income from passive sources (such as interest, dividends, rents, royalties or capital gain) or hold at least 50% of their total assets in investments producing such passive income (“passive foreign investment companies”), we could be subject to U.S. federal income tax and additional interest charges on “excess distributions” received from such companies or gain from the sale of stock in such companies, even if all income or gain actually received by us is timely distributed to our stockholders. We would not be able to pass through to our stockholders any credit or deduction for such a tax. Certain elections may, if available, ameliorate these adverse tax consequences, but any such election requires us to recognize taxable income or gain without the concurrent receipt of cash. We intend to limit and/or manage our holdings in passive foreign investment companies to minimize our tax liability.</w:t>
      </w:r>
    </w:p>
    <w:p>
      <w:pPr>
        <w:spacing w:after="0" w:line="58"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Foreign exchange gains and losses realized by us in connection with certain transactions involving non-dollar debt securities, certain foreign currency futures contracts, foreign currency option contracts, foreign currency forward contracts, foreign currencies, or payables or receivables denominated in a foreign currency are subject to Code provisions that generally treat such gains and losses as ordinary income and losses and may affect the amount, timing and character of distributions to our stockholders. Any such transactions that are not directly related to our investment in securities (possibly including speculative currency positions or currency derivatives not used for hedging purposes) could, under future Treasury regulations, produce income not among the types of “qualifying income” from which a RIC must derive at least 90% of its annual gross income.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ACQUISITION OF PORTFOLIO ASSETS OF THE LEGACY FUNDS</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We believe that our acquisition of the Legacy Funds’ portfolio assets in exchange for shares of our common stock generally was tax free to us and the Legacy Funds. As a result, our initial adjusted basis in the Legacy Funds’ portfolio assets was equal to the Legacy Funds’ adjusted basis in such assets immediately prior to our acquisition of such assets increased by any gain recognized by the Legacy Funds as a result of such transaction. Such adjusted basis will be used in determining the amount of our taxable gain or loss upon a sale or other disposition of such assets. To the extent that such assets had built-in gain (i.e., assets whose fair market value exceeds our tax basis at the time we acquired them) on the date of acquisition, when such gain is recognized by us upon a sale or other disposition such assets, we will be required to distribute such gain to our shareholders in order to eliminate our liability for corporate-level U.S. federal income tax on such gain and possibly to maintain our qualification as a RIC under the Code. Investors will be subject to tax on the distribution even though such gain accrued prior to our acquisition of such assets and even though the distribution effectively represents a return of their investment.</w:t>
      </w:r>
    </w:p>
    <w:p>
      <w:pPr>
        <w:spacing w:after="0" w:line="70" w:lineRule="exact"/>
        <w:rPr>
          <w:sz w:val="20"/>
          <w:szCs w:val="20"/>
          <w:color w:val="auto"/>
        </w:rPr>
      </w:pPr>
    </w:p>
    <w:p>
      <w:pPr>
        <w:ind w:left="40" w:right="519" w:firstLine="270"/>
        <w:spacing w:after="0" w:line="288" w:lineRule="auto"/>
        <w:rPr>
          <w:sz w:val="20"/>
          <w:szCs w:val="20"/>
          <w:color w:val="auto"/>
        </w:rPr>
      </w:pPr>
      <w:r>
        <w:rPr>
          <w:rFonts w:ascii="Arial" w:cs="Arial" w:eastAsia="Arial" w:hAnsi="Arial"/>
          <w:sz w:val="16"/>
          <w:szCs w:val="16"/>
          <w:color w:val="auto"/>
        </w:rPr>
        <w:t>In addition, to the extent that any beneficial owner of interests in the Legacy Funds on the date of our acquisition of the Legacy Funds’ portfolio assets was a C corporation (a “corporate partner”), we will be required to pay a corporate-level U.S. federal income tax on the net amount of any such built-in gains attributable to the corporate partners that we recognize during the ten-year period (or shorter applicable period) beginning on the date of acquisition. Alternatively, we may make a special election to cause the gain to be recognized at the time of the acquisition. In that event, the Legacy Funds would be required to recognize such built-in gain as if a proportionate share of such Funds’ assets were sold at the time of the acquisition. We do not anticipate making this election at this time. Any corporate-level built-in gain tax is payable at the time the built-in gains are recognized (which generally will be the years in which the built-in gain assets are sold in a taxable transaction). The amount of this tax will vary depending on the assets that are actually sold by us in this 10-year period (or shorter applicable period), the actual amount of net built-in gain or loss present in those assets as of the acquisition date and effective tax rates. The payment of any such</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308" w:lineRule="auto"/>
        <w:rPr>
          <w:sz w:val="20"/>
          <w:szCs w:val="20"/>
          <w:color w:val="auto"/>
        </w:rPr>
      </w:pPr>
      <w:r>
        <w:rPr>
          <w:rFonts w:ascii="Arial" w:cs="Arial" w:eastAsia="Arial" w:hAnsi="Arial"/>
          <w:sz w:val="17"/>
          <w:szCs w:val="17"/>
          <w:color w:val="auto"/>
        </w:rPr>
        <w:t>corporate-level U.S. federal income tax on built-in gains will be a company expense that will be borne by all shareholders (not just any former corporate partners) and will reduce the amount available for distribution to shareholders.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73"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to the extent of our current and accumulated earnings and profits and, subject to certain limitations, may be eligible for the 20% maximum rate for noncorporate taxpayers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10 years (or shorter applicable period), unless we made a special election to pay corporate-level U.S. federal income tax on such built-in gain at the time of our requalification as a RIC.</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80"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85"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As with other companies regulated by the 1940 Act, a BDC must adhere to certain substantive regulatory requirements. A majority of our directors must be persons who are not interested persons, as that term is defined in the 1940 Act. Additionally, we will be required to provide and maintain a bond issued by a reputable fidelity insurance company to protect the BDC. Furthermore, as a BDC, we will be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50"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prohibited under the 1940 Act from knowingly participating in certain transactions with our affiliates without the prior approval of our directors who are not interested persons and, in some cases, prior approval by the SEC.</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generally not able to issue and sell our common stock at a price below net asset value per share. See “Risk</w:t>
      </w:r>
    </w:p>
    <w:p>
      <w:pPr>
        <w:spacing w:after="0" w:line="23" w:lineRule="exact"/>
        <w:rPr>
          <w:sz w:val="20"/>
          <w:szCs w:val="20"/>
          <w:color w:val="auto"/>
        </w:rPr>
      </w:pPr>
    </w:p>
    <w:p>
      <w:pPr>
        <w:ind w:left="40" w:right="559"/>
        <w:spacing w:after="0" w:line="268" w:lineRule="auto"/>
        <w:rPr>
          <w:sz w:val="20"/>
          <w:szCs w:val="20"/>
          <w:color w:val="auto"/>
        </w:rPr>
      </w:pPr>
      <w:r>
        <w:rPr>
          <w:rFonts w:ascii="Arial" w:cs="Arial" w:eastAsia="Arial" w:hAnsi="Arial"/>
          <w:sz w:val="17"/>
          <w:szCs w:val="17"/>
          <w:color w:val="auto"/>
        </w:rPr>
        <w:t>Factors — Risks Relating to Our Business and Structure — Regulations governing our operation as a BDC affect our ability to raise additional capital and the way in which we do so.” We may, however, sell our common stock, or warrants, options or rights to acquire our common stock, at a price below the then-current net asset value of our common stock if our Board determines that such sale is in our best interests and the best interests of our stockholders, and our stockholders approve our policy and practice of making such sales. In any such case, under such circumstances, the price at which our common stock to be issued and sold may not be less than a price which, in the determination of our Board, closely approximates the market value of such common stock. In addition, we may generally issue new shares of our common stock at a price below net asset value in rights offerings to existing stockholders, in payment of dividends and in certain other limited circumstances.</w:t>
      </w:r>
    </w:p>
    <w:p>
      <w:pPr>
        <w:spacing w:after="0" w:line="76"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As a BDC, we are generally limited in our ability to invest in any portfolio company in which our Investment Advisor or any of its affiliates currently has an investment or to make any co-investments with our Investment Advisor or its affiliates without an exemptive order from the SEC, subject to certain exceptions.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17" w:lineRule="exact"/>
        <w:rPr>
          <w:sz w:val="20"/>
          <w:szCs w:val="20"/>
          <w:color w:val="auto"/>
        </w:rPr>
      </w:pPr>
    </w:p>
    <w:p>
      <w:pPr>
        <w:ind w:left="40" w:right="1319" w:firstLine="270"/>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 — Risks Relating to Our Business and Structure.”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“70% Test”). The principal categories of qualifying assets relevant to our proposed business are the following:</w:t>
      </w:r>
    </w:p>
    <w:p>
      <w:pPr>
        <w:spacing w:after="0" w:line="79" w:lineRule="exact"/>
        <w:rPr>
          <w:sz w:val="20"/>
          <w:szCs w:val="20"/>
          <w:color w:val="auto"/>
        </w:rPr>
      </w:pPr>
    </w:p>
    <w:p>
      <w:pPr>
        <w:ind w:left="600" w:hanging="322"/>
        <w:spacing w:after="0"/>
        <w:tabs>
          <w:tab w:leader="none" w:pos="6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the issuer of which is an eligible portfolio company;</w:t>
      </w:r>
    </w:p>
    <w:p>
      <w:pPr>
        <w:spacing w:after="0" w:line="140" w:lineRule="exact"/>
        <w:rPr>
          <w:rFonts w:ascii="Arial" w:cs="Arial" w:eastAsia="Arial" w:hAnsi="Arial"/>
          <w:sz w:val="16"/>
          <w:szCs w:val="16"/>
          <w:color w:val="auto"/>
        </w:rPr>
      </w:pPr>
    </w:p>
    <w:p>
      <w:pPr>
        <w:ind w:left="600" w:right="679" w:hanging="322"/>
        <w:spacing w:after="0" w:line="277"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with respect to securities described in the bullet above or pursuant to the exercise of options, warrants or rights relating to such securities; and</w:t>
      </w:r>
    </w:p>
    <w:p>
      <w:pPr>
        <w:spacing w:after="0" w:line="62" w:lineRule="exact"/>
        <w:rPr>
          <w:rFonts w:ascii="Arial" w:cs="Arial" w:eastAsia="Arial" w:hAnsi="Arial"/>
          <w:sz w:val="18"/>
          <w:szCs w:val="18"/>
          <w:color w:val="auto"/>
        </w:rPr>
      </w:pPr>
    </w:p>
    <w:p>
      <w:pPr>
        <w:ind w:left="600" w:right="759" w:hanging="322"/>
        <w:spacing w:after="0" w:line="277"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cash items, government securities or high quality debt securities (within the meaning of the 1940 Act), maturing in one year or less from the time of investment.</w:t>
      </w:r>
    </w:p>
    <w:p>
      <w:pPr>
        <w:spacing w:after="0" w:line="62"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An eligible portfolio company is generally a domestic company that is not an investment company (other than a small business investment company wholly owned by a BDC) and that:</w:t>
      </w:r>
    </w:p>
    <w:p>
      <w:pPr>
        <w:spacing w:after="0" w:line="62" w:lineRule="exact"/>
        <w:rPr>
          <w:sz w:val="20"/>
          <w:szCs w:val="20"/>
          <w:color w:val="auto"/>
        </w:rPr>
      </w:pPr>
    </w:p>
    <w:p>
      <w:pPr>
        <w:ind w:left="600" w:right="859" w:hanging="322"/>
        <w:spacing w:after="0" w:line="277"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does not have a class of securities with respect to which a broker may extend margin credit at the time the acquisition is made;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controlled by the BDC and has an affiliate of the BDC on its Board;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a public company that lists its securities on a national securities exchange with a market capitalization of less than $250 million; or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meets such other criteria as may be established by the SEC.</w:t>
      </w:r>
    </w:p>
    <w:p>
      <w:pPr>
        <w:spacing w:after="0" w:line="117"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Control, as defined by the 1940 Act, is presumed to exist where a BDC beneficially owns more than 25% of the outstanding voting securities of the portfolio company.</w:t>
      </w:r>
    </w:p>
    <w:p>
      <w:pPr>
        <w:spacing w:after="0" w:line="62"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eligible portfolio companies, or in other securities that are consistent with its purpose as a BDC.</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BDCs generally must offer to make available to the issuer of the securities significant managerial assistance, except in circumstances where either (i) the business development company controls such issuer of securities or (ii) the business development company purchases such securities in conjunction with one or more other persons acting together and one of the other persons in the group makes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40" w:right="659" w:firstLine="270"/>
        <w:spacing w:after="0" w:line="269"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under the Code. Thus, we do not intend to enter into repurchase agreements with a single counterparty in excess of this limit. Our Investment Advisor will monitor the creditworthiness of the counterparties with which we enter into repurchase agreement transactions.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at least equal to 200% immediately after each such issuance. On June 10, 2014, we received an exemptive order from the SEC granting relief from the asset coverage requirements for certain indebtedness issued by Fund II and Fund III as SBICs.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Relating to Our Business and Structure.”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 xml:space="preserve">We and our Investment Advisor have adopted a code of ethics pursuant to Rule 17j-1 under the 1940 Act and Rule 204A-1 under the Advisers Act that establishes procedures for personal investments and restricts certain transactions by our personnel. Our code of ethics generally does not permit investments by our employees in securities that may be purchased or held by us. You may read and copy our code of ethics at the SEC’s Public Reference Room in Washington, D.C. You may obtain information on the operation of the Public Reference Room by calling the SEC at 1-800-SEC-0330. You may also obtain copies of the code of ethics, after paying a duplicating fee, by electronic request at the following email address: publicinfo@sec.gov, or by writing the SEC’s Public Reference Section, 100 F Street, N.E., Washington, D.C. 20549. Our code of ethics is also available on our website at </w:t>
      </w:r>
      <w:r>
        <w:rPr>
          <w:rFonts w:ascii="Arial" w:cs="Arial" w:eastAsia="Arial" w:hAnsi="Arial"/>
          <w:sz w:val="18"/>
          <w:szCs w:val="18"/>
          <w:i w:val="1"/>
          <w:iCs w:val="1"/>
          <w:color w:val="auto"/>
        </w:rPr>
        <w:t>http://www.capitalagroup.com</w:t>
      </w:r>
      <w:r>
        <w:rPr>
          <w:rFonts w:ascii="Arial" w:cs="Arial" w:eastAsia="Arial" w:hAnsi="Arial"/>
          <w:sz w:val="18"/>
          <w:szCs w:val="18"/>
          <w:color w:val="auto"/>
        </w:rPr>
        <w: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We and our Investment Advisor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 Richard G. Wheelahan, III currently serves as our chief compliance officer.</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publicly-held companies and their insiders. Many of these requirements affect us. For example:</w:t>
      </w:r>
    </w:p>
    <w:p>
      <w:pPr>
        <w:spacing w:after="0" w:line="62" w:lineRule="exact"/>
        <w:rPr>
          <w:sz w:val="20"/>
          <w:szCs w:val="20"/>
          <w:color w:val="auto"/>
        </w:rPr>
      </w:pPr>
    </w:p>
    <w:p>
      <w:pPr>
        <w:ind w:left="600" w:right="1159" w:hanging="322"/>
        <w:spacing w:after="0" w:line="277"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62"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62" w:lineRule="exact"/>
        <w:rPr>
          <w:rFonts w:ascii="Arial" w:cs="Arial" w:eastAsia="Arial" w:hAnsi="Arial"/>
          <w:sz w:val="18"/>
          <w:szCs w:val="18"/>
          <w:color w:val="auto"/>
        </w:rPr>
      </w:pPr>
    </w:p>
    <w:p>
      <w:pPr>
        <w:ind w:left="600" w:right="619" w:hanging="322"/>
        <w:spacing w:after="0" w:line="259"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is required to prepare an annual report regarding its assessment of our internal control over financial reporting. When we are no longer an emerging growth company under the JOBS Act, our independent registered public accounting firm will be required to audit our internal controls over financial reporting; and</w:t>
      </w:r>
    </w:p>
    <w:p>
      <w:pPr>
        <w:spacing w:after="0" w:line="78" w:lineRule="exact"/>
        <w:rPr>
          <w:rFonts w:ascii="Arial" w:cs="Arial" w:eastAsia="Arial" w:hAnsi="Arial"/>
          <w:sz w:val="18"/>
          <w:szCs w:val="18"/>
          <w:color w:val="auto"/>
        </w:rPr>
      </w:pPr>
    </w:p>
    <w:p>
      <w:pPr>
        <w:ind w:left="600" w:right="659" w:hanging="322"/>
        <w:spacing w:after="0" w:line="259"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79" w:lineRule="exact"/>
        <w:rPr>
          <w:sz w:val="20"/>
          <w:szCs w:val="20"/>
          <w:color w:val="auto"/>
        </w:rPr>
      </w:pPr>
    </w:p>
    <w:p>
      <w:pPr>
        <w:ind w:left="40" w:right="699" w:firstLine="270"/>
        <w:spacing w:after="0" w:line="312" w:lineRule="auto"/>
        <w:rPr>
          <w:sz w:val="20"/>
          <w:szCs w:val="20"/>
          <w:color w:val="auto"/>
        </w:rPr>
      </w:pPr>
      <w:r>
        <w:rPr>
          <w:rFonts w:ascii="Arial" w:cs="Arial" w:eastAsia="Arial" w:hAnsi="Arial"/>
          <w:sz w:val="16"/>
          <w:szCs w:val="16"/>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We have delegated our proxy voting responsibility to the Investment Advisor. The proxy voting policies and procedures of the Investment Advisor are set forth below. The guidelines will be reviewed periodically by the Investment Advisor and our non-interested directors, and, accordingly, are subject to change. For purposes of the proxy voting policies and procedures described below, “we,” “our” and “us” refers to the Investment Advisor.</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we recognize that we must vote client securities in a timely manner free of conflicts of interest and in the best interests of our clients.</w:t>
      </w:r>
    </w:p>
    <w:p>
      <w:pPr>
        <w:spacing w:after="0" w:line="73"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Policies</w:t>
      </w:r>
    </w:p>
    <w:p>
      <w:pPr>
        <w:spacing w:after="0" w:line="117" w:lineRule="exact"/>
        <w:rPr>
          <w:sz w:val="20"/>
          <w:szCs w:val="20"/>
          <w:color w:val="auto"/>
        </w:rPr>
      </w:pPr>
    </w:p>
    <w:p>
      <w:pPr>
        <w:ind w:left="40" w:right="679" w:firstLine="270"/>
        <w:spacing w:after="0" w:line="302" w:lineRule="auto"/>
        <w:rPr>
          <w:sz w:val="20"/>
          <w:szCs w:val="20"/>
          <w:color w:val="auto"/>
        </w:rPr>
      </w:pPr>
      <w:r>
        <w:rPr>
          <w:rFonts w:ascii="Arial" w:cs="Arial" w:eastAsia="Arial" w:hAnsi="Arial"/>
          <w:sz w:val="16"/>
          <w:szCs w:val="16"/>
          <w:color w:val="auto"/>
        </w:rPr>
        <w:t>We will vote proxies relating to our portfolio securities in what we perceive to be the best interest of our clients’ stockholders. We will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 compelling long-term reasons to do so.</w:t>
      </w:r>
    </w:p>
    <w:p>
      <w:pPr>
        <w:spacing w:after="0" w:line="46"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Our proxy voting decisions will be made by the senior officers who are responsible for monitoring each of our clients’ investments. To ensure that our vote is not the product of a conflict of interest, we will require that: (1) anyone involved in the decision making process disclose to our managing member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Capitala Investment Advisors, LLC, 4201 Congress Street, Suite 360, Charlotte, North Carolina 28209.</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left="40" w:right="919" w:firstLine="270"/>
        <w:spacing w:after="0" w:line="279" w:lineRule="auto"/>
        <w:rPr>
          <w:sz w:val="20"/>
          <w:szCs w:val="20"/>
          <w:color w:val="auto"/>
        </w:rPr>
      </w:pPr>
      <w:r>
        <w:rPr>
          <w:rFonts w:ascii="Arial" w:cs="Arial" w:eastAsia="Arial" w:hAnsi="Arial"/>
          <w:sz w:val="17"/>
          <w:szCs w:val="17"/>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63"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Advisor and its affiliates with a legitimate business need for the information. We will maintain physical, electronic and procedural safeguards designed to protect the non-public personal information of our stockholders.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SMALL BUSINESS INVESTMENT COMPANY REGULATIONS</w:t>
      </w:r>
    </w:p>
    <w:p>
      <w:pPr>
        <w:spacing w:after="0" w:line="121"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Fund II and Fund III, which are our wholly-owned subsidiaries, are licensed to act as SBICs and are regulated by the SBA. As of December 31, 2015, investments in Fund II and Fund III accounted for approximately 12.4% and 46.5%, respectively, of our total portfolio. As of December 31, 2015 Fund II and Fund III had $34.2 million and $150.0 million, respectively, of SBA-guaranteed debentures outstanding under the SBIC program. Fund II and Fund III are fully drawn and may not make borrowings in excess of their aggregate $184.2 million of SBA-guaranteed debentures outstanding as of December 31, 2015.</w:t>
      </w:r>
    </w:p>
    <w:p>
      <w:pPr>
        <w:spacing w:after="0" w:line="64"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 SBA-guaranteed debentures are non-recourse, interest-only debentures with interest payable semi-annually and have a ten year maturity. The principal amount of SBA-guaranteed debentures is not required to be paid prior to maturity but may be prepaid at any time without penalty. The interest rate of SBA-guaranteed debentures is fixed at the time of issuance at a market-driven spread over U.S. Treasury Notes with 10-year maturities.</w:t>
      </w:r>
    </w:p>
    <w:p>
      <w:pPr>
        <w:spacing w:after="0" w:line="70"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SBICs are designed to stimulate the flow of private equity capital to eligible small businesses. Under current SBA regulations, a licensed SBIC may provide capital to those entities that have a tangible net worth not exceeding $19.5 million and an average annual net income after U.S. federal income taxes not exceeding $6.5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Fund II and Fund III to forego attractive investment opportunities that are not permitted under SBA regulations.</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Further, the SBA regulations require that a licensed SBIC be periodically examined and audited by the SBA to determine its compliance with the relevant SBA regulations. The SBA prohibits, without prior SBA approval, a “change of control” of an SBIC or transfers that would result in any person (or a group of persons acting in concert) owning 10.0% or more of a class of capital stock of a licensed SBIC. If either Fund II or Fund III fails to comply with applicable SBA regulations, the SBA could, depending on the severity of the violation, limit or prohibit Fund II’s and Fund III’s use of debentures, declare outstanding debentures immediately due and payable, and/or limit Fund II and Fund III from making new investments. Such actions by the SBA would, in turn, negatively affect us because Fund II and Fund III are our wholly-owned subsidiaries. Fund II and Fund III were in compliance with the terms of the SBA’s leverage as of December 31, 2015 as a result of having sufficient capital as defined under the SBA regulations.</w:t>
      </w:r>
    </w:p>
    <w:p>
      <w:pPr>
        <w:spacing w:after="0" w:line="89" w:lineRule="exact"/>
        <w:rPr>
          <w:sz w:val="20"/>
          <w:szCs w:val="20"/>
          <w:color w:val="auto"/>
        </w:rPr>
      </w:pPr>
    </w:p>
    <w:p>
      <w:pPr>
        <w:ind w:left="40" w:right="679" w:firstLine="270"/>
        <w:spacing w:after="0" w:line="272" w:lineRule="auto"/>
        <w:rPr>
          <w:sz w:val="20"/>
          <w:szCs w:val="20"/>
          <w:color w:val="auto"/>
        </w:rPr>
      </w:pPr>
      <w:r>
        <w:rPr>
          <w:rFonts w:ascii="Arial" w:cs="Arial" w:eastAsia="Arial" w:hAnsi="Arial"/>
          <w:sz w:val="17"/>
          <w:szCs w:val="17"/>
          <w:color w:val="auto"/>
        </w:rPr>
        <w:t>In December 2015, the 2016 omnibus spending bill approved by Congress and signed into law by the President increased the amount of SBA-guaranteed debentures that affiliated SBIC funds can have outstanding from $225.0 million to $350.0 million, subject to SBA approval. SBA regulations currently limit the amount that an SBIC subsidiary may borrow to a maximum of $150 million when it has at least $75 million in regulatory capital. Affiliated SBICs are permitted to issue up to a combined maximum amount of $350 million when they have at least $175 million in regulatory capital. As of December 31, 2015, Fund II had $26.2 million in regulatory capital and $34.2 million in SBA-guaranteed debentures outstanding and Fund III had $75.0 million in regulatory capital and $150.0 million in SBA-guaranteed debentures outstanding.</w:t>
      </w:r>
    </w:p>
    <w:p>
      <w:pPr>
        <w:spacing w:after="0" w:line="7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On June 10, 2014, we received exemptive relief from the SEC to permit us to exclude the debt of our SBIC subsidiaries guaranteed by the SBA from the definition of senior securities in the 200% asset coverage test under the 1940 Act. This provides us with increased flexibility under the 200% asset coverage test by permitting us to borrow up to $184.2 million more than we would otherwise be able to absent the receipt of this exemptive relief.</w:t>
      </w:r>
    </w:p>
    <w:p>
      <w:pPr>
        <w:spacing w:after="0" w:line="79" w:lineRule="exact"/>
        <w:rPr>
          <w:sz w:val="20"/>
          <w:szCs w:val="20"/>
          <w:color w:val="auto"/>
        </w:rPr>
      </w:pPr>
    </w:p>
    <w:p>
      <w:pPr>
        <w:ind w:left="40" w:right="699" w:firstLine="270"/>
        <w:spacing w:after="0" w:line="273" w:lineRule="auto"/>
        <w:rPr>
          <w:sz w:val="20"/>
          <w:szCs w:val="20"/>
          <w:color w:val="auto"/>
        </w:rPr>
      </w:pPr>
      <w:r>
        <w:rPr>
          <w:rFonts w:ascii="Arial" w:cs="Arial" w:eastAsia="Arial" w:hAnsi="Arial"/>
          <w:sz w:val="17"/>
          <w:szCs w:val="17"/>
          <w:color w:val="auto"/>
        </w:rPr>
        <w:t>Our SBIC subsidiaries are subject to regulation and oversight by the SBA, including requirements with respect to maintaining certain minimum financial ratios and other covenants. Receipt of SBIC licenses does not assure that our SBIC subsidiaries will receive SBA-guaranteed debenture funding, which is dependent upon our SBIC subsidiaries continuing to be in compliance with SBA regulations and policies. The SBA, as a creditor, will have a superior claim to our SBIC subsidiaries’ assets over our stockholders in the event we liquidate our SBIC subsidiaries or the SBA exercises its remedies under the SBA-guaranteed debentures issued by our SBIC subsidiaries upon an event of default.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NASDAQ GLOBAL SELECT MARKET REQUIREMENTS</w:t>
      </w:r>
    </w:p>
    <w:p>
      <w:pPr>
        <w:spacing w:after="0" w:line="121"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We have adopted certain policies and procedures intended to comply with the NASDAQ Global Select Market’s corporate governance rules. We will continue to monitor our compliance with all future listing standards that are approved by the SEC and will take actions necessary to ensure that we are in compliance therewith.</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 xml:space="preserve">Our executive offices are located at 4201 Congress Street, Suite 360, Charlotte, NC 28209. We maintain a website located at </w:t>
      </w:r>
      <w:r>
        <w:rPr>
          <w:rFonts w:ascii="Arial" w:cs="Arial" w:eastAsia="Arial" w:hAnsi="Arial"/>
          <w:sz w:val="18"/>
          <w:szCs w:val="18"/>
          <w:i w:val="1"/>
          <w:iCs w:val="1"/>
          <w:color w:val="auto"/>
        </w:rPr>
        <w:t xml:space="preserve">www.capitalagroup.com </w:t>
      </w:r>
      <w:r>
        <w:rPr>
          <w:rFonts w:ascii="Arial" w:cs="Arial" w:eastAsia="Arial" w:hAnsi="Arial"/>
          <w:sz w:val="18"/>
          <w:szCs w:val="18"/>
          <w:color w:val="auto"/>
        </w:rPr>
        <w:t>and our phone number is (704) 376-5502. We make available free of charge on our website 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annual report on Form 10-K, quarterly reports on Form 10-Q, current reports on Form 8-K, and amendments to those reports as soon as reasonably practical after we file such material with, or furnish to, the U.S. Securities and Exchange Commission. Information contained on our website is not incorporated by reference into this annual report on Form 10-K and you should not consider information contained on our website to be part of this annual report on Form 10-K or any other report we file with the SEC.</w:t>
      </w:r>
    </w:p>
    <w:p>
      <w:pPr>
        <w:spacing w:after="0" w:line="81"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 xml:space="preserve">The SEC also maintains a website that contains reports, proxy and information statements and other information we file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 Copies of these reports, proxy and information statements and other information may also be obtained, after paying a duplicating fee, by electronic request at publicinfo@sec.gov, or by writing to the SEC’s Public Reference Section, 100 F Street, N.E., Washington, D.C. 20549-0102. Information on the operation of the Public Reference Room may be obtained by calling the SEC at 1-800-SEC-0330.</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i w:val="1"/>
          <w:iCs w:val="1"/>
          <w:color w:val="auto"/>
        </w:rPr>
        <w:t>Before you invest in our common stock, you should be aware of various risks, including those described below. The risks set out below are not the only risks we face. If any of the following events occur, our business, financial condition and results of operations could be materially adversely affected. In such case, our net asset value could decline, and you may lose all or part of your investment.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a limited operating history as a BDC.</w:t>
      </w:r>
    </w:p>
    <w:p>
      <w:pPr>
        <w:spacing w:after="0" w:line="11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Capitala Finance was formed in February 2013 and has only operated as a BDC since September 2013. As a result, we are subject to many of the business risks and uncertainties associated with recently formed businesses, including the risk that we will not achieve our investment objective and that the value of your investment could decline substantially. As a BDC, we are subject to the regulatory requirements of the SEC, in addition to the specific regulatory requirements applicable to BDCs under the 1940 Act and RICs under the Code. Our management and that of the Investment Advisor, did not have any prior experience operating under this regulatory framework, and we may still incur substantial additional costs, and expend significant time or other resources, to do so. From time to time, the Investment Advisor may pursue investment opportunities, like equity investments, in which it has more limited experience. We may also be unable to replicate the historical performance of prior investment funds managed by our management team. In addition, we may be unable to generate sufficient revenue from our operations to make or sustain distributions to our stockholders.</w:t>
      </w:r>
    </w:p>
    <w:p>
      <w:pPr>
        <w:spacing w:after="0" w:line="97" w:lineRule="exact"/>
        <w:rPr>
          <w:sz w:val="20"/>
          <w:szCs w:val="20"/>
          <w:color w:val="auto"/>
        </w:rPr>
      </w:pPr>
    </w:p>
    <w:p>
      <w:pPr>
        <w:ind w:left="40" w:right="559"/>
        <w:spacing w:after="0" w:line="264" w:lineRule="auto"/>
        <w:rPr>
          <w:sz w:val="20"/>
          <w:szCs w:val="20"/>
          <w:color w:val="auto"/>
        </w:rPr>
      </w:pPr>
      <w:r>
        <w:rPr>
          <w:rFonts w:ascii="Arial" w:cs="Arial" w:eastAsia="Arial" w:hAnsi="Arial"/>
          <w:sz w:val="18"/>
          <w:szCs w:val="18"/>
          <w:b w:val="1"/>
          <w:bCs w:val="1"/>
          <w:i w:val="1"/>
          <w:iCs w:val="1"/>
          <w:color w:val="auto"/>
        </w:rPr>
        <w:t>Our investment portfolio is recorded at fair value, with our Board of Directors having final responsibility for overseeing, reviewing and approving, in good faith, its estimate of fair value and, as a result, there may be uncertainty as to the value of our portfolio investments.</w:t>
      </w:r>
    </w:p>
    <w:p>
      <w:pPr>
        <w:spacing w:after="0" w:line="73"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Under the 1940 Act, we are required to carry our portfolio investments at market value or, if there is no readily available market value, at fair value as determined by us, with our Board having final responsibility for overseeing, reviewing and approving, in good faith, our estimate of fair value. Typically, there will not be a public market for the securities of the privately held companies in which we invest. As a result, we value these securities quarterly at fair value based on input from management, a third-party independent valuation firm and our audit committee, and with the oversight, review and approval of our Board.</w:t>
      </w:r>
    </w:p>
    <w:p>
      <w:pPr>
        <w:spacing w:after="0" w:line="50"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The determination of fair value and consequently, the amount of unrealized gains and losses in our portfolio, are to a certain degree, subjective and dependent on a valuation process approved by our Board.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during a period in which the net asset value understates the value of our investments would receive a lower price for their shares than the value of our investments might warrant. In addition, we may not be able to realize the values on our investments needed to pay interest on our borrowings.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financial condition and results of operations depend on our ability to effectively manage and deploy capital.</w:t>
      </w:r>
    </w:p>
    <w:p>
      <w:pPr>
        <w:spacing w:after="0" w:line="12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Our ability to achieve our investment objective depends on our ability to effectively manage and deploy capital, which depends, in turn, on our Investment Advisor’s ability to identify, evaluate and monitor, and our ability to finance and invest in, companies that meet our investment criteria.</w:t>
      </w:r>
    </w:p>
    <w:p>
      <w:pPr>
        <w:spacing w:after="0" w:line="73"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Accomplishing our investment objective on a cost-effective basis is largely a function of our Investment Advisor’s handling of the investment process, its ability to provide competent, attentive and efficient services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302" w:lineRule="auto"/>
        <w:rPr>
          <w:sz w:val="20"/>
          <w:szCs w:val="20"/>
          <w:color w:val="auto"/>
        </w:rPr>
      </w:pPr>
      <w:r>
        <w:rPr>
          <w:rFonts w:ascii="Arial" w:cs="Arial" w:eastAsia="Arial" w:hAnsi="Arial"/>
          <w:sz w:val="16"/>
          <w:szCs w:val="16"/>
          <w:color w:val="auto"/>
        </w:rPr>
        <w:t>and our access to investments offering acceptable terms. In addition to monitoring the performance of our existing investments, our Investment Advisor’s investment team may also be called upon, from time to time, to provide managerial assistance to some of our portfolio companies as well as other funds that they manage. These demands on their time may distract them or slow our rate of investment. See also “— There are significant potential conflicts of interest that could negatively affect our investment returns.”</w:t>
      </w:r>
    </w:p>
    <w:p>
      <w:pPr>
        <w:spacing w:after="0" w:line="46"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Even if we are able to grow and build upon our investment operations, any failure to manage our growth effectively could have a material adverse effect on our business, financial condition, results of operations and prospects. The results of our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it could negatively impact our ability to make distributions.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depend upon Capitala Investment Advisors’ key personnel for our future success.</w:t>
      </w:r>
    </w:p>
    <w:p>
      <w:pPr>
        <w:spacing w:after="0" w:line="117"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We depend on the diligence, skill and network of business contacts of Joseph B. Alala, III, Hunt Broyhill and John F. McGlinn, who serve as the members of the investment committee of the Investment Advisor and lead the Investment Advisor’s investment team. Our success depends on the continued service of these individuals and the other senior investment professionals available to the Investment Advisor. We cannot assure you that unforeseen business, medical, personal or other circumstances would not lead Messrs. Alala, Broyhill or McGlinn or any other such individual to terminate his relationship with us. Such a termination could have a material adverse effect on our ability to achieve our investment objective as well as on our financial condition and results of operations. In addition, we can offer no assurance that the Investment Advisor will continue indefinitely as our investment adviser.</w:t>
      </w:r>
    </w:p>
    <w:p>
      <w:pPr>
        <w:spacing w:after="0" w:line="59"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members of the Investment Advisor’s investment team are and may in the future become affiliated with entities engaged in business activities similar to those intended to be conducted by us, and may have conflicts of interest in allocating their time. Mr. Alala dedicates a significant portion of his time to the activities of Capitala Finance; however, he may become engaged in other business activities that could divert his time and attention in the future.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operate in a highly competitive market for investment opportunities, which could reduce returns and result in losses.</w:t>
      </w:r>
    </w:p>
    <w:p>
      <w:pPr>
        <w:spacing w:after="0" w:line="140"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We compete for investments with other BDCs with similar investment strategies, private equity funds with similar investment strategies, venture lending funds, finance companies with venture lending units and banks focused on venture lending. Many of our competitors are substantially larger and have considerably greater financial, technical and marketing resources than we have. For example, some competitors may have a lower cost of capital and access to funding sources that are not available to us. In addition, some of our competitors have higher risk tolerances or different risk assessments than we have. These characteristics might allow our competitors to consider a wider variety of investments, establish more relationships or offer better pricing and more flexible structuring than we are able to offer. We may lose investment opportunities if we do not match our competitors’ pricing, terms or structure. If we are forced to match our competitors’ pricing, terms or structure, we may not be able to achieve acceptable returns on our investments or may bear substantial risk of capital loss. We believe a significant part of our competitive advantage stems from the fact that the market for investments in smaller and lower middle-market companies is underserved by traditional commercial banks and other financing sources. A significant increase in the number and/or the size of our competitors in this target market could force us to accept less attractive investment terms. Furthermore, many of our competitors have greater experience operating under, or will not be subject to, the regulatory restrictions that the 1940 Act impose on us as a BDC.</w:t>
      </w:r>
    </w:p>
    <w:p>
      <w:pPr>
        <w:spacing w:after="0" w:line="107"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Any inability of our Investment Advisor to maintain or develop strong referral relationships, or the failure of these relationships to generate investment opportunities, could adversely affect our business.</w:t>
      </w:r>
    </w:p>
    <w:p>
      <w:pPr>
        <w:spacing w:after="0" w:line="62"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We depend upon our Investment Advisor to maintain its relationships with venture capital and private equity firms, placement agents, investment banks, management groups and other financial institutions, and we expect to rely to a significant extent upon these relationships to provide us with potential investment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spacing w:after="0" w:line="259" w:lineRule="auto"/>
        <w:rPr>
          <w:sz w:val="20"/>
          <w:szCs w:val="20"/>
          <w:color w:val="auto"/>
        </w:rPr>
      </w:pPr>
      <w:r>
        <w:rPr>
          <w:rFonts w:ascii="Arial" w:cs="Arial" w:eastAsia="Arial" w:hAnsi="Arial"/>
          <w:sz w:val="18"/>
          <w:szCs w:val="18"/>
          <w:color w:val="auto"/>
        </w:rPr>
        <w:t>opportunities. If our Investment Advisor fails to maintain such relationships, or to develop new relationships with other sources of investment opportunities, we will not be able to grow our investment portfolio. In addition, individuals with whom our Investment Advisor has relationships are not obligated to provide us with investment opportunities, and we can offer no assurance that these relationships will generate investment opportunities for us in the future.</w:t>
      </w:r>
    </w:p>
    <w:p>
      <w:pPr>
        <w:spacing w:after="0" w:line="106"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b w:val="1"/>
          <w:bCs w:val="1"/>
          <w:i w:val="1"/>
          <w:iCs w:val="1"/>
          <w:color w:val="auto"/>
        </w:rPr>
        <w:t>Our success depends on the ability of Capitala Investment Advisors to attract and retain qualified personnel in a competitive environment.</w:t>
      </w:r>
    </w:p>
    <w:p>
      <w:pPr>
        <w:spacing w:after="0" w:line="62"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Our growth requires that the Investment Advisor retain and attract new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with which it competes for experienced personnel, including investment funds (such as private equity funds and mezzanine funds) and traditional financial services companies, have greater resources than it will have.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that could negatively affect our investment returns.</w:t>
      </w:r>
    </w:p>
    <w:p>
      <w:pPr>
        <w:spacing w:after="0" w:line="117" w:lineRule="exact"/>
        <w:rPr>
          <w:sz w:val="20"/>
          <w:szCs w:val="20"/>
          <w:color w:val="auto"/>
        </w:rPr>
      </w:pPr>
    </w:p>
    <w:p>
      <w:pPr>
        <w:ind w:left="40" w:right="779" w:firstLine="270"/>
        <w:spacing w:after="0" w:line="293" w:lineRule="auto"/>
        <w:rPr>
          <w:sz w:val="20"/>
          <w:szCs w:val="20"/>
          <w:color w:val="auto"/>
        </w:rPr>
      </w:pPr>
      <w:r>
        <w:rPr>
          <w:rFonts w:ascii="Arial" w:cs="Arial" w:eastAsia="Arial" w:hAnsi="Arial"/>
          <w:sz w:val="16"/>
          <w:szCs w:val="16"/>
          <w:color w:val="auto"/>
        </w:rPr>
        <w:t>The members of the Investment Advisor’s investment team also monitor and service other affiliated investment funds. In addition, our executive officers and directors, as well as the current and future members of our Investment Advisor’s investment team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However, the Investment Advisor’s investment team does not intend to sponsor or manage another BDC with an investment strategy that is substantially similar to our investment strategy.</w:t>
      </w:r>
    </w:p>
    <w:p>
      <w:pPr>
        <w:spacing w:after="0" w:line="57" w:lineRule="exact"/>
        <w:rPr>
          <w:sz w:val="20"/>
          <w:szCs w:val="20"/>
          <w:color w:val="auto"/>
        </w:rPr>
      </w:pPr>
    </w:p>
    <w:p>
      <w:pPr>
        <w:ind w:left="40" w:right="639" w:firstLine="270"/>
        <w:spacing w:after="0" w:line="287" w:lineRule="auto"/>
        <w:rPr>
          <w:sz w:val="20"/>
          <w:szCs w:val="20"/>
          <w:color w:val="auto"/>
        </w:rPr>
      </w:pPr>
      <w:r>
        <w:rPr>
          <w:rFonts w:ascii="Arial" w:cs="Arial" w:eastAsia="Arial" w:hAnsi="Arial"/>
          <w:sz w:val="16"/>
          <w:szCs w:val="16"/>
          <w:color w:val="auto"/>
        </w:rPr>
        <w:t>In the course of our investing activities, we pay management and incentive fees to the Investment Advisor and reimburse the Investment Advisor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Advisor will have interests that differ from those of our stockholders, giving rise to a conflict. The Investment Advisor will not be reimbursed for any performance-related compensation for its employees. We have entered into a royalty-free license agreement with our Investment Advisor, pursuant to which the Investment Advisor grants us a non-exclusive royalty-free license to use the name “Capitala.” Under the license agreement, we have the right to use the “Capitala” name for so long as the Investment Advisor or one of its affiliates remains our Investment Advisor. In addition, we pay our administrator our allocable portion of overhead and other expenses incurred by our administrator in performing its obligations under the Administration Agreement, including rent, the fees and expenses associated with performing compliance functions, and our allocable portion of the compensation of our chief financial officer and any administrative support staff. These arrangements create conflicts of interest that our Board must monitor.</w:t>
      </w:r>
    </w:p>
    <w:p>
      <w:pPr>
        <w:spacing w:after="0" w:line="61"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If our Investment Advisor forms other affiliates in the future, we may co-invest on a concurrent basis with such other affiliates, subject to compliance with applicable regulations and regulatory guidance and our allocation procedures or an exemptive order from the SEC.</w:t>
      </w:r>
    </w:p>
    <w:p>
      <w:pPr>
        <w:spacing w:after="0" w:line="73"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and us, companies controlled by us or our executive officers and directors. We will not enter into any agreements unless and until we are satisfied that doing so will not raise concerns under the 1940 Act or, if such concerns exist, we have taken appropriate actions to seek review and approval by our Board or exemptive relief for such transaction. Our Board will review these procedures on an annual basis.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99"/>
        <w:spacing w:after="0" w:line="342" w:lineRule="auto"/>
        <w:rPr>
          <w:sz w:val="20"/>
          <w:szCs w:val="20"/>
          <w:color w:val="auto"/>
        </w:rPr>
      </w:pPr>
      <w:r>
        <w:rPr>
          <w:rFonts w:ascii="Arial" w:cs="Arial" w:eastAsia="Arial" w:hAnsi="Arial"/>
          <w:sz w:val="16"/>
          <w:szCs w:val="16"/>
          <w:b w:val="1"/>
          <w:bCs w:val="1"/>
          <w:i w:val="1"/>
          <w:iCs w:val="1"/>
          <w:color w:val="auto"/>
        </w:rPr>
        <w:t>The investment committee and other investment professionals of Capitala Investment Advisors may, from time to time, possess material non-public information about or related to our portfolio companies, limiting our investment discretion.</w:t>
      </w:r>
    </w:p>
    <w:p>
      <w:pPr>
        <w:spacing w:after="0" w:line="16"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Members of our Investment Advisor’s investment committee and other investment professionals of the Investment Advisor may serve as directors of, or in a similar capacity with, portfolio companies in which we invest. In the event that material nonpublic information is obtained with respect to such companies, or we become subject to trading restrictions under the internal trading policies of those companies or as a result of applicable law or regulations, we could be prohibited for a period of time from purchasing or selling the securities of such companies, and this prohibition may have an adverse effect on us.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involvement of our interested directors in the valuation process may create conflicts of interest.</w:t>
      </w:r>
    </w:p>
    <w:p>
      <w:pPr>
        <w:spacing w:after="0" w:line="11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make many of our portfolio investments in the form of loans and securities that are not publicly traded and for which no market-based price quotation is available. As a result, our Board determines the fair value of these loans and securities in good faith as described above in the section titled “Valuation of Investments” in Note 2 to the Consolidated Financial Statements. In connection with that determination, investment professionals from the Investment Advisor may provide our Board with valuations based upon the most recent portfolio company financial statements available and projected financial results of each portfolio company. While the valuation for certain portfolio investments is reviewed by an independent valuation firm quarterly, the ultimate determination of fair value is made by our Board, including our interested directors, and not by such third-party valuation firm. The participation of the Investment Advisor’s investment professionals in our valuation process could result in conflicts of interest as the Investment Advisor’s management fee is based, in part, on the value of our gross assets, and our incentive fees will be based, in part, on realized gains and realized and unrealized losses.</w:t>
      </w:r>
    </w:p>
    <w:p>
      <w:pPr>
        <w:spacing w:after="0" w:line="110" w:lineRule="exact"/>
        <w:rPr>
          <w:sz w:val="20"/>
          <w:szCs w:val="20"/>
          <w:color w:val="auto"/>
        </w:rPr>
      </w:pPr>
    </w:p>
    <w:p>
      <w:pPr>
        <w:ind w:left="40" w:right="699"/>
        <w:spacing w:after="0" w:line="375" w:lineRule="auto"/>
        <w:rPr>
          <w:sz w:val="20"/>
          <w:szCs w:val="20"/>
          <w:color w:val="auto"/>
        </w:rPr>
      </w:pPr>
      <w:r>
        <w:rPr>
          <w:rFonts w:ascii="Arial" w:cs="Arial" w:eastAsia="Arial" w:hAnsi="Arial"/>
          <w:sz w:val="15"/>
          <w:szCs w:val="15"/>
          <w:b w:val="1"/>
          <w:bCs w:val="1"/>
          <w:i w:val="1"/>
          <w:iCs w:val="1"/>
          <w:color w:val="auto"/>
        </w:rPr>
        <w:t>Because the Formation Transactions were consummated prior to the filing of our election to be regulated as a BDC under the 1940 Act, the protections and rights afforded to investors under the 1940 Act may not apply with respect to such transactions.</w:t>
      </w:r>
    </w:p>
    <w:p>
      <w:pPr>
        <w:spacing w:after="0" w:line="1" w:lineRule="exact"/>
        <w:rPr>
          <w:sz w:val="20"/>
          <w:szCs w:val="20"/>
          <w:color w:val="auto"/>
        </w:rPr>
      </w:pPr>
    </w:p>
    <w:p>
      <w:pPr>
        <w:ind w:left="40" w:right="639" w:firstLine="270"/>
        <w:spacing w:after="0" w:line="297" w:lineRule="auto"/>
        <w:rPr>
          <w:sz w:val="20"/>
          <w:szCs w:val="20"/>
          <w:color w:val="auto"/>
        </w:rPr>
      </w:pPr>
      <w:r>
        <w:rPr>
          <w:rFonts w:ascii="Arial" w:cs="Arial" w:eastAsia="Arial" w:hAnsi="Arial"/>
          <w:sz w:val="16"/>
          <w:szCs w:val="16"/>
          <w:color w:val="auto"/>
        </w:rPr>
        <w:t>We completed the Formation Transactions prior to the filing of our election to be regulated as a BDC under the 1940 Act. As a result, the protections and rights afforded to investors under the 1940 Act may not apply with respect to such transactions. In particular, we are generally prohibited from purchasing securities or other assets from an affiliate absent exemptive relief. As a result, the Formation Transactions and the parties from which we acquired our portfolio would likely differ substantially to the extent we were subject to the requirements and restrictions of the 1940 Act at the time we completed the Formation Transactions.</w:t>
      </w:r>
    </w:p>
    <w:p>
      <w:pPr>
        <w:spacing w:after="0" w:line="77" w:lineRule="exact"/>
        <w:rPr>
          <w:sz w:val="20"/>
          <w:szCs w:val="20"/>
          <w:color w:val="auto"/>
        </w:rPr>
      </w:pPr>
    </w:p>
    <w:p>
      <w:pPr>
        <w:ind w:left="40" w:right="879"/>
        <w:spacing w:after="0" w:line="264" w:lineRule="auto"/>
        <w:rPr>
          <w:sz w:val="20"/>
          <w:szCs w:val="20"/>
          <w:color w:val="auto"/>
        </w:rPr>
      </w:pPr>
      <w:r>
        <w:rPr>
          <w:rFonts w:ascii="Arial" w:cs="Arial" w:eastAsia="Arial" w:hAnsi="Arial"/>
          <w:sz w:val="18"/>
          <w:szCs w:val="18"/>
          <w:b w:val="1"/>
          <w:bCs w:val="1"/>
          <w:i w:val="1"/>
          <w:iCs w:val="1"/>
          <w:color w:val="auto"/>
        </w:rPr>
        <w:t>The Investment Advisory Agreement with Capitala Investment Advisors and the Administration Agreement with our administrator were not negotiated on an arm’s length basis and may not be as favorable to us as if they had been negotiated with an unaffiliated third-party.</w:t>
      </w:r>
    </w:p>
    <w:p>
      <w:pPr>
        <w:spacing w:after="0" w:line="73"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Investment Advisory Agreement and the Administration Agreement were negotiated between related parties. Consequently, their terms, including fees payable to the Investment Advisor and the Administrator, may not be as favorable to us as if they had been negotiated with an unaffiliated third-party.</w:t>
      </w:r>
    </w:p>
    <w:p>
      <w:pPr>
        <w:spacing w:after="0" w:line="114"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Our incentive fee structure may induce Capitala Investment Advisors to pursue speculative investments, and to use leverage when it may be unwise to do so.</w:t>
      </w:r>
    </w:p>
    <w:p>
      <w:pPr>
        <w:spacing w:after="0" w:line="62"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The incentive fee payable by us to the Investment Advisor may create an incentive for the Investment Advisor to pursue investments on our behalf that are riskier or more speculative than would be the case in the absence of such compensation arrangement. The incentive fee payable to our Investment Advisor is calculated based on a percentage of our return on invested capital. This may encourage our Investment Advisor to use leverage to increase the return on our investments. Under certain circumstances, the use of leverage may increase the likelihood of default, which would impair the value of our common stock. In addition, our Investment Advisor receives the incentive fee based, in part, upon net capital gains realized on our investments. Unlike that portion of the incentive fee based on income, there is no hurdle rate applicable to the portion of the incentive fee based on net capital gains. As a result, the investment adviser may have a</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19"/>
        <w:spacing w:after="0" w:line="264" w:lineRule="auto"/>
        <w:rPr>
          <w:sz w:val="20"/>
          <w:szCs w:val="20"/>
          <w:color w:val="auto"/>
        </w:rPr>
      </w:pPr>
      <w:r>
        <w:rPr>
          <w:rFonts w:ascii="Arial" w:cs="Arial" w:eastAsia="Arial" w:hAnsi="Arial"/>
          <w:sz w:val="18"/>
          <w:szCs w:val="18"/>
          <w:color w:val="auto"/>
        </w:rPr>
        <w:t>tendency to invest more capital in investments that are likely to result in capital gains as compared to income-producing securities. Such a practice could result in our investing in more speculative securities than would otherwise be the case, which could result in higher investment losses, particularly during economic downturns.</w:t>
      </w:r>
    </w:p>
    <w:p>
      <w:pPr>
        <w:spacing w:after="0" w:line="73"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Although we do not anticipate doing so, we may invest, to the extent permitted by law, in the securities and instruments of other investment companies, including private funds, and, to the extent we so invest, will bear our ratable share of any such investment company’s expenses, including management and performance fees. We also remain obligated to pay management and incentive fees to our Investment Advisor with respect to the assets invested in the securities and instruments of other investment companies. With respect to each of these investments, each of our stockholders will bear his or her share of the management and our Investment Advisor’s incentive fee as well as indirectly bearing the management and performance fees and other expenses of any investment companies in which we invest.</w:t>
      </w:r>
    </w:p>
    <w:p>
      <w:pPr>
        <w:spacing w:after="0" w:line="97"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b w:val="1"/>
          <w:bCs w:val="1"/>
          <w:i w:val="1"/>
          <w:iCs w:val="1"/>
          <w:color w:val="auto"/>
        </w:rPr>
        <w:t>Capitala Investment Advisors’ liability is limited under the Investment Advisory Agreement, and we have agreed to indemnify Capitala Investment Advisors against certain liabilities, which may lead Capitala Investment Advisors to act in a riskier manner on our behalf than it would when acting for its own account.</w:t>
      </w:r>
    </w:p>
    <w:p>
      <w:pPr>
        <w:spacing w:after="0" w:line="73"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Under the Investment Advisory Agreement, the Investment Advisor has not assumed any responsibility to us other than to render the services called for under that agreement. It is not responsible for any action of our Board in following or declining to follow the Investment Advisor’s advice or recommendations. Under the Investment Advisory Agreement, the Investment Advisor, its officers, members and personnel, and any person controlling or controlled by the Investment Advisor is not liable to us, any subsidiary of ours, our directors, our stockholders or any subsidiary’s stockholders or partners for acts or omissions performed in accordance with and pursuant to the Investment Advisory Agreement, except those resulting from acts constituting gross negligence, willful misfeasance, bad faith or reckless disregard of the duties that the Investment Advisor owes to us under the Investment Advisory Agreement. In addition, as part of the Investment Advisory Agreement, we have agreed to indemnify the Investment Advisor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Investment Advisory Agreement, except where attributable to gross negligence, willful misfeasance, bad faith or reckless disregard of such person’s duties under the Investment Advisory Agreement. These protections may lead the Investment Advisor to act in a riskier manner when acting on our behalf than it would when acting for its own account.</w:t>
      </w:r>
    </w:p>
    <w:p>
      <w:pPr>
        <w:spacing w:after="0" w:line="118"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A general increase in interest rates will likely have the effect of making it easier for our Investment Advisor to receive incentive fees, without necessarily resulting in an increase in our net earnings.</w:t>
      </w:r>
    </w:p>
    <w:p>
      <w:pPr>
        <w:spacing w:after="0" w:line="62"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Under the structure of our Investment Advisory Agreement with our Investment Advisor, any general increase in interest rates will likely have the effect of making it easier for our Investment Advisor to meet the quarterly hurdle rate for payment of income incentive fees under the Investment Advisory Agreement without any additional increase in relative performance on the part of our Investment Advisor. In addition, in view of the catch-up provision applicable to income incentive fees under the Investment Advisory Agreement, our Investment Advisor could potentially receive a significant portion of the increase in our investment income attributable to such a general increase in interest rates. If that were to occur, our increase in net earnings, if any, would likely be significantly smaller than the relative increase in our Investment Advisor’s income incentive fee resulting from such a general increase in interest rates.</w:t>
      </w:r>
    </w:p>
    <w:p>
      <w:pPr>
        <w:spacing w:after="0" w:line="125"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PIK interest payments we receive will increase our assets under management and, as a result, will increase the amount of base management fees and incentive fees payable by us to Capitala Investment Advisors.</w:t>
      </w:r>
    </w:p>
    <w:p>
      <w:pPr>
        <w:spacing w:after="0" w:line="62"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Certain of our debt investments contain provisions providing for the payment of contractual PIK interest. Because PIK interest results in an increase in the size of the loan balance of the underlying loan, the receipt by us of PIK interest will have the effect of increasing our assets under management. As a result, because the base management fee that we pay to the Investment Advisor is based on the value of our gross assets, the receipt by us of PIK interest will result in an increase in the amount of the base management fee payable by</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99"/>
        <w:spacing w:after="0" w:line="264" w:lineRule="auto"/>
        <w:rPr>
          <w:sz w:val="20"/>
          <w:szCs w:val="20"/>
          <w:color w:val="auto"/>
        </w:rPr>
      </w:pPr>
      <w:r>
        <w:rPr>
          <w:rFonts w:ascii="Arial" w:cs="Arial" w:eastAsia="Arial" w:hAnsi="Arial"/>
          <w:sz w:val="18"/>
          <w:szCs w:val="18"/>
          <w:color w:val="auto"/>
        </w:rPr>
        <w:t>us. In addition, any such increase in a loan balance due to the receipt of PIK interest will cause such loan to accrue interest on the higher loan balance, which will result in an increase in our pre-incentive fee net investment income and, as a result, an increase in incentive fees that are payable by us to the Investment Advisor.</w:t>
      </w:r>
    </w:p>
    <w:p>
      <w:pPr>
        <w:spacing w:after="0" w:line="100" w:lineRule="exact"/>
        <w:rPr>
          <w:sz w:val="20"/>
          <w:szCs w:val="20"/>
          <w:color w:val="auto"/>
        </w:rPr>
      </w:pPr>
    </w:p>
    <w:p>
      <w:pPr>
        <w:jc w:val="both"/>
        <w:ind w:left="40" w:right="579"/>
        <w:spacing w:after="0" w:line="264" w:lineRule="auto"/>
        <w:rPr>
          <w:sz w:val="20"/>
          <w:szCs w:val="20"/>
          <w:color w:val="auto"/>
        </w:rPr>
      </w:pPr>
      <w:r>
        <w:rPr>
          <w:rFonts w:ascii="Arial" w:cs="Arial" w:eastAsia="Arial" w:hAnsi="Arial"/>
          <w:sz w:val="18"/>
          <w:szCs w:val="18"/>
          <w:b w:val="1"/>
          <w:bCs w:val="1"/>
          <w:i w:val="1"/>
          <w:iCs w:val="1"/>
          <w:color w:val="auto"/>
        </w:rPr>
        <w:t>Our Investment Advisor has the right to resign on 60 days’ notice, and we may not be able to find a suitable replacement within such time, resulting in a disruption in our operations that could adversely affect our financial condition, business and results of operations.</w:t>
      </w:r>
    </w:p>
    <w:p>
      <w:pPr>
        <w:spacing w:after="0" w:line="73"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color w:val="auto"/>
        </w:rPr>
        <w:t>Our Investment Advisor has the right, under the Investment Advisory Agreement, to resign at any time on 60 days’ written notice, whether we have found a replacement or not. If our Investment Advisor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our Investment Advisor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02"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b w:val="1"/>
          <w:bCs w:val="1"/>
          <w:i w:val="1"/>
          <w:iCs w:val="1"/>
          <w:color w:val="auto"/>
        </w:rPr>
        <w:t>Our Investment Advisor may not be able to achieve the same or similar returns as those achieved by our Investment Advisor’s investment team while they were employed at prior positions.</w:t>
      </w:r>
    </w:p>
    <w:p>
      <w:pPr>
        <w:spacing w:after="0" w:line="62"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Although in the past Mr. Alala and other members of our Investment Advisor’s investment team have held senior positions at a number of investment firms, including the Legacy Funds, their track record and achievements are not necessarily indicative of future results that will be achieved by our Investment Advisor. We cannot assure you that we will be able to achieve the results realized by prior vehicles managed by our Investment Advisor’s investment team, including the Legacy Funds.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We have elected to be regulated as a BDC under the 1940 Act. The 1940 Act imposes numerous constraints on the operations of BDCs. For example, BDCs are required to invest at least 70% of their gross assets in specified types of securities, primarily in private companies or thinly 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may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86" w:lineRule="exact"/>
        <w:rPr>
          <w:sz w:val="20"/>
          <w:szCs w:val="20"/>
          <w:color w:val="auto"/>
        </w:rPr>
      </w:pPr>
    </w:p>
    <w:p>
      <w:pPr>
        <w:ind w:left="40" w:right="619"/>
        <w:spacing w:after="0" w:line="375" w:lineRule="auto"/>
        <w:rPr>
          <w:sz w:val="20"/>
          <w:szCs w:val="20"/>
          <w:color w:val="auto"/>
        </w:rPr>
      </w:pPr>
      <w:r>
        <w:rPr>
          <w:rFonts w:ascii="Arial" w:cs="Arial" w:eastAsia="Arial" w:hAnsi="Arial"/>
          <w:sz w:val="15"/>
          <w:szCs w:val="15"/>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permitted, as a BDC, to issue senior securities in amounts such that our asset coverage ratio, as defined in the 1940 Act, equals at least 200%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Also, any amounts that we use to service our</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079"/>
        <w:spacing w:after="0" w:line="342" w:lineRule="auto"/>
        <w:rPr>
          <w:sz w:val="20"/>
          <w:szCs w:val="20"/>
          <w:color w:val="auto"/>
        </w:rPr>
      </w:pPr>
      <w:r>
        <w:rPr>
          <w:rFonts w:ascii="Arial" w:cs="Arial" w:eastAsia="Arial" w:hAnsi="Arial"/>
          <w:sz w:val="16"/>
          <w:szCs w:val="16"/>
          <w:color w:val="auto"/>
        </w:rPr>
        <w:t>indebtedness would not be available for distributions to our common stockholders. Furthermore, as a result of issuing senior securities, we would also be exposed to typical risks associated with leverage, including an increased risk of loss.</w:t>
      </w:r>
    </w:p>
    <w:p>
      <w:pPr>
        <w:spacing w:after="0" w:line="16"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As of December 31, 2015, we have $184.2 million of outstanding debentures guaranteed by the SBA, $113.4 million of 7.125% fixed rate notes due 2021 (the “Notes”) outstanding and $70.0 million outstanding under the Credit Facility that provides for borrowings of up to $120.0 million on a revolving basis and may be increased up to $150.0 million pursuant to its “accordion” feature. We have received an exemptive order from the SEC granting relief from the asset coverage requirements for certain indebtedness issued by Fund II and Fund III as SBICs. 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74" w:lineRule="exact"/>
        <w:rPr>
          <w:sz w:val="20"/>
          <w:szCs w:val="20"/>
          <w:color w:val="auto"/>
        </w:rPr>
      </w:pPr>
    </w:p>
    <w:p>
      <w:pPr>
        <w:ind w:left="40" w:right="679" w:firstLine="270"/>
        <w:spacing w:after="0" w:line="271" w:lineRule="auto"/>
        <w:rPr>
          <w:sz w:val="20"/>
          <w:szCs w:val="20"/>
          <w:color w:val="auto"/>
        </w:rPr>
      </w:pPr>
      <w:r>
        <w:rPr>
          <w:rFonts w:ascii="Arial" w:cs="Arial" w:eastAsia="Arial" w:hAnsi="Arial"/>
          <w:sz w:val="17"/>
          <w:szCs w:val="17"/>
          <w:color w:val="auto"/>
        </w:rPr>
        <w:t>We generally may not issue and sell our common stock at a price below net asset value per share. We may, however, sell our common stock, or warrants, options or rights to acquire our common stock, at a price below the then-current net asset value per share of our common stock if our Board determines that such sale is in our best interests and in the best interests of our stockholders, and our stockholders approve such sale. In any such case, the price at which our securities are to be issued and sold may not be less than a price that, in the determination of our Board, closely approximates the market value of such securities (less any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71"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At our 2015 Annual Stockholders Meeting, subject to certain determinations required to be made by our board of directors, our stockholders approved our ability to sell or otherwise issue shares of our common stock, not exceeding 25% of our then outstanding common stock immediately prior to each such offering, at a price below the then current net asset value per share during a period beginning on May 5, 2015 and expiring on the earlier of the one year anniversary of the date of the 2015 Annual Stockholders Meeting and the date of our 2016 Annual Stockholders Meeting, which is expected to be held in May 2016.</w:t>
      </w:r>
    </w:p>
    <w:p>
      <w:pPr>
        <w:spacing w:after="0" w:line="50" w:lineRule="exact"/>
        <w:rPr>
          <w:sz w:val="20"/>
          <w:szCs w:val="20"/>
          <w:color w:val="auto"/>
        </w:rPr>
      </w:pPr>
    </w:p>
    <w:p>
      <w:pPr>
        <w:ind w:left="40" w:right="699" w:firstLine="270"/>
        <w:spacing w:after="0" w:line="272" w:lineRule="auto"/>
        <w:rPr>
          <w:sz w:val="20"/>
          <w:szCs w:val="20"/>
          <w:color w:val="auto"/>
        </w:rPr>
      </w:pPr>
      <w:r>
        <w:rPr>
          <w:rFonts w:ascii="Arial" w:cs="Arial" w:eastAsia="Arial" w:hAnsi="Arial"/>
          <w:sz w:val="17"/>
          <w:szCs w:val="17"/>
          <w:color w:val="auto"/>
        </w:rPr>
        <w:t>In certain limited circumstances, pursuant to an SEC staff interpretation, we may also issue shares at a price below net asset value in connection with a transferable rights offering so long as: (1) the offer does not discriminate among stockholders; (2) we use our best efforts to ensure an adequate trading market exists for the rights; and (3) the ratio of the offering does not exceed one new share for each three rights held. If we raise additional funds by issuing more common stock or senior securities convertible into, or exchangeable for, our common stock, the percentage ownership of our stockholders at that time would decrease and they may experience dilution. Moreover, we can offer no assurance that we will be able to issue and sell additional equity securities in the future, on favorable terms or at all.</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stockholders may experience dilution upon the repurchase of common shares.</w:t>
      </w:r>
    </w:p>
    <w:p>
      <w:pPr>
        <w:spacing w:after="0" w:line="11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On February 26, 2015, our Board of Directors authorized a stock repurchase plan permitting us to repurchase up to $12.0 million of our common stock. We may repurchase shares of our common stock in the open market, including block purchases, at prices that may be above or below the net asset value as reported in the most recently published financial statements. We expect that the share repurchase program will be in effect until March 31, 2016, or until the approved dollar amount has been used to repurchase shares. If we were to repurchase shares at a price above net asset value, such repurchases would result in an immediate dilution to existing common stockholders due to a reduction in our earnings and assets due to the repurchase that is greater than the reduction in total shares outstanding.</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jc w:val="both"/>
        <w:ind w:left="40" w:right="639"/>
        <w:spacing w:after="0" w:line="286" w:lineRule="auto"/>
        <w:rPr>
          <w:sz w:val="20"/>
          <w:szCs w:val="20"/>
          <w:color w:val="auto"/>
        </w:rPr>
      </w:pPr>
      <w:r>
        <w:rPr>
          <w:rFonts w:ascii="Arial" w:cs="Arial" w:eastAsia="Arial" w:hAnsi="Arial"/>
          <w:sz w:val="17"/>
          <w:szCs w:val="17"/>
          <w:b w:val="1"/>
          <w:bCs w:val="1"/>
          <w:i w:val="1"/>
          <w:iCs w:val="1"/>
          <w:color w:val="auto"/>
        </w:rPr>
        <w:t>We borrow money, which magnifies the potential for gain or loss on amounts invested and may increase the risk of investing in us, and the calculation of our base management fee, which is based upon our gross assets, may have the effect of encouraging our Investment Advisor to utilize leverage when it may not be advisable to do so.</w:t>
      </w:r>
    </w:p>
    <w:p>
      <w:pPr>
        <w:spacing w:after="0" w:line="57"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The use of leverage magnifies the potential for gain or loss on amounts invested and, therefore, increases the risks associated with investing in our securities. In addition to the existing SBA-guaranteed debentures, we may borrow from and issue senior debt securities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leverage would cause net asset value to decline more sharply than it otherwise would have had we not been leveraged. Similarly, any decrease in our income would cause net income to decline more sharply than it would have had we not borrowed. Such a decline could also negatively affect our ability to make distributions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our Investment Advisor will be payable based on our gross assets, including those assets acquired through the use of leverage, our Investment Advisor will have a financial incentive to incur leverage that may not be consistent with our stockholders’ interests. In addition, our common stockholders will bear the burden of any increase in our expenses as a result of leverage, including any increase in the management fee payable to our Investment Advisor.</w:t>
      </w:r>
    </w:p>
    <w:p>
      <w:pPr>
        <w:spacing w:after="0" w:line="77"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The Credit Facility, and any other credit facility into which we may enter, imposes financial and operating covenants that restrict our business activities, including limitations that could hinder our ability to finance additional loans and investments or to make the distributions required to maintain our status as a RIC under the Code.</w:t>
      </w:r>
    </w:p>
    <w:p>
      <w:pPr>
        <w:spacing w:after="0" w:line="114" w:lineRule="exact"/>
        <w:rPr>
          <w:sz w:val="20"/>
          <w:szCs w:val="20"/>
          <w:color w:val="auto"/>
        </w:rPr>
      </w:pPr>
    </w:p>
    <w:p>
      <w:pPr>
        <w:ind w:left="40" w:right="1059"/>
        <w:spacing w:after="0" w:line="277" w:lineRule="auto"/>
        <w:rPr>
          <w:sz w:val="20"/>
          <w:szCs w:val="20"/>
          <w:color w:val="auto"/>
        </w:rPr>
      </w:pPr>
      <w:r>
        <w:rPr>
          <w:rFonts w:ascii="Arial" w:cs="Arial" w:eastAsia="Arial" w:hAnsi="Arial"/>
          <w:sz w:val="18"/>
          <w:szCs w:val="18"/>
          <w:b w:val="1"/>
          <w:bCs w:val="1"/>
          <w:i w:val="1"/>
          <w:iCs w:val="1"/>
          <w:color w:val="auto"/>
        </w:rPr>
        <w:t>To the extent we borrow money to finance our investments, changes in interest rates will affect our cost of capital and net investment income.</w:t>
      </w:r>
    </w:p>
    <w:p>
      <w:pPr>
        <w:spacing w:after="0" w:line="62"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To the extent we borrow money to finance our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borrow money to finance our investments. In periods of rising interest rates, our cost of funds would increase, which could reduce our net investment income. We expect that our long-term fixed-rate investments will be financed primarily with equity and long-term debt. We may use interest rate risk management techniques in an effort to limit our exposure to interest rate fluctuations. Such techniques may include various interest rate hedging activities to the extent permitted by the 1940 Act. Our Investment Advisor does not have significant experience with utilizing these techniques and did not implement these techniques to any significant extent with our portfolio. If we do not implement these techniques properly, we could experience losses on our hedging positions, which could be material.</w:t>
      </w:r>
    </w:p>
    <w:p>
      <w:pPr>
        <w:spacing w:after="0" w:line="110" w:lineRule="exact"/>
        <w:rPr>
          <w:sz w:val="20"/>
          <w:szCs w:val="20"/>
          <w:color w:val="auto"/>
        </w:rPr>
      </w:pPr>
    </w:p>
    <w:p>
      <w:pPr>
        <w:ind w:left="40" w:right="939"/>
        <w:spacing w:after="0" w:line="277" w:lineRule="auto"/>
        <w:rPr>
          <w:sz w:val="20"/>
          <w:szCs w:val="20"/>
          <w:color w:val="auto"/>
        </w:rPr>
      </w:pPr>
      <w:r>
        <w:rPr>
          <w:rFonts w:ascii="Arial" w:cs="Arial" w:eastAsia="Arial" w:hAnsi="Arial"/>
          <w:sz w:val="18"/>
          <w:szCs w:val="18"/>
          <w:b w:val="1"/>
          <w:bCs w:val="1"/>
          <w:i w:val="1"/>
          <w:iCs w:val="1"/>
          <w:color w:val="auto"/>
        </w:rPr>
        <w:t>A disruption in the capital markets and the credit markets could impair our ability to raise capital and negatively affect our business.</w:t>
      </w:r>
    </w:p>
    <w:p>
      <w:pPr>
        <w:spacing w:after="0" w:line="62" w:lineRule="exact"/>
        <w:rPr>
          <w:sz w:val="20"/>
          <w:szCs w:val="20"/>
          <w:color w:val="auto"/>
        </w:rPr>
      </w:pPr>
    </w:p>
    <w:p>
      <w:pPr>
        <w:ind w:left="40" w:right="519" w:firstLine="270"/>
        <w:spacing w:after="0" w:line="264" w:lineRule="auto"/>
        <w:rPr>
          <w:sz w:val="20"/>
          <w:szCs w:val="20"/>
          <w:color w:val="auto"/>
        </w:rPr>
      </w:pPr>
      <w:r>
        <w:rPr>
          <w:rFonts w:ascii="Arial" w:cs="Arial" w:eastAsia="Arial" w:hAnsi="Arial"/>
          <w:sz w:val="18"/>
          <w:szCs w:val="18"/>
          <w:color w:val="auto"/>
        </w:rPr>
        <w:t>As a BDC, we have to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73"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Since the middle of 2007, the capital markets and the credit markets have experienced periods of extreme volatility and disruption and, accordingly, there has been and may continue to be uncertainty in the financial markets in general. Continuing U.S. debt ceiling and budget deficit concerns, including automatic spending cuts stemming from sequestration, together with deteriorating sovereign debt conditions in Europe, have increased the possibility of additional credit-rating downgrades and economic slowdowns, or a recession in the United States. The impact of this or any further downgrades to the U.S. government’s sovereign credit rating or its perceived creditworthiness could adversely affect the U.S. and global financial markets and economic</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76" w:lineRule="auto"/>
        <w:rPr>
          <w:sz w:val="20"/>
          <w:szCs w:val="20"/>
          <w:color w:val="auto"/>
        </w:rPr>
      </w:pPr>
      <w:r>
        <w:rPr>
          <w:rFonts w:ascii="Arial" w:cs="Arial" w:eastAsia="Arial" w:hAnsi="Arial"/>
          <w:sz w:val="17"/>
          <w:szCs w:val="17"/>
          <w:color w:val="auto"/>
        </w:rPr>
        <w:t>conditions. These developments, along with the European sovereign debt crisis, could cause interest rates and borrowing costs to rise, which may negatively impact our ability to access the debt markets on favorable terms. Continued adverse economic conditions could have a material adverse effect on our business, financial condition and results of operations. Any further disruptive conditions in the financial industry and the impact of new legislation in response to those conditions could restrict our business operations and could adversely impact our results of operations and financial condition.</w:t>
      </w:r>
    </w:p>
    <w:p>
      <w:pPr>
        <w:spacing w:after="0" w:line="64"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imposed upon us by the 1940 Act. Any such failure would affect our ability to issue senior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85" w:lineRule="exact"/>
        <w:rPr>
          <w:sz w:val="20"/>
          <w:szCs w:val="20"/>
          <w:color w:val="auto"/>
        </w:rPr>
      </w:pPr>
    </w:p>
    <w:p>
      <w:pPr>
        <w:ind w:left="40" w:right="519" w:firstLine="270"/>
        <w:spacing w:after="0" w:line="288" w:lineRule="auto"/>
        <w:rPr>
          <w:sz w:val="20"/>
          <w:szCs w:val="20"/>
          <w:color w:val="auto"/>
        </w:rPr>
      </w:pPr>
      <w:r>
        <w:rPr>
          <w:rFonts w:ascii="Arial" w:cs="Arial" w:eastAsia="Arial" w:hAnsi="Arial"/>
          <w:sz w:val="16"/>
          <w:szCs w:val="16"/>
          <w:color w:val="auto"/>
        </w:rPr>
        <w:t>We have fully drawn on our SBA-guaranteed debentures and, absent changes to legislation or regulation, may not make borrowings in excess of their aggregate $184.2 million of SBA-guaranteed debentures outstanding as of December 31, 2015. We also had approximately $113.4 million of the Notes outstanding as of December 31, 2015. In addition, as of December 31, 2015, we had approximately $70.0 million outstanding under the Credit Facility that provides for borrowings of up to $120.0 million on a revolving basis and may be increased up to $150.0 million pursuant to its “accordion” feature. If we are unable to secure additional debt financing on commercially reasonable terms, our liquidity could be reduced significantly. If we are unable to repay amounts outstanding under any debt facilities we may obtain and are declared in default or are unable to renew or refinance these facilities, we may not be able to operate our business in the normal course. These situations may arise due to circumstances that we may be unable to control, such as lack of access to the credit markets, a severe decline in the value of the U.S. dollar, another economic downturn or an operational problem that affects third parties or us, and could materially damage our business.</w:t>
      </w:r>
    </w:p>
    <w:p>
      <w:pPr>
        <w:spacing w:after="0" w:line="61"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In addition, in December 2015, the 2016 omnibus spending bill approved by Congress and signed into law by the President increased the amount of SBA-guaranteed debentures that affiliated SBIC funds can have outstanding from $225.0 million to $350.0 million, subject to SBA approval. This new legislation may allow us to issue additional SBIC debentures above the $225.0 million of SBA-guaranteed debentures previously permitted pending application for and receipt of additional SBIC licenses. If we incur this additional indebtedness in the future, your risk of an investment in our securities may increase.</w:t>
      </w:r>
    </w:p>
    <w:p>
      <w:pPr>
        <w:spacing w:after="0" w:line="64"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our Investment Advisor with respect to our pre-incentive fee net investment income.</w:t>
      </w:r>
    </w:p>
    <w:p>
      <w:pPr>
        <w:spacing w:after="0" w:line="106" w:lineRule="exact"/>
        <w:rPr>
          <w:sz w:val="20"/>
          <w:szCs w:val="20"/>
          <w:color w:val="auto"/>
        </w:rPr>
      </w:pPr>
    </w:p>
    <w:p>
      <w:pPr>
        <w:ind w:left="40" w:right="719"/>
        <w:spacing w:after="0" w:line="286" w:lineRule="auto"/>
        <w:rPr>
          <w:sz w:val="20"/>
          <w:szCs w:val="20"/>
          <w:color w:val="auto"/>
        </w:rPr>
      </w:pPr>
      <w:r>
        <w:rPr>
          <w:rFonts w:ascii="Arial" w:cs="Arial" w:eastAsia="Arial" w:hAnsi="Arial"/>
          <w:sz w:val="17"/>
          <w:szCs w:val="17"/>
          <w:b w:val="1"/>
          <w:bCs w:val="1"/>
          <w:i w:val="1"/>
          <w:iCs w:val="1"/>
          <w:color w:val="auto"/>
        </w:rPr>
        <w:t>Global capital markets could enter a period of severe disruption and instability. These market conditions have historically and could again have a materially adverse effect on debt and equity capital markets in the U.S., which could have a materially negative impact on our business, financial condition and results of operations.</w:t>
      </w:r>
    </w:p>
    <w:p>
      <w:pPr>
        <w:spacing w:after="0" w:line="5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certain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signs of deteriorating sovereign debt conditions in Europe and concerns of economic slowdown in China create uncertainty that could lead to further disruptions and instability. We may in the future have difficulty accessing debt and equity capital, and a severe disruption in the global financial markets, deterioration in credit and financing conditions or uncertainty regarding</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59"/>
        <w:spacing w:after="0" w:line="308" w:lineRule="auto"/>
        <w:rPr>
          <w:sz w:val="20"/>
          <w:szCs w:val="20"/>
          <w:color w:val="auto"/>
        </w:rPr>
      </w:pPr>
      <w:r>
        <w:rPr>
          <w:rFonts w:ascii="Arial" w:cs="Arial" w:eastAsia="Arial" w:hAnsi="Arial"/>
          <w:sz w:val="17"/>
          <w:szCs w:val="17"/>
          <w:color w:val="auto"/>
        </w:rPr>
        <w:t>U.S. Government spending and deficit levels, European sovereign debt, Chinese economic slowdown or other global economic conditions could have a material adverse effect on our business, financial condition and results of operations.</w:t>
      </w:r>
    </w:p>
    <w:p>
      <w:pPr>
        <w:spacing w:after="0" w:line="66" w:lineRule="exact"/>
        <w:rPr>
          <w:sz w:val="20"/>
          <w:szCs w:val="20"/>
          <w:color w:val="auto"/>
        </w:rPr>
      </w:pPr>
    </w:p>
    <w:p>
      <w:pPr>
        <w:ind w:left="40" w:right="1019"/>
        <w:spacing w:after="0" w:line="277" w:lineRule="auto"/>
        <w:rPr>
          <w:sz w:val="20"/>
          <w:szCs w:val="20"/>
          <w:color w:val="auto"/>
        </w:rPr>
      </w:pPr>
      <w:r>
        <w:rPr>
          <w:rFonts w:ascii="Arial" w:cs="Arial" w:eastAsia="Arial" w:hAnsi="Arial"/>
          <w:sz w:val="18"/>
          <w:szCs w:val="18"/>
          <w:b w:val="1"/>
          <w:bCs w:val="1"/>
          <w:i w:val="1"/>
          <w:iCs w:val="1"/>
          <w:color w:val="auto"/>
        </w:rPr>
        <w:t>Further downgrades of the U.S. credit rating, impending automatic spending cuts or another government shutdown could negatively impact our liquidity, financial condition and earnings.</w:t>
      </w:r>
    </w:p>
    <w:p>
      <w:pPr>
        <w:spacing w:after="0" w:line="62" w:lineRule="exact"/>
        <w:rPr>
          <w:sz w:val="20"/>
          <w:szCs w:val="20"/>
          <w:color w:val="auto"/>
        </w:rPr>
      </w:pPr>
    </w:p>
    <w:p>
      <w:pPr>
        <w:ind w:left="40" w:right="699" w:firstLine="270"/>
        <w:spacing w:after="0" w:line="270" w:lineRule="auto"/>
        <w:rPr>
          <w:sz w:val="20"/>
          <w:szCs w:val="20"/>
          <w:color w:val="auto"/>
        </w:rPr>
      </w:pPr>
      <w:r>
        <w:rPr>
          <w:rFonts w:ascii="Arial" w:cs="Arial" w:eastAsia="Arial" w:hAnsi="Arial"/>
          <w:sz w:val="17"/>
          <w:szCs w:val="17"/>
          <w:color w:val="auto"/>
        </w:rPr>
        <w:t>Recent U.S. debt ceiling and budget deficit concerns have increased the possibility of additional credit-rating downgrades and economic slowdowns, or a recession in the U.S. Although U.S. lawmakers passed legislation to raise the federal debt ceiling on multiple occasions, ratings agencies have lowered or threatened to lower the long-term sovereign credit rating on the U.S. The impact of this or any further downgrades to the U.S. government’s sovereign credit rating or its perceived creditworthiness could adversely affect the U.S. and global financial markets and economic conditions. Absent further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14"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A failure or the perceived risk of a failure to raise the statutory debt limit of the United States could have a material adverse effect on our business, financial condition and results of operations.</w:t>
      </w:r>
    </w:p>
    <w:p>
      <w:pPr>
        <w:spacing w:after="0" w:line="62" w:lineRule="exact"/>
        <w:rPr>
          <w:sz w:val="20"/>
          <w:szCs w:val="20"/>
          <w:color w:val="auto"/>
        </w:rPr>
      </w:pPr>
    </w:p>
    <w:p>
      <w:pPr>
        <w:ind w:left="40" w:right="659" w:firstLine="270"/>
        <w:spacing w:after="0" w:line="279" w:lineRule="auto"/>
        <w:rPr>
          <w:sz w:val="20"/>
          <w:szCs w:val="20"/>
          <w:color w:val="auto"/>
        </w:rPr>
      </w:pPr>
      <w:r>
        <w:rPr>
          <w:rFonts w:ascii="Arial" w:cs="Arial" w:eastAsia="Arial" w:hAnsi="Arial"/>
          <w:sz w:val="17"/>
          <w:szCs w:val="17"/>
          <w:color w:val="auto"/>
        </w:rPr>
        <w:t>In the future, the United States federal government may not be able to meet its debt payments unless the federal debt ceiling is raised. If legislation increasing the debt ceiling is not enacted, as needed, and the debt ceiling is reached, the federal government may stop or delay making payments on its obligations. A failure by Congress to raise the debt limit would increase the risk of default by the United States on its obligations, as well as the risk of other economic dislocations.</w:t>
      </w:r>
    </w:p>
    <w:p>
      <w:pPr>
        <w:spacing w:after="0" w:line="63"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If the U.S. government fails to complete its budget process or to provide for a continuing resolution before the expiration of the current continuing resolution, a federal government shutdown may result. Such a failure or the perceived risk of such a failure, consequently, could have a material adverse effect on the financial markets and economic conditions in the United States and throughout the world. It could also limit our ability and the ability of our portfolio companies to obtain financing, and it could have a material adverse effect on the valuation of our portfolio companies. Consequently, the continued uncertainty in the general economic environment, including the recent government shutdown and potential debt ceiling implications, as well in specific economies of several individual geographic markets in which our portfolio companies operate, could adversely affect our business, financial condition and results of operations.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results.</w:t>
      </w:r>
    </w:p>
    <w:p>
      <w:pPr>
        <w:spacing w:after="0" w:line="117"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We may experience fluctuations in our quarterly and annual operating results due to a number of factors, including our ability or inability to make investments in companies that meet our investment criteria, any sales, dispositions or liquidity events of our portfolio companies,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Given that the portfolio is concentrated, distributions, dispositions or liquidity events affecting a portfolio company in which we own a significant position may adversely affect our net asset value and results of operations. As a result of these factors, results for any period should not be relied upon as being indicative of performance in future periods.</w:t>
      </w:r>
    </w:p>
    <w:p>
      <w:pPr>
        <w:spacing w:after="0" w:line="98" w:lineRule="exact"/>
        <w:rPr>
          <w:sz w:val="20"/>
          <w:szCs w:val="20"/>
          <w:color w:val="auto"/>
        </w:rPr>
      </w:pPr>
    </w:p>
    <w:p>
      <w:pPr>
        <w:ind w:left="40" w:right="1319"/>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62"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Our Board has the authority to modify or waive our investment objective,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make distributions and cause you to lose all or part of your investment.</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qualify or maintain our qualification as a RIC under the Code.</w:t>
      </w:r>
    </w:p>
    <w:p>
      <w:pPr>
        <w:spacing w:after="0" w:line="62"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Although we have elected to be treated as a RIC beginning with our taxable year ended August 31, 2014, no assurance can be given that we will be able to continue to qualify for and maintain our qualification as a RIC under the Code. To continue to maintain our qualification as a RIC under the Code, we must meet the following source-of-asset diversification, and distribution requirements.</w:t>
      </w:r>
    </w:p>
    <w:p>
      <w:pPr>
        <w:spacing w:after="0" w:line="79"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The income source requirement will be satisfied if we obtain at least 90% of our income for each year from dividends, interest, gains from the sale or other disposition of stock or securities or similar sources. The asset diversification requirement will be satisfied if we meet certain asset diversification requirements at the end of each quarter of our taxable year. Failure to meet those requirements may result in our having to dispose of certain investments quickly in order to prevent the loss of our qualification as a RIC under the Code. Because most of our investments will be in private companies, and therefore will be relatively illiquid, any such dispositions could be made at disadvantageous prices and could result in substantial losses.</w:t>
      </w:r>
    </w:p>
    <w:p>
      <w:pPr>
        <w:spacing w:after="0" w:line="70"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The annual distribution requirement for a RIC will be satisfied if we distribute to our stockholders on an annual basis at least 90% of our net ordinary income and net short-term capital gains in excess of our net long-term capital losses, if any. Because we may use debt financing, we are subject to certain asset coverage ratio requirements under the 1940 Act, as well as future financial covenants under loan and credit agreements that could, under certain circumstances, restrict us from making distributions necessary to satisfy the distribution requirement. If we are unable to obtain cash from other sources, we could fail to qualify as a RIC under the Code.</w:t>
      </w:r>
    </w:p>
    <w:p>
      <w:pPr>
        <w:spacing w:after="0" w:line="85" w:lineRule="exact"/>
        <w:rPr>
          <w:sz w:val="20"/>
          <w:szCs w:val="20"/>
          <w:color w:val="auto"/>
        </w:rPr>
      </w:pPr>
    </w:p>
    <w:p>
      <w:pPr>
        <w:jc w:val="both"/>
        <w:ind w:left="40" w:right="999" w:firstLine="270"/>
        <w:spacing w:after="0" w:line="264" w:lineRule="auto"/>
        <w:rPr>
          <w:sz w:val="20"/>
          <w:szCs w:val="20"/>
          <w:color w:val="auto"/>
        </w:rPr>
      </w:pPr>
      <w:r>
        <w:rPr>
          <w:rFonts w:ascii="Arial" w:cs="Arial" w:eastAsia="Arial" w:hAnsi="Arial"/>
          <w:sz w:val="18"/>
          <w:szCs w:val="18"/>
          <w:color w:val="auto"/>
        </w:rPr>
        <w:t>If we fail to qualify as a RIC under the Code for any reason and remain or become subject to corporate-level U.S. federal income tax on all of our income, the resulting corporate taxes could substantially reduce our net assets, the amount of income available for distribution or reinvestment and the amount of our distributions.</w:t>
      </w:r>
    </w:p>
    <w:p>
      <w:pPr>
        <w:spacing w:after="0" w:line="114" w:lineRule="exact"/>
        <w:rPr>
          <w:sz w:val="20"/>
          <w:szCs w:val="20"/>
          <w:color w:val="auto"/>
        </w:rPr>
      </w:pPr>
    </w:p>
    <w:p>
      <w:pPr>
        <w:ind w:left="40" w:right="1199"/>
        <w:spacing w:after="0" w:line="277" w:lineRule="auto"/>
        <w:rPr>
          <w:sz w:val="20"/>
          <w:szCs w:val="20"/>
          <w:color w:val="auto"/>
        </w:rPr>
      </w:pPr>
      <w:r>
        <w:rPr>
          <w:rFonts w:ascii="Arial" w:cs="Arial" w:eastAsia="Arial" w:hAnsi="Arial"/>
          <w:sz w:val="18"/>
          <w:szCs w:val="18"/>
          <w:b w:val="1"/>
          <w:bCs w:val="1"/>
          <w:i w:val="1"/>
          <w:iCs w:val="1"/>
          <w:color w:val="auto"/>
        </w:rPr>
        <w:t>We may not be able to pay our stockholders distributions, our distributions may not grow over time and a portion of our distributions may be a return of capital.</w:t>
      </w:r>
    </w:p>
    <w:p>
      <w:pPr>
        <w:spacing w:after="0" w:line="62" w:lineRule="exact"/>
        <w:rPr>
          <w:sz w:val="20"/>
          <w:szCs w:val="20"/>
          <w:color w:val="auto"/>
        </w:rPr>
      </w:pPr>
    </w:p>
    <w:p>
      <w:pPr>
        <w:ind w:left="40" w:right="639" w:firstLine="270"/>
        <w:spacing w:after="0" w:line="270" w:lineRule="auto"/>
        <w:rPr>
          <w:sz w:val="20"/>
          <w:szCs w:val="20"/>
          <w:color w:val="auto"/>
        </w:rPr>
      </w:pPr>
      <w:r>
        <w:rPr>
          <w:rFonts w:ascii="Arial" w:cs="Arial" w:eastAsia="Arial" w:hAnsi="Arial"/>
          <w:sz w:val="17"/>
          <w:szCs w:val="17"/>
          <w:color w:val="auto"/>
        </w:rPr>
        <w:t>We intend to pay distributions to our stockholders out of assets legally available for distribution. We cannot assure you that we will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can limit our ability to pay distributions. All distributions will be paid at the discretion of our Board of Directors and will depend on our earnings, our financial condition, maintenance of our RIC status, compliance with applicable BDC regulations and such other factors as our Board of Directors may deem relevant from time to time. We cannot assure you that we will pay distributions to our stockholders in the future. In the event we liquidate or dispose of a significant equity position in our portfolio, we may distribute a special dividend relating to the realized capital gains from such investment in order to minimize to the greatest extent possible our U.S. federal income or excise tax liability.</w:t>
      </w:r>
    </w:p>
    <w:p>
      <w:pPr>
        <w:spacing w:after="0" w:line="70" w:lineRule="exact"/>
        <w:rPr>
          <w:sz w:val="20"/>
          <w:szCs w:val="20"/>
          <w:color w:val="auto"/>
        </w:rPr>
      </w:pPr>
    </w:p>
    <w:p>
      <w:pPr>
        <w:jc w:val="both"/>
        <w:ind w:left="40" w:right="619" w:firstLine="270"/>
        <w:spacing w:after="0" w:line="286" w:lineRule="auto"/>
        <w:rPr>
          <w:sz w:val="20"/>
          <w:szCs w:val="20"/>
          <w:color w:val="auto"/>
        </w:rPr>
      </w:pPr>
      <w:r>
        <w:rPr>
          <w:rFonts w:ascii="Arial" w:cs="Arial" w:eastAsia="Arial" w:hAnsi="Arial"/>
          <w:sz w:val="16"/>
          <w:szCs w:val="16"/>
          <w:color w:val="auto"/>
        </w:rPr>
        <w:t>When we make distributions, we will be required to determine the extent to which such distributions are paid out of current or accumulated earnings and profits. Distributions in excess of current and accumulated earnings and profits will be treated as a non-taxable return of capital, which is a return of a portion of a shareholder’s original investment in our common stock, to the extent of an investor’s basis in our stock and, assuming that an investor holds our stock as a capital asset, thereafter as a capital gain.</w:t>
      </w:r>
    </w:p>
    <w:p>
      <w:pPr>
        <w:spacing w:after="0" w:line="2" w:lineRule="exact"/>
        <w:rPr>
          <w:sz w:val="20"/>
          <w:szCs w:val="20"/>
          <w:color w:val="auto"/>
        </w:rPr>
      </w:pPr>
    </w:p>
    <w:p>
      <w:pPr>
        <w:ind w:left="40" w:right="739"/>
        <w:spacing w:after="0" w:line="261" w:lineRule="auto"/>
        <w:rPr>
          <w:sz w:val="20"/>
          <w:szCs w:val="20"/>
          <w:color w:val="auto"/>
        </w:rPr>
      </w:pPr>
      <w:r>
        <w:rPr>
          <w:rFonts w:ascii="Arial" w:cs="Arial" w:eastAsia="Arial" w:hAnsi="Arial"/>
          <w:sz w:val="18"/>
          <w:szCs w:val="18"/>
          <w:color w:val="auto"/>
        </w:rPr>
        <w:t>Generally, a non-taxable return of capital will reduce an investor’s basis in our stock for U.S. federal income tax purposes, which will result in higher tax liability when the stock is sold.</w:t>
      </w:r>
    </w:p>
    <w:p>
      <w:pPr>
        <w:spacing w:after="0" w:line="116"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b w:val="1"/>
          <w:bCs w:val="1"/>
          <w:i w:val="1"/>
          <w:iCs w:val="1"/>
          <w:color w:val="auto"/>
        </w:rPr>
        <w:t>We may have difficulty paying our required distributions if we recognize income before or without receiving cash representing such income.</w:t>
      </w:r>
    </w:p>
    <w:p>
      <w:pPr>
        <w:spacing w:after="0" w:line="62" w:lineRule="exact"/>
        <w:rPr>
          <w:sz w:val="20"/>
          <w:szCs w:val="20"/>
          <w:color w:val="auto"/>
        </w:rPr>
      </w:pPr>
    </w:p>
    <w:p>
      <w:pPr>
        <w:jc w:val="both"/>
        <w:ind w:left="40" w:right="659" w:firstLine="270"/>
        <w:spacing w:after="0" w:line="264" w:lineRule="auto"/>
        <w:rPr>
          <w:sz w:val="20"/>
          <w:szCs w:val="20"/>
          <w:color w:val="auto"/>
        </w:rPr>
      </w:pPr>
      <w:r>
        <w:rPr>
          <w:rFonts w:ascii="Arial" w:cs="Arial" w:eastAsia="Arial" w:hAnsi="Arial"/>
          <w:sz w:val="18"/>
          <w:szCs w:val="18"/>
          <w:color w:val="auto"/>
        </w:rPr>
        <w:t>For U.S. federal income tax purposes, we include in our taxable income certain amounts that we have not yet received in cash, such as PIK interest or original issue discount, which may arise if we receive warrants in connection with the origination of a loan or possibly in other circumstances. Such original issue discount or</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839"/>
        <w:spacing w:after="0" w:line="264" w:lineRule="auto"/>
        <w:rPr>
          <w:sz w:val="20"/>
          <w:szCs w:val="20"/>
          <w:color w:val="auto"/>
        </w:rPr>
      </w:pPr>
      <w:r>
        <w:rPr>
          <w:rFonts w:ascii="Arial" w:cs="Arial" w:eastAsia="Arial" w:hAnsi="Arial"/>
          <w:sz w:val="18"/>
          <w:szCs w:val="18"/>
          <w:color w:val="auto"/>
        </w:rPr>
        <w:t>increases in loan balances as a result of contractual PIK arrangements are included in our taxable income before we receive any corresponding cash payments. We also may be required to include in our taxable income certain other amounts that we will not receive in cash.</w:t>
      </w:r>
    </w:p>
    <w:p>
      <w:pPr>
        <w:spacing w:after="0" w:line="73"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Since, in certain cases, we may recognize taxable income before or without receiving corresponding cash payments, we may have difficulty meeting the annual distribution requirement necessary to maintain our qualification as a RIC under the Code.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as a RIC and thus become subject to corporate-level U.S. federal income tax.</w:t>
      </w:r>
    </w:p>
    <w:p>
      <w:pPr>
        <w:spacing w:after="0" w:line="77"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b w:val="1"/>
          <w:bCs w:val="1"/>
          <w:i w:val="1"/>
          <w:iCs w:val="1"/>
          <w:color w:val="auto"/>
        </w:rPr>
        <w:t>Our Investment Advisor is not obligated to reimburse us for any part of the incentive fee it receives that is based on accrued income that we never receive.</w:t>
      </w:r>
    </w:p>
    <w:p>
      <w:pPr>
        <w:spacing w:after="0" w:line="62"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Part of the incentive fee payable by us to our Investment Advisor that relates to our net investment income is computed and paid on income that may include interest that has been accrued but not yet received in cash, such as market discount, debt instruments with PIK interest, preferred stock with PIK dividends and zero coupon securities. If a portfolio company defaults on a loan that is structured to provide accrued interest, it is possible that accrued interest previously used in the calculation of the incentive fee will become uncollectible. Our Investment Advisor will not be under any obligation to reimburse us for any part of the incentive fees it received that was based on accrued income that we never receive as a result of a default by an entity on the obligation that resulted in the accrual of such income.</w:t>
      </w:r>
    </w:p>
    <w:p>
      <w:pPr>
        <w:spacing w:after="0" w:line="122"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own stock, in which case you may be required to pay tax in excess of the cash you receive.</w:t>
      </w:r>
    </w:p>
    <w:p>
      <w:pPr>
        <w:spacing w:after="0" w:line="62" w:lineRule="exact"/>
        <w:rPr>
          <w:sz w:val="20"/>
          <w:szCs w:val="20"/>
          <w:color w:val="auto"/>
        </w:rPr>
      </w:pPr>
    </w:p>
    <w:p>
      <w:pPr>
        <w:ind w:left="40" w:right="519" w:firstLine="270"/>
        <w:spacing w:after="0" w:line="267" w:lineRule="auto"/>
        <w:rPr>
          <w:sz w:val="20"/>
          <w:szCs w:val="20"/>
          <w:color w:val="auto"/>
        </w:rPr>
      </w:pPr>
      <w:r>
        <w:rPr>
          <w:rFonts w:ascii="Arial" w:cs="Arial" w:eastAsia="Arial" w:hAnsi="Arial"/>
          <w:sz w:val="17"/>
          <w:szCs w:val="17"/>
          <w:color w:val="auto"/>
        </w:rPr>
        <w:t>We may distribute taxable dividends that are payable in part in our stock. In accordance with certain applicable Treasury regulations and private letter rulings issued by the Internal Revenue Service (“IRS”), a RIC may treat a distribution of its own stock as fulfilling the RIC distribution requirements if each stockholder may elect to receive his or her entire distribution in either cash or stock of the RIC, subject to a limitation that the aggregate amount of cash to be distributed to all stockholders must be at least 20% of the aggregate declared distribution. If too many stockholders elect to receive cash, each stockholder electing to receive cash must receive a pro rata amount of cash (with the balance of the distribution paid in stock). In no event will any stockholder, electing to receive cash, receive less than 20% of his or her entire distribution in cash. If these and certain other requirements are met, for U.S. federal income tax purposes, the amount of the dividend paid in stock will be equal to the amount of cash that could have been received instead of stock. Taxable stockholders receiving such dividends (whether received in cash, our stock, or a combination thereof)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124" w:lineRule="exact"/>
        <w:rPr>
          <w:sz w:val="20"/>
          <w:szCs w:val="20"/>
          <w:color w:val="auto"/>
        </w:rPr>
      </w:pPr>
    </w:p>
    <w:p>
      <w:pPr>
        <w:ind w:left="40" w:right="819"/>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and noteholders could lose confidence in our financial and other public reporting, which would harm our business.</w:t>
      </w:r>
    </w:p>
    <w:p>
      <w:pPr>
        <w:spacing w:after="0" w:line="73"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(the “Sarbanes-Oxley Act”), or the subsequent testing by</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302" w:lineRule="auto"/>
        <w:rPr>
          <w:sz w:val="20"/>
          <w:szCs w:val="20"/>
          <w:color w:val="auto"/>
        </w:rPr>
      </w:pPr>
      <w:r>
        <w:rPr>
          <w:rFonts w:ascii="Arial" w:cs="Arial" w:eastAsia="Arial" w:hAnsi="Arial"/>
          <w:sz w:val="16"/>
          <w:szCs w:val="16"/>
          <w:color w:val="auto"/>
        </w:rPr>
        <w:t>our independent registered public accounting firm (when undertaken, as noted below),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our business.</w:t>
      </w:r>
    </w:p>
    <w:p>
      <w:pPr>
        <w:spacing w:after="0" w:line="46"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We are required to disclose changes made in our internal control and procedures over financial reporting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of the Sarbanes-Oxley Act. We could be an “emerging growth company” for up to five years.</w:t>
      </w:r>
    </w:p>
    <w:p>
      <w:pPr>
        <w:spacing w:after="0" w:line="80"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As a public company, may incur significant additional expenses in the near term, which may negatively impact our financial performance and our ability to make distributions to our stockholders. This process also will result in a diversion of management’s time and attention. We cannot be certain as to the timing of completion of any evaluation, testing and remediation actions or the impact of the same on our operations, and we may not be able to ensure that the process is effective or that our internal controls over financial reporting are or will be effective in a timely manner. In the event that we are unable to maintain or achieve compliance with Section 404 of the Sarbanes-Oxley Act and related rules, the market price of our common stock may be adversely affected.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As a BDC, under the 1940 Act, we generally are not be permitted to incur indebtedness unless immediately after such borrowing the BDC has an asset coverage for total borrowings of at least 200% (i.e., the amount of debt may not exceed 50% of the value of our total assets or we may borrow an amount equal to 100% of net assets). Recent legislation introduced in the U.S. House of Representatives, would modify this section of the 1940 Act and increase the amount of debt that BDCs may incur by modifying the percentage from 200% to 150%. In addition, recent legislation introduced in the U.S. Senate would modify SBA regulations in a manner that may permit us to incur additional SBA guaranteed-indebtness. As a result, we may be able to incur additional indebtedness in the future, and therefore your risk of an investment in us may increase.</w:t>
      </w:r>
    </w:p>
    <w:p>
      <w:pPr>
        <w:spacing w:after="0" w:line="110"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 or cause us to alter our business strategy.</w:t>
      </w:r>
    </w:p>
    <w:p>
      <w:pPr>
        <w:spacing w:after="0" w:line="62" w:lineRule="exact"/>
        <w:rPr>
          <w:sz w:val="20"/>
          <w:szCs w:val="20"/>
          <w:color w:val="auto"/>
        </w:rPr>
      </w:pPr>
    </w:p>
    <w:p>
      <w:pPr>
        <w:ind w:left="40" w:right="519" w:firstLine="270"/>
        <w:spacing w:after="0" w:line="288" w:lineRule="auto"/>
        <w:rPr>
          <w:sz w:val="20"/>
          <w:szCs w:val="20"/>
          <w:color w:val="auto"/>
        </w:rPr>
      </w:pPr>
      <w:r>
        <w:rPr>
          <w:rFonts w:ascii="Arial" w:cs="Arial" w:eastAsia="Arial" w:hAnsi="Arial"/>
          <w:sz w:val="16"/>
          <w:szCs w:val="16"/>
          <w:color w:val="auto"/>
        </w:rPr>
        <w:t>We and our portfolio companies will be subject to applicable local, state and federal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Investment Advisor’s investment team to other types of investments in which the investment team may have less expertise or little or no experience. Thus, any such changes, if they occur, could have a material adverse effect on our results of operations and the value of your investment. In addition, any change to the SBA’s current Debenture SBIC program could have a significant impact on our ability to obtain lower-cost financing and, therefore, our competitive advantage over other finance companies.</w:t>
      </w:r>
    </w:p>
    <w:p>
      <w:pPr>
        <w:spacing w:after="0" w:line="61"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Two of our wholly owned subsidiaries are licensed by the U.S. Small Business Administration, and as a result, we are subject to SBA regulations.</w:t>
      </w:r>
    </w:p>
    <w:p>
      <w:pPr>
        <w:spacing w:after="0" w:line="62" w:lineRule="exact"/>
        <w:rPr>
          <w:sz w:val="20"/>
          <w:szCs w:val="20"/>
          <w:color w:val="auto"/>
        </w:rPr>
      </w:pPr>
    </w:p>
    <w:p>
      <w:pPr>
        <w:ind w:left="40" w:right="779" w:firstLine="270"/>
        <w:spacing w:after="0" w:line="273" w:lineRule="auto"/>
        <w:rPr>
          <w:sz w:val="20"/>
          <w:szCs w:val="20"/>
          <w:color w:val="auto"/>
        </w:rPr>
      </w:pPr>
      <w:r>
        <w:rPr>
          <w:rFonts w:ascii="Arial" w:cs="Arial" w:eastAsia="Arial" w:hAnsi="Arial"/>
          <w:sz w:val="17"/>
          <w:szCs w:val="17"/>
          <w:color w:val="auto"/>
        </w:rPr>
        <w:t>Fund II and Fund III, which became our wholly owned subsidiaries after the completion of the Formation Transactions, are licensed to act as SBICs and are regulated by the SBA. As of December 31, 2015, Fund II and Fund III portfolio companies accounted for most of our aggregate portfolio. The SBIC licenses allow our SBIC subsidiaries to borrow funds by issuing SBA-guaranteed debentures, subject to the issuance of a capital commitment by the SBA and other customary procedures. The SBA regulations require, among other things, that a licensed SBIC be examined periodically and audited by an independent auditor to determine the SBIC’s compliance with the relevant SBA regulations.</w:t>
      </w:r>
    </w:p>
    <w:p>
      <w:pPr>
        <w:spacing w:after="0" w:line="70"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Under current SBA regulations, a licensed SBIC may provide capital to those entities that have a tangible net worth not exceeding $18.0 million and an average annual net income after U.S. federal income taxes not exceeding $6.0 million for the two most recent fiscal years. In addition, a licensed SBIC must devote 25.0% of its investment activity to those entities that have a tangible net worth not exceeding $6.0 million and an average annual net income after U.S. federal income taxes not exceeding $2.0 million for the two most recent fiscal years. The SBA regulations also provide alternative size standard criteria to determine eligibility, which depend on the industry in which the business is engaged and are based on factors such as the number of employees and gross sales. The SBA regulations permit licensed SBICs to make long term loans to small businesses, invest in the equity securities of such businesses and provide them with consulting and advisory services. The SBA also places certain limitations on the financing terms of investments by SBICs in portfolio companies and prohibits SBICs from providing funds for certain purposes or to businesses in a few prohibited industries. Compliance with SBA requirements may cause a Legacy Fund to forego attractive investment opportunities that are not permitted under SBA regulations.</w:t>
      </w:r>
    </w:p>
    <w:p>
      <w:pPr>
        <w:spacing w:after="0" w:line="65"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The SBA also prohibits, without prior SBA approval, a “change of control” of an SBIC or transfers that would result in any person (or a group of persons acting in concert) owning 10.0% or more of a class of capital stock of a licensed SBIC. If Fund II or Fund III fails to comply with applicable SBA regulations, the SBA could, depending on the severity of the violation, limit or prohibit such Fund’s use of debentures, declare outstanding debentures immediately due and payable, and/or limit such Fund from making new investments. Such actions by the SBA would, in turn, negatively affect us because Fund II and Fund III are our wholly owned subsidiaries. Each of Fund II and Fund III was in compliance with the terms of the SBA’s leverage requirements as of December 31, 2015 as a result of having sufficient capital as defined under the SBA regulations.</w:t>
      </w:r>
    </w:p>
    <w:p>
      <w:pPr>
        <w:spacing w:after="0" w:line="110"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b w:val="1"/>
          <w:bCs w:val="1"/>
          <w:i w:val="1"/>
          <w:iCs w:val="1"/>
          <w:color w:val="auto"/>
        </w:rPr>
        <w:t>Our wholly owned SBIC subsidiaries may be unable to make distributions to us that will enable us to meet or maintain RIC status, which could result in the imposition of a corporate-level U.S. federal income tax.</w:t>
      </w:r>
    </w:p>
    <w:p>
      <w:pPr>
        <w:spacing w:after="0" w:line="62" w:lineRule="exact"/>
        <w:rPr>
          <w:sz w:val="20"/>
          <w:szCs w:val="20"/>
          <w:color w:val="auto"/>
        </w:rPr>
      </w:pPr>
    </w:p>
    <w:p>
      <w:pPr>
        <w:ind w:left="40" w:right="659" w:firstLine="270"/>
        <w:spacing w:after="0" w:line="289" w:lineRule="auto"/>
        <w:rPr>
          <w:sz w:val="20"/>
          <w:szCs w:val="20"/>
          <w:color w:val="auto"/>
        </w:rPr>
      </w:pPr>
      <w:r>
        <w:rPr>
          <w:rFonts w:ascii="Arial" w:cs="Arial" w:eastAsia="Arial" w:hAnsi="Arial"/>
          <w:sz w:val="16"/>
          <w:szCs w:val="16"/>
          <w:color w:val="auto"/>
        </w:rPr>
        <w:t>In order for us to continue to qualify for RIC tax treatment and to minimize corporate-level U.S. federal income taxes, we will be required to distribute substantially all of our net ordinary income and net capital gain income, including income from certain of our subsidiaries, which includes the income from our SBIC subsidiaries. We will be partially dependent on our SBIC subsidiaries for cash distributions to enable us to meet the RIC distribution requirements. Our SBIC subsidiaries may be limited by the Small Business Investment Act of 1958, and SBA regulations governing SBICs, from making certain distributions to us that may be necessary to maintain our status as a RIC. We may have to request a waiver of the SBA’s restrictions for our SBIC subsidiaries to make certain distributions to maintain our RIC status. We cannot assure you that the SBA will grant such waiver and if our SBIC subsidiaries are unable to obtain a waiver, compliance with the SBA regulations may result in loss of RIC tax treatment and a consequent imposition of a corporate-level U.S. federal income tax on all of our income.</w:t>
      </w:r>
    </w:p>
    <w:p>
      <w:pPr>
        <w:spacing w:after="0" w:line="99"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62" w:lineRule="exact"/>
        <w:rPr>
          <w:sz w:val="20"/>
          <w:szCs w:val="20"/>
          <w:color w:val="auto"/>
        </w:rPr>
      </w:pPr>
    </w:p>
    <w:p>
      <w:pPr>
        <w:ind w:left="40" w:right="959" w:firstLine="270"/>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and other rules implemented</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spacing w:after="0" w:line="270" w:lineRule="auto"/>
        <w:rPr>
          <w:sz w:val="20"/>
          <w:szCs w:val="20"/>
          <w:color w:val="auto"/>
        </w:rPr>
      </w:pPr>
      <w:r>
        <w:rPr>
          <w:rFonts w:ascii="Arial" w:cs="Arial" w:eastAsia="Arial" w:hAnsi="Arial"/>
          <w:sz w:val="17"/>
          <w:szCs w:val="17"/>
          <w:color w:val="auto"/>
        </w:rPr>
        <w:t>by the SEC. Also, we are subject to changing rules and regulations of federal and state government as well as the stock exchange on which our common stock is listed. These entities, including the Public Company Accounting Oversight Board, the SEC and the NASDAQ Global Select Market, have issued a significant number of new and increasingly complex requirements and regulations over the last several years and continue to develop additional regulations and requirements in response to laws enacted by Congress. For example, on July 21, 2010, the Dodd-Frank Wall Street Reform and Protection Act, or the Dodd-Frank Act, was enacted. There are significant corporate governance and executive compensation-related provisions in the Dodd-Frank Act that require the SEC to adopt additional rules and regulations in these areas such as “say on pay” and proxy access. Our efforts to comply with these requirements may result in an increase in expenses and a diversion of management’s time from other business activities.</w:t>
      </w:r>
    </w:p>
    <w:p>
      <w:pPr>
        <w:spacing w:after="0" w:line="74"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received an exemptive order from the SEC exempting us from certain provisions of the 1940 Act and the Exchange Act.</w:t>
      </w:r>
    </w:p>
    <w:p>
      <w:pPr>
        <w:spacing w:after="0" w:line="140"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Exchange Act with respect to Fund II and Fund III. We intend to comply with the conditions of the order. As a result, we will generally be permitted to incur a greater amount of leverage relative to our total assets and net asset value.</w:t>
      </w:r>
    </w:p>
    <w:p>
      <w:pPr>
        <w:spacing w:after="0" w:line="121" w:lineRule="exact"/>
        <w:rPr>
          <w:sz w:val="20"/>
          <w:szCs w:val="20"/>
          <w:color w:val="auto"/>
        </w:rPr>
      </w:pPr>
    </w:p>
    <w:p>
      <w:pPr>
        <w:ind w:left="40" w:right="779"/>
        <w:spacing w:after="0" w:line="375" w:lineRule="auto"/>
        <w:rPr>
          <w:sz w:val="20"/>
          <w:szCs w:val="20"/>
          <w:color w:val="auto"/>
        </w:rPr>
      </w:pPr>
      <w:r>
        <w:rPr>
          <w:rFonts w:ascii="Arial" w:cs="Arial" w:eastAsia="Arial" w:hAnsi="Arial"/>
          <w:sz w:val="15"/>
          <w:szCs w:val="15"/>
          <w:b w:val="1"/>
          <w:bCs w:val="1"/>
          <w:i w:val="1"/>
          <w:iCs w:val="1"/>
          <w:color w:val="auto"/>
        </w:rPr>
        <w:t>We are highly dependent on information systems and systems failures could significantly disrupt our business, which may, in turn, negatively affect the market price of our common stock and our ability to make distributions to our stockholders.</w:t>
      </w:r>
    </w:p>
    <w:p>
      <w:pPr>
        <w:spacing w:after="0" w:line="1" w:lineRule="exact"/>
        <w:rPr>
          <w:sz w:val="20"/>
          <w:szCs w:val="20"/>
          <w:color w:val="auto"/>
        </w:rPr>
      </w:pPr>
    </w:p>
    <w:p>
      <w:pPr>
        <w:ind w:left="40" w:right="679" w:firstLine="270"/>
        <w:spacing w:after="0" w:line="291" w:lineRule="auto"/>
        <w:rPr>
          <w:sz w:val="20"/>
          <w:szCs w:val="20"/>
          <w:color w:val="auto"/>
        </w:rPr>
      </w:pPr>
      <w:r>
        <w:rPr>
          <w:rFonts w:ascii="Arial" w:cs="Arial" w:eastAsia="Arial" w:hAnsi="Arial"/>
          <w:sz w:val="16"/>
          <w:szCs w:val="16"/>
          <w:color w:val="auto"/>
        </w:rPr>
        <w:t>Our business is highly dependent on the communications and information systems of the Investment Advisor. Certain of these systems are provided to the Investment Advisor by third-party service providers. Any failure or interruption of such systems, including as a result of the termination of an agreement with any such third-party service provider, sudden electrical or telecommunications outages, natural disasters such as earthquakes, tornadoes, and hurricanes, disease pandemics, events arising from local or larger scale political or social matters, including terrorist attacks, and cyber-attacks could cause delays or other problems in our activities. Any of the above, in turn, could have a material adverse effect on our operating results and negatively affect the market price of our common stock and our ability to make distributions to our stockholders.</w:t>
      </w:r>
    </w:p>
    <w:p>
      <w:pPr>
        <w:spacing w:after="0" w:line="100"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b w:val="1"/>
          <w:bCs w:val="1"/>
          <w:i w:val="1"/>
          <w:iCs w:val="1"/>
          <w:color w:val="auto"/>
        </w:rPr>
        <w:t>Terrorist attacks, acts of war or natural disasters may affect the market for our common stock, impact the businesses in which we invest and harm our business, operating results and financial condition.</w:t>
      </w:r>
    </w:p>
    <w:p>
      <w:pPr>
        <w:spacing w:after="0" w:line="62"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939"/>
        <w:spacing w:after="0" w:line="264" w:lineRule="auto"/>
        <w:rPr>
          <w:sz w:val="20"/>
          <w:szCs w:val="20"/>
          <w:color w:val="auto"/>
        </w:rPr>
      </w:pPr>
      <w:r>
        <w:rPr>
          <w:rFonts w:ascii="Arial" w:cs="Arial" w:eastAsia="Arial" w:hAnsi="Arial"/>
          <w:sz w:val="18"/>
          <w:szCs w:val="18"/>
          <w:b w:val="1"/>
          <w:bCs w:val="1"/>
          <w:i w:val="1"/>
          <w:iCs w:val="1"/>
          <w:color w:val="auto"/>
        </w:rPr>
        <w:t>To the extent original issue discount and PIK interest constitute a portion of our income, we will be exposed to typical risks associated with such income being required to be included in taxable and accounting income prior to receipt of cash representing such income.</w:t>
      </w:r>
    </w:p>
    <w:p>
      <w:pPr>
        <w:spacing w:after="0" w:line="73" w:lineRule="exact"/>
        <w:rPr>
          <w:sz w:val="20"/>
          <w:szCs w:val="20"/>
          <w:color w:val="auto"/>
        </w:rPr>
      </w:pPr>
    </w:p>
    <w:p>
      <w:pPr>
        <w:ind w:left="40" w:right="679" w:firstLine="270"/>
        <w:spacing w:after="0" w:line="279" w:lineRule="auto"/>
        <w:rPr>
          <w:sz w:val="20"/>
          <w:szCs w:val="20"/>
          <w:color w:val="auto"/>
        </w:rPr>
      </w:pPr>
      <w:r>
        <w:rPr>
          <w:rFonts w:ascii="Arial" w:cs="Arial" w:eastAsia="Arial" w:hAnsi="Arial"/>
          <w:sz w:val="17"/>
          <w:szCs w:val="17"/>
          <w:color w:val="auto"/>
        </w:rPr>
        <w:t>Our investments may include original issue discount, or original issue discount (“OID”), instruments and contractual PIK, interest, which represents contractual interest added to a loan balance and due at the end of such loan’s term. To the extent OID or PIK interest constitute a portion of our income, we are exposed to typical risks associated with such income being required to be included in taxable and accounting income prior to receipt of cash, including the following:</w:t>
      </w:r>
    </w:p>
    <w:p>
      <w:pPr>
        <w:spacing w:after="0" w:line="63" w:lineRule="exact"/>
        <w:rPr>
          <w:sz w:val="20"/>
          <w:szCs w:val="20"/>
          <w:color w:val="auto"/>
        </w:rPr>
      </w:pPr>
    </w:p>
    <w:p>
      <w:pPr>
        <w:ind w:left="600" w:right="1339" w:hanging="322"/>
        <w:spacing w:after="0" w:line="277"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OID instruments may have higher yields, which reflect the payment deferral and credit risk associated with these instruments;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OID accruals may create uncertainty about the source of our distributions to stockholders;</w:t>
      </w:r>
    </w:p>
    <w:p>
      <w:pPr>
        <w:spacing w:after="0" w:line="117"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OID and PIK instruments may have unreliable valuations because their continuing accruals require continuing judgments about the collectability of the deferred payments and the value of the collateral;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OID and PIK instruments may represent a higher credit risk than coupon loans.</w:t>
      </w:r>
    </w:p>
    <w:p>
      <w:pPr>
        <w:spacing w:after="0" w:line="158" w:lineRule="exact"/>
        <w:rPr>
          <w:sz w:val="20"/>
          <w:szCs w:val="20"/>
          <w:color w:val="auto"/>
        </w:rPr>
      </w:pPr>
    </w:p>
    <w:p>
      <w:pPr>
        <w:jc w:val="both"/>
        <w:ind w:left="40" w:right="679"/>
        <w:spacing w:after="0" w:line="264" w:lineRule="auto"/>
        <w:rPr>
          <w:sz w:val="20"/>
          <w:szCs w:val="20"/>
          <w:color w:val="auto"/>
        </w:rPr>
      </w:pPr>
      <w:r>
        <w:rPr>
          <w:rFonts w:ascii="Arial" w:cs="Arial" w:eastAsia="Arial" w:hAnsi="Arial"/>
          <w:sz w:val="18"/>
          <w:szCs w:val="18"/>
          <w:b w:val="1"/>
          <w:bCs w:val="1"/>
          <w:i w:val="1"/>
          <w:iCs w:val="1"/>
          <w:color w:val="auto"/>
        </w:rPr>
        <w:t>If we cannot obtain additional capital because of either regulatory or market price constraints, we could be forced to curtail or cease our new lending and investment activities, our net asset value could decrease and our level of distributions and liquidity could be affected adversely.</w:t>
      </w:r>
    </w:p>
    <w:p>
      <w:pPr>
        <w:spacing w:after="0" w:line="73"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Our ability to secure additional financing and satisfy our financial obligations under indebtedness outstanding from time to time will depend upon our future operating performance, which is subject to the prevailing general economic and credit market conditions, including interest rate levels and the availability of credit generally, and financial, business and other factors, many of which are beyond our control. The prolonged continuation or worsening of current economic and capital market conditions could have a material adverse effect on our ability to secure financing on favorable terms, if at all.</w:t>
      </w:r>
    </w:p>
    <w:p>
      <w:pPr>
        <w:spacing w:after="0" w:line="64" w:lineRule="exact"/>
        <w:rPr>
          <w:sz w:val="20"/>
          <w:szCs w:val="20"/>
          <w:color w:val="auto"/>
        </w:rPr>
      </w:pPr>
    </w:p>
    <w:p>
      <w:pPr>
        <w:jc w:val="both"/>
        <w:ind w:left="40" w:right="939" w:firstLine="270"/>
        <w:spacing w:after="0" w:line="264" w:lineRule="auto"/>
        <w:rPr>
          <w:sz w:val="20"/>
          <w:szCs w:val="20"/>
          <w:color w:val="auto"/>
        </w:rPr>
      </w:pPr>
      <w:r>
        <w:rPr>
          <w:rFonts w:ascii="Arial" w:cs="Arial" w:eastAsia="Arial" w:hAnsi="Arial"/>
          <w:sz w:val="18"/>
          <w:szCs w:val="18"/>
          <w:color w:val="auto"/>
        </w:rPr>
        <w:t>If we are unable to obtain additional debt capital, then our equity investors will not benefit from the potential for increased returns on equity resulting from leverage to the extent that our investment strategy is successful and we may be limited in our ability to make new commitments or fundings to our portfolio companies.</w:t>
      </w:r>
    </w:p>
    <w:p>
      <w:pPr>
        <w:spacing w:after="0" w:line="114" w:lineRule="exact"/>
        <w:rPr>
          <w:sz w:val="20"/>
          <w:szCs w:val="20"/>
          <w:color w:val="auto"/>
        </w:rPr>
      </w:pPr>
    </w:p>
    <w:p>
      <w:pPr>
        <w:ind w:left="40" w:right="699"/>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38"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are and we will remain an “emerging growth company” as defined in the JOBS Act until the earlier of (a) the last day of the fiscal year (i) following the fifth anniversary of the completion of this offering, (ii) in which we have total annual gross revenue of at least $1.0 billion, or (iii) in which we are deemed to be a large accelerated filer, which means the market value of our common stock that is held by non-affiliates exceeds $700 million as of the end of the previous second fiscal quarter, and (b) the date on which we have issued more than $1.0 billion in non-convertible debt during the prior three-year period. For so long as we remain an “emerging growth company” we have chosen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w:t>
      </w:r>
    </w:p>
    <w:p>
      <w:pPr>
        <w:spacing w:after="0" w:line="71" w:lineRule="exact"/>
        <w:rPr>
          <w:sz w:val="20"/>
          <w:szCs w:val="20"/>
          <w:color w:val="auto"/>
        </w:rPr>
      </w:pPr>
    </w:p>
    <w:p>
      <w:pPr>
        <w:ind w:left="40" w:right="759" w:firstLine="270"/>
        <w:spacing w:after="0" w:line="272" w:lineRule="auto"/>
        <w:rPr>
          <w:sz w:val="20"/>
          <w:szCs w:val="20"/>
          <w:color w:val="auto"/>
        </w:rPr>
      </w:pPr>
      <w:r>
        <w:rPr>
          <w:rFonts w:ascii="Arial" w:cs="Arial" w:eastAsia="Arial" w:hAnsi="Arial"/>
          <w:sz w:val="17"/>
          <w:szCs w:val="17"/>
          <w:color w:val="auto"/>
        </w:rPr>
        <w:t>In addition, Section 107 of the JOBS Act also provides that an “emerging growth company” may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chosen to take advantage of the extended transition period for complying with new or revised accounting standards, which may make it more difficult for investors and securities analysts to evaluate us since our financial statements may not be comparable to companies that comply with public company effective dates and may result in less investor confidence.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Because of the exemptions from various reporting requirements provided to us as an “emerging growth company” under the JOBS Act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97"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62"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Under Maryland General Corporation Law and our charter, our Board of Directors is authorized to classify and reclassify any authorized but unissued shares of stock into one or more classes of stock, including preferred stock. Prior to issuance of shares of each class or series, our Board of Directors will be required by Maryland law and our charter to set the terms, preferences, conversion or other rights, voting powers, restrictions, limitations as to dividends or other distributions, qualifications and terms or conditions of redemption for each class or series. Thus, our Board of Directors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your investment in our common stock.</w:t>
      </w:r>
    </w:p>
    <w:p>
      <w:pPr>
        <w:spacing w:after="0" w:line="101"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left="40" w:right="639" w:firstLine="270"/>
        <w:spacing w:after="0" w:line="287" w:lineRule="auto"/>
        <w:rPr>
          <w:sz w:val="20"/>
          <w:szCs w:val="20"/>
          <w:color w:val="auto"/>
        </w:rPr>
      </w:pPr>
      <w:r>
        <w:rPr>
          <w:rFonts w:ascii="Arial" w:cs="Arial" w:eastAsia="Arial" w:hAnsi="Arial"/>
          <w:sz w:val="16"/>
          <w:szCs w:val="16"/>
          <w:color w:val="auto"/>
        </w:rPr>
        <w:t>The Maryland General Corporation Law and our charter and bylaws contain provisions that may discourage, delay or make more difficult a change in control of Capitala Finance or the removal of our directors. We are subject to the Maryland Business Combination Act,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independent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stock by any person. If we amend our bylaws to repeal the exemption from the Control Share Acquisition Act, the Control Share Acquisition Act also may make it more difficult for a third-party to obtain control of us and increase the difficulty of consummating such a transaction. It is the position of the staff of the SEC’s Division of Investment Management that if a BDC fails to opt-out of the Maryland Control Share Acquisition Act, it acts in a manner inconsistent with Section 18(i) of the 1940 Act.</w:t>
      </w:r>
    </w:p>
    <w:p>
      <w:pPr>
        <w:spacing w:after="0" w:line="61" w:lineRule="exact"/>
        <w:rPr>
          <w:sz w:val="20"/>
          <w:szCs w:val="20"/>
          <w:color w:val="auto"/>
        </w:rPr>
      </w:pPr>
    </w:p>
    <w:p>
      <w:pPr>
        <w:ind w:left="40" w:right="719" w:firstLine="270"/>
        <w:spacing w:after="0" w:line="293" w:lineRule="auto"/>
        <w:rPr>
          <w:sz w:val="20"/>
          <w:szCs w:val="20"/>
          <w:color w:val="auto"/>
        </w:rPr>
      </w:pPr>
      <w:r>
        <w:rPr>
          <w:rFonts w:ascii="Arial" w:cs="Arial" w:eastAsia="Arial" w:hAnsi="Arial"/>
          <w:sz w:val="16"/>
          <w:szCs w:val="16"/>
          <w:color w:val="auto"/>
        </w:rPr>
        <w:t>We have also adopted measures that may make it difficult for a third-party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99" w:firstLine="270"/>
        <w:spacing w:after="0" w:line="293" w:lineRule="auto"/>
        <w:rPr>
          <w:sz w:val="20"/>
          <w:szCs w:val="20"/>
          <w:color w:val="auto"/>
        </w:rPr>
      </w:pPr>
      <w:r>
        <w:rPr>
          <w:rFonts w:ascii="Arial" w:cs="Arial" w:eastAsia="Arial" w:hAnsi="Arial"/>
          <w:sz w:val="16"/>
          <w:szCs w:val="16"/>
          <w:color w:val="auto"/>
        </w:rPr>
        <w:t>The foregoing provisions are expected to discourage certain coercive takeover practices and inadequate takeover bids and to encourage persons seeking to acquire control of us to negotiate first with our Board of Directors. However, these provisions may deprive a shareholder of the opportunity to sell such shareholder’s shares at a premium to a potential acquirer. We believe that the benefits of these provisions outweigh the potential disadvantages of discouraging any such acquisition proposals because, among other things, the negotiation of such proposals may improve their terms. Our Board of Directors has considered both the positive and negative effects of the foregoing provisions and determined that they are in the best interest of our shareholders.</w:t>
      </w:r>
    </w:p>
    <w:p>
      <w:pPr>
        <w:spacing w:after="0" w:line="84" w:lineRule="exact"/>
        <w:rPr>
          <w:sz w:val="20"/>
          <w:szCs w:val="20"/>
          <w:color w:val="auto"/>
        </w:rPr>
      </w:pPr>
    </w:p>
    <w:p>
      <w:pPr>
        <w:ind w:left="40" w:right="779"/>
        <w:spacing w:after="0" w:line="264" w:lineRule="auto"/>
        <w:rPr>
          <w:sz w:val="20"/>
          <w:szCs w:val="20"/>
          <w:color w:val="auto"/>
        </w:rPr>
      </w:pPr>
      <w:r>
        <w:rPr>
          <w:rFonts w:ascii="Arial" w:cs="Arial" w:eastAsia="Arial" w:hAnsi="Arial"/>
          <w:sz w:val="18"/>
          <w:szCs w:val="18"/>
          <w:b w:val="1"/>
          <w:bCs w:val="1"/>
          <w:i w:val="1"/>
          <w:iCs w:val="1"/>
          <w:color w:val="auto"/>
        </w:rPr>
        <w:t>The failure in cyber security systems, as well as the occurrence of events unanticipated in the Company’s disaster recovery systems and management continuity planning or a support failure from external providers during a disaster could impair the Company’s ability to conduct business effectively.</w:t>
      </w:r>
    </w:p>
    <w:p>
      <w:pPr>
        <w:spacing w:after="0" w:line="73"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The occurrence of a disaster such as a cyber-attack, a natural catastrophe, an industrial accident, a terrorist attack or war, events unanticipated in the Company’s disaster recovery systems, or a support failure from external providers, could have an adverse effect on the Company’s ability to conduct business and on the Company’s results of operations and financial condition, particularly if those events affect the Company’s computer-based data processing, transmission, storage, and retrieval systems or destroy data. If a significant number of the Company’s managers were unavailable in the event of a disaster, the Company’s ability to effectively conduct its business could be severely compromised.</w:t>
      </w:r>
    </w:p>
    <w:p>
      <w:pPr>
        <w:spacing w:after="0" w:line="70"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Our business relies on secure information technology systems. We depend heavily upon computer systems to perform necessary business functions. These systems are subject to potential attacks, including through adverse events that threaten the confidentiality, integrity or availability of our information resources (i.e. cyber-attacks). Despite the Company’s implementation of a variety of security measures, its computer systems could be subject to cyber-attacks and unauthorized access, such as physical and electronic break-ins or unauthorized tampering. Like other companies, the Company may experience threats to its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the Company’s computer systems, both those provided by our investment adviser and third-party service providers, and networks, or otherwise cause interruptions or malfunctions in its operations, which could result in damage to the Company’s reputation, financial losses, litigation, increased costs, regulatory penalties and/or customer dissatisfaction or loss.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Investments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invest primarily in senior secured term loans, mezzanine debt and select equity investments issued by leveraged companies.</w:t>
      </w:r>
    </w:p>
    <w:p>
      <w:pPr>
        <w:spacing w:after="0" w:line="140" w:lineRule="exact"/>
        <w:rPr>
          <w:sz w:val="20"/>
          <w:szCs w:val="20"/>
          <w:color w:val="auto"/>
        </w:rPr>
      </w:pPr>
    </w:p>
    <w:p>
      <w:pPr>
        <w:ind w:left="40" w:right="699" w:firstLine="270"/>
        <w:spacing w:after="0" w:line="254" w:lineRule="auto"/>
        <w:rPr>
          <w:sz w:val="20"/>
          <w:szCs w:val="20"/>
          <w:color w:val="auto"/>
        </w:rPr>
      </w:pPr>
      <w:r>
        <w:rPr>
          <w:rFonts w:ascii="Arial" w:cs="Arial" w:eastAsia="Arial" w:hAnsi="Arial"/>
          <w:sz w:val="18"/>
          <w:szCs w:val="18"/>
          <w:b w:val="1"/>
          <w:bCs w:val="1"/>
          <w:i w:val="1"/>
          <w:iCs w:val="1"/>
          <w:color w:val="auto"/>
        </w:rPr>
        <w:t xml:space="preserve">Senior Secured Loans. </w:t>
      </w:r>
      <w:r>
        <w:rPr>
          <w:rFonts w:ascii="Arial" w:cs="Arial" w:eastAsia="Arial" w:hAnsi="Arial"/>
          <w:sz w:val="18"/>
          <w:szCs w:val="18"/>
          <w:color w:val="auto"/>
        </w:rPr>
        <w:t>There is a risk that the collateral securing our loans may decrease in value over time, may be difficult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84"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b w:val="1"/>
          <w:bCs w:val="1"/>
          <w:i w:val="1"/>
          <w:iCs w:val="1"/>
          <w:color w:val="auto"/>
        </w:rPr>
        <w:t xml:space="preserve">Mezzanine Loans. </w:t>
      </w:r>
      <w:r>
        <w:rPr>
          <w:rFonts w:ascii="Arial" w:cs="Arial" w:eastAsia="Arial" w:hAnsi="Arial"/>
          <w:sz w:val="18"/>
          <w:szCs w:val="18"/>
          <w:color w:val="auto"/>
        </w:rPr>
        <w:t>Our mezzanine debt investments are generally subordinated to senior loans and may be unsecured. As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creditors may rank senior to us in the event of an insolvency, which could likely in many cases result in a substantial or complete loss on such investment in the case of such insolvency. This may result in an above average amount of risk and loss of principal.</w:t>
      </w:r>
    </w:p>
    <w:p>
      <w:pPr>
        <w:spacing w:after="0" w:line="79"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b w:val="1"/>
          <w:bCs w:val="1"/>
          <w:i w:val="1"/>
          <w:iCs w:val="1"/>
          <w:color w:val="auto"/>
        </w:rPr>
        <w:t xml:space="preserve">Equity Investments. </w:t>
      </w:r>
      <w:r>
        <w:rPr>
          <w:rFonts w:ascii="Arial" w:cs="Arial" w:eastAsia="Arial" w:hAnsi="Arial"/>
          <w:sz w:val="18"/>
          <w:szCs w:val="18"/>
          <w:color w:val="auto"/>
        </w:rPr>
        <w:t>When we invest in senior secured loans or mezzanine loans, we may acquire equity securities as well.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we may invest directly in the equity securities of portfolio companies.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79"/>
        <w:spacing w:after="0" w:line="255" w:lineRule="auto"/>
        <w:rPr>
          <w:sz w:val="20"/>
          <w:szCs w:val="20"/>
          <w:color w:val="auto"/>
        </w:rPr>
      </w:pPr>
      <w:r>
        <w:rPr>
          <w:rFonts w:ascii="Arial" w:cs="Arial" w:eastAsia="Arial" w:hAnsi="Arial"/>
          <w:sz w:val="18"/>
          <w:szCs w:val="18"/>
          <w:color w:val="auto"/>
        </w:rPr>
        <w:t>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The portfolio currently has several significant equity positions. Distributions, dispositions, or liquidity events of these investments may affect our results of operations and cause us to have to pay a special dividend relating to the realized gains from such investment in order to minimize to the greatest extent possible our U.S. federal income or excise tax liability.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addition, investing in smaller and lower middle-market companies involves a number of significant risks, including:</w:t>
      </w:r>
    </w:p>
    <w:p>
      <w:pPr>
        <w:spacing w:after="0" w:line="129" w:lineRule="exact"/>
        <w:rPr>
          <w:sz w:val="20"/>
          <w:szCs w:val="20"/>
          <w:color w:val="auto"/>
        </w:rPr>
      </w:pPr>
    </w:p>
    <w:p>
      <w:pPr>
        <w:ind w:left="600" w:right="759" w:hanging="322"/>
        <w:spacing w:after="0" w:line="286" w:lineRule="auto"/>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7" w:lineRule="exact"/>
        <w:rPr>
          <w:rFonts w:ascii="Arial" w:cs="Arial" w:eastAsia="Arial" w:hAnsi="Arial"/>
          <w:sz w:val="17"/>
          <w:szCs w:val="17"/>
          <w:color w:val="auto"/>
        </w:rPr>
      </w:pPr>
    </w:p>
    <w:p>
      <w:pPr>
        <w:jc w:val="both"/>
        <w:ind w:left="600" w:right="879" w:hanging="322"/>
        <w:spacing w:after="0" w:line="264"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they typically have shorter operating histories, narrower product lines and smaller market shares than larger businesses, which tend to render them more vulnerable to competitors’ actions and market conditions, as well as general economic downturns;</w:t>
      </w:r>
    </w:p>
    <w:p>
      <w:pPr>
        <w:spacing w:after="0" w:line="73" w:lineRule="exact"/>
        <w:rPr>
          <w:rFonts w:ascii="Arial" w:cs="Arial" w:eastAsia="Arial" w:hAnsi="Arial"/>
          <w:sz w:val="18"/>
          <w:szCs w:val="18"/>
          <w:color w:val="auto"/>
        </w:rPr>
      </w:pPr>
    </w:p>
    <w:p>
      <w:pPr>
        <w:ind w:left="600" w:right="639" w:hanging="322"/>
        <w:spacing w:after="0" w:line="264"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600" w:right="899" w:hanging="322"/>
        <w:spacing w:after="0" w:line="312" w:lineRule="auto"/>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38" w:lineRule="exact"/>
        <w:rPr>
          <w:rFonts w:ascii="Arial" w:cs="Arial" w:eastAsia="Arial" w:hAnsi="Arial"/>
          <w:sz w:val="16"/>
          <w:szCs w:val="16"/>
          <w:color w:val="auto"/>
        </w:rPr>
      </w:pPr>
    </w:p>
    <w:p>
      <w:pPr>
        <w:ind w:left="600" w:right="599" w:hanging="322"/>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 and</w:t>
      </w:r>
    </w:p>
    <w:p>
      <w:pPr>
        <w:spacing w:after="0" w:line="62" w:lineRule="exact"/>
        <w:rPr>
          <w:rFonts w:ascii="Arial" w:cs="Arial" w:eastAsia="Arial" w:hAnsi="Arial"/>
          <w:sz w:val="18"/>
          <w:szCs w:val="18"/>
          <w:color w:val="auto"/>
        </w:rPr>
      </w:pPr>
    </w:p>
    <w:p>
      <w:pPr>
        <w:ind w:left="600" w:right="1299" w:hanging="322"/>
        <w:spacing w:after="0" w:line="277"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executive officers, directors and our Investment Advisor may, in the ordinary course of business, be named as defendants in litigation arising from our investments in the portfolio companies.</w:t>
      </w:r>
    </w:p>
    <w:p>
      <w:pPr>
        <w:spacing w:after="0" w:line="89" w:lineRule="exact"/>
        <w:rPr>
          <w:sz w:val="20"/>
          <w:szCs w:val="20"/>
          <w:color w:val="auto"/>
        </w:rPr>
      </w:pPr>
    </w:p>
    <w:p>
      <w:pPr>
        <w:ind w:left="40" w:right="699"/>
        <w:spacing w:after="0" w:line="312" w:lineRule="auto"/>
        <w:rPr>
          <w:sz w:val="20"/>
          <w:szCs w:val="20"/>
          <w:color w:val="auto"/>
        </w:rPr>
      </w:pPr>
      <w:r>
        <w:rPr>
          <w:rFonts w:ascii="Arial" w:cs="Arial" w:eastAsia="Arial" w:hAnsi="Arial"/>
          <w:sz w:val="16"/>
          <w:szCs w:val="16"/>
          <w:b w:val="1"/>
          <w:bCs w:val="1"/>
          <w:i w:val="1"/>
          <w:iCs w:val="1"/>
          <w:color w:val="auto"/>
        </w:rPr>
        <w:t>An investment strategy focused primarily on smaller privately held companies involves a high degree of risk and presents certain challenges, including the lack of available information about these companies, a dependence on the talents and efforts of only a few key portfolio company personnel and a greater vulnerability to economic downturns.</w:t>
      </w:r>
    </w:p>
    <w:p>
      <w:pPr>
        <w:spacing w:after="0" w:line="39" w:lineRule="exact"/>
        <w:rPr>
          <w:sz w:val="20"/>
          <w:szCs w:val="20"/>
          <w:color w:val="auto"/>
        </w:rPr>
      </w:pPr>
    </w:p>
    <w:p>
      <w:pPr>
        <w:ind w:left="40" w:right="619" w:firstLine="270"/>
        <w:spacing w:after="0" w:line="285" w:lineRule="auto"/>
        <w:rPr>
          <w:sz w:val="20"/>
          <w:szCs w:val="20"/>
          <w:color w:val="auto"/>
        </w:rPr>
      </w:pPr>
      <w:r>
        <w:rPr>
          <w:rFonts w:ascii="Arial" w:cs="Arial" w:eastAsia="Arial" w:hAnsi="Arial"/>
          <w:sz w:val="16"/>
          <w:szCs w:val="16"/>
          <w:color w:val="auto"/>
        </w:rPr>
        <w:t>Our portfolio consists primarily of debt and equity investments in smaller privately owned venture capital-backed companies. Investing in venture capital-backed companies involves a number of significant risks. Typically, the debt in which we will invest is not initially rated by any rating agency; however, we believe that if such investments were rated, they would be rated below investment grade. Below investment grade securities, which are often referred to as “high yield” or “junk,” have predominantly speculative characteristics with respect to the issuer’s capacity to pay interest and repay principal. Compared to larger publicly owned companies, these venture capital-backed companies may be in a weaker financial position and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often face intense competition from larger companies with greater financial, technical and marketing resources and their success typically depends on the managerial talents and efforts of an individual or a small group of persons. Therefore, any loss of its key employees could affect a portfolio company’s ability to compete effectively and harm its financial condition. Further, some of these companies conduct business in regulated industries that are susceptible to regulatory changes.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Generally, little public information exists about these companies, and we are required to rely on the ability of our Investment Advisor’s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12"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Many of our loans are not fully amortizing and if a borrower cannot repay or refinance such loans at maturity, our results will suffer.</w:t>
      </w:r>
    </w:p>
    <w:p>
      <w:pPr>
        <w:spacing w:after="0" w:line="62"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Most of the loans in which we invest are not structured to fully amortize during their lifetime. Accordingly, a significant portion of the principal amount of such a loan may be due at maturity. As of December 31, 2015, all debt instruments in our portfolio, on a fair value basis, will not fully amortize prior to maturity. In order to create liquidity to pay the final principal payment, borrowers typically must raise additional capital. If they are unable to raise sufficient funds to repay us or we have not elected to enter into a new loan agreement providing for an extended maturity, the loan will go into default, which will require us to foreclose on the borrower’s assets, even if the loan was otherwise performing prior to maturity. This will deprive Capitala Finance from immediately obtaining full recovery on the loan and prevent or delay the reinvestment of the loan proceeds in other, more profitable investments.</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investments in leveraged portfolio companies may be risky, and you could lose all or part of your investment.</w:t>
      </w:r>
    </w:p>
    <w:p>
      <w:pPr>
        <w:spacing w:after="0" w:line="129"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Investment in leveraged companies involves a number of significant risks. Leveraged companies in which we invest may have limited financial resources and may be unable to meet their obligations under their loans and debt securities that we hold. Such developments may be accompanied by a deterioration in the value of any collateral and a reduction in the likelihood of our realizing any guarantees that we may have obtained in connection with our investment. Smaller leveraged companies also may have less predictable operating results and may require substantial additional capital to support their operations, finance their expansion or maintain their competitive position.</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portfolio companies may incur debt that ranks equally with, or senior to, our investments in such companies.</w:t>
      </w:r>
    </w:p>
    <w:p>
      <w:pPr>
        <w:spacing w:after="0" w:line="129"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sufficient remaining assets to repay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01" w:lineRule="exact"/>
        <w:rPr>
          <w:sz w:val="20"/>
          <w:szCs w:val="20"/>
          <w:color w:val="auto"/>
        </w:rPr>
      </w:pPr>
    </w:p>
    <w:p>
      <w:pPr>
        <w:jc w:val="both"/>
        <w:ind w:left="40" w:right="739"/>
        <w:spacing w:after="0" w:line="264"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73" w:lineRule="exact"/>
        <w:rPr>
          <w:sz w:val="20"/>
          <w:szCs w:val="20"/>
          <w:color w:val="auto"/>
        </w:rPr>
      </w:pPr>
    </w:p>
    <w:p>
      <w:pPr>
        <w:ind w:left="40" w:right="639" w:firstLine="270"/>
        <w:spacing w:after="0" w:line="297" w:lineRule="auto"/>
        <w:rPr>
          <w:sz w:val="20"/>
          <w:szCs w:val="20"/>
          <w:color w:val="auto"/>
        </w:rPr>
      </w:pPr>
      <w:r>
        <w:rPr>
          <w:rFonts w:ascii="Arial" w:cs="Arial" w:eastAsia="Arial" w:hAnsi="Arial"/>
          <w:sz w:val="16"/>
          <w:szCs w:val="16"/>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71" w:lineRule="auto"/>
        <w:rPr>
          <w:sz w:val="20"/>
          <w:szCs w:val="20"/>
          <w:color w:val="auto"/>
        </w:rPr>
      </w:pPr>
      <w:r>
        <w:rPr>
          <w:rFonts w:ascii="Arial" w:cs="Arial" w:eastAsia="Arial" w:hAnsi="Arial"/>
          <w:sz w:val="17"/>
          <w:szCs w:val="17"/>
          <w:color w:val="auto"/>
        </w:rPr>
        <w:t>any collateral in the event of bankruptcy or other default. In many such cases, the senior lender requires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(i) the commencement of foreclosure or other proceedings to liquidate and collect on the collateral; (ii) the nature, timing and conduct of foreclosure or other collection proceedings; (iii) the amendment of any collateral document; (iv) the release of the security interests in respect of any collateral; and (v) the waiver of defaults under any security agreement. Because of the control we may cede to senior lenders under intercreditor agreements we may enter, we may be unable to realize the proceeds of any collateral securing some of our loans.</w:t>
      </w:r>
    </w:p>
    <w:p>
      <w:pPr>
        <w:spacing w:after="0" w:line="98"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If we make subordinated investments, the obligors or the portfolio companies may not generate sufficient cash flow to service their debt obligations to us.</w:t>
      </w:r>
    </w:p>
    <w:p>
      <w:pPr>
        <w:spacing w:after="0" w:line="62"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We have made, and may make, subordinated investments that rank below other obligations of the obligor in right of payment. Subordinated investments are subject to greater risk of default than senior obligations as a result of adverse changes in the financial condition of the obligor or economic conditions in general. If we make a subordinated investment in a portfolio company, the portfolio company may be highly leveraged, and its relatively high debt-to-equity ratio may create increased risks that its operations might not generate sufficient cash flow to service all of its debt obligations.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Substantially all of our investments involve loans and private securities. In connection with the disposition of an investment in loans and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potential liabilities. These arrangements may result in contingent liabilities that ultimately result in funding obligations that we must satisfy through our return of distributions previously made to us.</w:t>
      </w:r>
    </w:p>
    <w:p>
      <w:pPr>
        <w:spacing w:after="0" w:line="126" w:lineRule="exact"/>
        <w:rPr>
          <w:sz w:val="20"/>
          <w:szCs w:val="20"/>
          <w:color w:val="auto"/>
        </w:rPr>
      </w:pPr>
    </w:p>
    <w:p>
      <w:pPr>
        <w:ind w:left="40" w:right="999"/>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6"/>
          <w:szCs w:val="16"/>
          <w:color w:val="auto"/>
        </w:rPr>
        <w:t>Even though we may have structured most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 Such risk of equitable subordination may be potentially heightened with respect to various portfolio investments that we may be deemed to control. See also “— 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Economic recessions could impair our portfolio companies and harm our operating results.</w:t>
      </w:r>
    </w:p>
    <w:p>
      <w:pPr>
        <w:spacing w:after="0" w:line="117"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Certain of our portfolio companies may be susceptible to an economic downturn and may be unable to repay our loans during this period. Therefore, assets may become non-performing and the value of our portfolio may decrease during this period. The adverse economic conditions also may decrease the value of collateral securing some of our loans and the value of our equity investments. A recession could lead to financial losses in our portfolio and a decrease in our revenues, net income and the value of our assets.</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Adverse economic conditions also may decrease the value of collateral securing some of our loans and the value of our equity investments at fair value.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79"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actually provided significant managerial assistance to that portfolio company, a bankruptcy court might re-characterize our debt holdings and subordinate all or a portion of our claim to that of other creditors.</w:t>
      </w:r>
    </w:p>
    <w:p>
      <w:pPr>
        <w:spacing w:after="0" w:line="59"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These portfolio companies may face intense competition, including competition from companies with greater financial resources, more extensive research and development, manufacturing, marketing and service capabilities and greater number of qualified and experienced managerial and technical personnel. They may need additional financing which they are unable to secure and which we are unable or unwilling to provide, or they may be subject to adverse developments unrelated to the technologies they acquire.</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generally invest in companies whose securities are not publicly traded, and whose securities will be subject to legal and other restrictions on resale or will otherwise be less liquid than publicly traded securities. There is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Further, we may face other restrictions on our ability to liquidate an investment in a portfolio company to the extent that we have material non-public information regarding such portfolio company.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portfolio.</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(i) increase or maintain in whole or in part our equity ownership percentage; (ii) exercise warrants, options or convertible securities that were acquired in the original or a subsequent financing; or (iii) attempt to preserve or enhance the value of our investment. We may elect not to make follow-on investments or otherwise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 For example, we may be prohibited under the 1940 Act from making follow-on investments in our portfolio companies that we may be deemed to “control” or in which affiliates of our Investment Advisor are also invested.</w:t>
      </w:r>
    </w:p>
    <w:p>
      <w:pPr>
        <w:spacing w:after="0" w:line="112" w:lineRule="exact"/>
        <w:rPr>
          <w:sz w:val="20"/>
          <w:szCs w:val="20"/>
          <w:color w:val="auto"/>
        </w:rPr>
      </w:pPr>
    </w:p>
    <w:p>
      <w:pPr>
        <w:jc w:val="both"/>
        <w:ind w:left="40" w:right="659"/>
        <w:spacing w:after="0" w:line="264" w:lineRule="auto"/>
        <w:rPr>
          <w:sz w:val="20"/>
          <w:szCs w:val="20"/>
          <w:color w:val="auto"/>
        </w:rPr>
      </w:pPr>
      <w:r>
        <w:rPr>
          <w:rFonts w:ascii="Arial" w:cs="Arial" w:eastAsia="Arial" w:hAnsi="Arial"/>
          <w:sz w:val="18"/>
          <w:szCs w:val="18"/>
          <w:b w:val="1"/>
          <w:bCs w:val="1"/>
          <w:i w:val="1"/>
          <w:iCs w:val="1"/>
          <w:color w:val="auto"/>
        </w:rPr>
        <w:t>Our ability to enter into new transactions with our affiliates, and to restructure or exit our investments in portfolio companies that we are deemed to “control” under the 1940 Act, will be restricted by the 1940 Act, which may limit the scope of investment opportunities available to us.</w:t>
      </w:r>
    </w:p>
    <w:p>
      <w:pPr>
        <w:spacing w:after="0" w:line="73"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We are prohibited under the 1940 Act from participating in certain transactions with our affiliates without the prior approval of our independent directors and, in some cases, the SEC. Any person that owns, directly or indirectly, 5% or more of our outstanding voting securities will be our affiliate for purposes of the 1940 Act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53" w:lineRule="auto"/>
        <w:rPr>
          <w:sz w:val="20"/>
          <w:szCs w:val="20"/>
          <w:color w:val="auto"/>
        </w:rPr>
      </w:pPr>
      <w:r>
        <w:rPr>
          <w:rFonts w:ascii="Arial" w:cs="Arial" w:eastAsia="Arial" w:hAnsi="Arial"/>
          <w:sz w:val="18"/>
          <w:szCs w:val="18"/>
          <w:color w:val="auto"/>
        </w:rPr>
        <w:t>and we are generally prohibited from buying or selling any security from or to such affiliate without the prior approval of our independent directors. The 1940 Act also prohibits certain “joint” transactions with certain of our affiliates, which could include concurrent investments in the same company, without prior approval of our independent directors and, in some cases, the SEC. We are prohibited from buying or selling any security from or to any person that controls us or who owns more than 25% of our voting securities or certain of that person’s affiliates, or entering into prohibited joint transactions with such persons, absent the prior approval of the SEC. As a result of these restrictions, we may be prohibited from buying or selling any security (other than any security of which we are the issuer) from or to any company that is advised or managed by our Investment Advisor or its affiliates without the prior approval of the SEC, which may limit the scope of investment opportunities that would otherwise be available to us.</w:t>
      </w:r>
    </w:p>
    <w:p>
      <w:pPr>
        <w:spacing w:after="0" w:line="89" w:lineRule="exact"/>
        <w:rPr>
          <w:sz w:val="20"/>
          <w:szCs w:val="20"/>
          <w:color w:val="auto"/>
        </w:rPr>
      </w:pPr>
    </w:p>
    <w:p>
      <w:pPr>
        <w:ind w:left="40" w:right="659" w:firstLine="270"/>
        <w:spacing w:after="0" w:line="289" w:lineRule="auto"/>
        <w:rPr>
          <w:sz w:val="20"/>
          <w:szCs w:val="20"/>
          <w:color w:val="auto"/>
        </w:rPr>
      </w:pPr>
      <w:r>
        <w:rPr>
          <w:rFonts w:ascii="Arial" w:cs="Arial" w:eastAsia="Arial" w:hAnsi="Arial"/>
          <w:sz w:val="16"/>
          <w:szCs w:val="16"/>
          <w:color w:val="auto"/>
        </w:rPr>
        <w:t>In the future, we may co-invest with investment funds, accounts and vehicles managed by our Investment Advisor or its affiliates when doing so is consistent with our investment strategy as well as applicable law and SEC staff interpretations. We generally will only be permitted to co-invest with such investment funds, accounts and vehicles where the only term that is negotiated is price. However, we and our Investment Advisor have filed an exemptive application with the SEC to permit greater flexibility to negotiate the terms of co-investments with investment funds, accounts and investment vehicles managed by our Investment Advisor or its affiliates in a manner consistent with our investment objective, positions, policies, strategies and restrictions as well as regulatory requirements and other pertinent factors. Even though we have filed this exemptive application, there can be no assurance that we will receive exemptive relief from the SEC to permit us to co-invest with investment funds, accounts and investment vehicles managed by our Investment Advisor or its affiliates where terms other than price are negotiated.</w:t>
      </w:r>
    </w:p>
    <w:p>
      <w:pPr>
        <w:spacing w:after="0" w:line="59"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In addition, within our portfolio there are investments that may be deemed to be “controlled” investment under the 1940 Act. To the extent that our investments in such portfolio companies need to be restructured or that we choose to exit these investments in the future, our ability to do so may be limited if such restructuring or exit also involves the affiliates of our Investment Advisor because such a transaction could be considered a joint transaction prohibited by the 1940 Act in the absence of our receipt of relief from the SEC in connection with such transaction. For example, if an affiliate of our Investment Advisor were required to approve a restructuring of an investment in the portfolio and the affiliate of our Investment Advisor was deemed to be our affiliate, such a restructuring transaction may constitute a prohibited joint transaction under the 1940 Act.</w:t>
      </w:r>
    </w:p>
    <w:p>
      <w:pPr>
        <w:spacing w:after="0" w:line="86" w:lineRule="exact"/>
        <w:rPr>
          <w:sz w:val="20"/>
          <w:szCs w:val="20"/>
          <w:color w:val="auto"/>
        </w:rPr>
      </w:pPr>
    </w:p>
    <w:p>
      <w:pPr>
        <w:ind w:left="40" w:right="799"/>
        <w:spacing w:after="0" w:line="308" w:lineRule="auto"/>
        <w:rPr>
          <w:sz w:val="20"/>
          <w:szCs w:val="20"/>
          <w:color w:val="auto"/>
        </w:rPr>
      </w:pPr>
      <w:r>
        <w:rPr>
          <w:rFonts w:ascii="Arial" w:cs="Arial" w:eastAsia="Arial" w:hAnsi="Arial"/>
          <w:sz w:val="17"/>
          <w:szCs w:val="17"/>
          <w:b w:val="1"/>
          <w:bCs w:val="1"/>
          <w:i w:val="1"/>
          <w:iCs w:val="1"/>
          <w:color w:val="auto"/>
        </w:rPr>
        <w:t>Our portfolio may lack diversification among portfolio companies, which may subject us to a risk of significant loss if one or more of these companies defaults on its obligations under any of its debt instruments.</w:t>
      </w:r>
    </w:p>
    <w:p>
      <w:pPr>
        <w:spacing w:after="0" w:line="38"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Our portfolio may be concentrated in a limited number of portfolio companies. Beyond the asset diversification requirements associated with our qualification as a RIC under the Code, we do not have fixed guidelines for diversification, and our investments may be concentrated in relatively few companies. As our portfolio is less diversified than the portfolios of some larger funds, we are more susceptible to failure if a single loan fails. The disposition or liquidity of a significant investment may also adversely impact our net asset value and our results of operations. Similarly, the aggregate returns we realize may be significantly adversely affected if a small number of investments perform poorly or if we need to write down the value of any one investment.</w:t>
      </w:r>
    </w:p>
    <w:p>
      <w:pPr>
        <w:spacing w:after="0" w:line="97"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62"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We are classified as a non-diversified investment company within the meaning of the 1940 Act, which means that we are not limited by the 1940 Act with respect to the proportion of our assets that we may invest in securities of a single issuer. Beyond the asset diversification requirements associated with our qualification as a RIC under the Code, we do not have fixed guidelines for diversification. To the extent that we assume large positions in the securities of a small number of issuers or our investments are concentrated in relatively few industries,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79"/>
        <w:spacing w:after="0" w:line="308" w:lineRule="auto"/>
        <w:rPr>
          <w:sz w:val="20"/>
          <w:szCs w:val="20"/>
          <w:color w:val="auto"/>
        </w:rPr>
      </w:pPr>
      <w:r>
        <w:rPr>
          <w:rFonts w:ascii="Arial" w:cs="Arial" w:eastAsia="Arial" w:hAnsi="Arial"/>
          <w:sz w:val="17"/>
          <w:szCs w:val="17"/>
          <w:b w:val="1"/>
          <w:bCs w:val="1"/>
          <w:i w:val="1"/>
          <w:iCs w:val="1"/>
          <w:color w:val="auto"/>
        </w:rPr>
        <w:t>Our portfolio may be concentrated in a limited number of industries, which may subject us to a risk of significant loss if there is a downturn in a particular industry in which a number of our investments are concentrated.</w:t>
      </w:r>
    </w:p>
    <w:p>
      <w:pPr>
        <w:spacing w:after="0" w:line="38"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Our portfolio may be concentrated in a limited number of industries. A downturn in any particular industry in which we are invested could significantly impact the aggregate returns we realize. If an industry in which we have significant investments suffers from adverse business or economic conditions, as these industries have to varying degrees, a material portion of our investment portfolio could be affected adversely, which, in turn, could adversely affect our financial position and results of operations.</w:t>
      </w:r>
    </w:p>
    <w:p>
      <w:pPr>
        <w:spacing w:after="0" w:line="87" w:lineRule="exact"/>
        <w:rPr>
          <w:sz w:val="20"/>
          <w:szCs w:val="20"/>
          <w:color w:val="auto"/>
        </w:rPr>
      </w:pPr>
    </w:p>
    <w:p>
      <w:pPr>
        <w:jc w:val="both"/>
        <w:ind w:left="40" w:right="619"/>
        <w:spacing w:after="0" w:line="264" w:lineRule="auto"/>
        <w:rPr>
          <w:sz w:val="20"/>
          <w:szCs w:val="20"/>
          <w:color w:val="auto"/>
        </w:rPr>
      </w:pPr>
      <w:r>
        <w:rPr>
          <w:rFonts w:ascii="Arial" w:cs="Arial" w:eastAsia="Arial" w:hAnsi="Arial"/>
          <w:sz w:val="18"/>
          <w:szCs w:val="18"/>
          <w:b w:val="1"/>
          <w:bCs w:val="1"/>
          <w:i w:val="1"/>
          <w:iCs w:val="1"/>
          <w:color w:val="auto"/>
        </w:rPr>
        <w:t>Because we will not hold controlling equity interests in most of our portfolio companies, we may not be in a position to exercise control over our portfolio companies or to prevent decisions by management of our portfolio companies that could decrease the value of our investments.</w:t>
      </w:r>
    </w:p>
    <w:p>
      <w:pPr>
        <w:spacing w:after="0" w:line="73"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We currently hold controlling equity positions in seven portfolio companies. Although we may do so in the future, we expect that we will not hold controlling equity positions in most of our portfolio companies. If we do not hold a controlling equity position in a portfolio company, we are subject to the risk that the portfolio company may make business decisions with which we disagree, and that the management and/or stockholders of the portfolio company may take risks or otherwise act in ways that are adverse to our interests. Due to the lack of liquidity of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Any extension or restructuring of our loans could adversely affect our cash flows. In addition, if one of our portfolio companies were to go bankrupt, even though we may have structured our interest as senior debt, depending on the facts and circumstances, including the extent to which we actually provided managerial assistance to that portfolio company, a bankruptcy court might recharacterize our debt holding and subordinate all or a portion of our claim to that of other creditors. If any of these occur, it could materially and adversely affect our operating results and cash flows.</w:t>
      </w:r>
    </w:p>
    <w:p>
      <w:pPr>
        <w:spacing w:after="0" w:line="101" w:lineRule="exact"/>
        <w:rPr>
          <w:sz w:val="20"/>
          <w:szCs w:val="20"/>
          <w:color w:val="auto"/>
        </w:rPr>
      </w:pPr>
    </w:p>
    <w:p>
      <w:pPr>
        <w:ind w:left="40" w:right="779"/>
        <w:spacing w:after="0" w:line="286" w:lineRule="auto"/>
        <w:rPr>
          <w:sz w:val="20"/>
          <w:szCs w:val="20"/>
          <w:color w:val="auto"/>
        </w:rPr>
      </w:pPr>
      <w:r>
        <w:rPr>
          <w:rFonts w:ascii="Arial" w:cs="Arial" w:eastAsia="Arial" w:hAnsi="Arial"/>
          <w:sz w:val="17"/>
          <w:szCs w:val="17"/>
          <w:b w:val="1"/>
          <w:bCs w:val="1"/>
          <w:i w:val="1"/>
          <w:iCs w:val="1"/>
          <w:color w:val="auto"/>
        </w:rPr>
        <w:t>If our portfolio companies are unable to protect their proprietary, technological and other intellectual property rights, our business and prospects could be harmed, and if portfolio companies are required to devote significant resources to protecting their intellectual property rights, the value of our investment could be reduced.</w:t>
      </w:r>
    </w:p>
    <w:p>
      <w:pPr>
        <w:spacing w:after="0" w:line="57"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that may be available in a downside scenario to repay our loans. Our portfolio companies will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third-party’s patent or other proprietary rights, it could be required to pay damages to the third-party, alter its products or processes, obtain a license from the third-party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for distribution.</w:t>
      </w:r>
    </w:p>
    <w:p>
      <w:pPr>
        <w:spacing w:after="0" w:line="62"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As a BDC, we are required to carry our investments at market value or, if no market value is ascertainable, at the fair value as determined in good faith by our Board.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105"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Prepayments of our debt investments by our portfolio companies could adversely impact our results of operations and reduce our return on equity.</w:t>
      </w:r>
    </w:p>
    <w:p>
      <w:pPr>
        <w:spacing w:after="0" w:line="62"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are subject to the risk that the investments we make in our portfolio companies may be repaid prior to maturity. When this occurs, we will generally reinvest these proceeds in temporary investments or repay any revolving credit facility, depending on expected future investment in new portfolio companies.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common stock.</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Certain investments that we may make include warrants or other equity securities.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often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b w:val="1"/>
          <w:bCs w:val="1"/>
          <w:i w:val="1"/>
          <w:iCs w:val="1"/>
          <w:color w:val="auto"/>
        </w:rPr>
        <w:t>The health and performance of our portfolio companies could be adversely affected by political and economic conditions in the countries in which they conduct business.</w:t>
      </w:r>
    </w:p>
    <w:p>
      <w:pPr>
        <w:spacing w:after="0" w:line="62"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Some of the products of our portfolio companies are developed, manufactured, assembled, tested or marketed outside the United States. Any conflict or uncertainty in these countries, including due to natural disasters, public health concerns, political unrest or safety concerns, could harm their business, financial condition and results of operations. In addition, if the government of any country in which their products are developed, manufactured or sold sets technical or regulatory standards for products developed or manufactured in or imported into their country that are not widely shared, it may lead some of their customers to suspend imports of their products into that country, require manufacturers or developers in that country to manufacture or develop products with different technical or regulatory standards and disrupt cross-border manufacturing, marketing or business relationships which, in each case, could harm their businesses.</w:t>
      </w:r>
    </w:p>
    <w:p>
      <w:pPr>
        <w:spacing w:after="0" w:line="111"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b w:val="1"/>
          <w:bCs w:val="1"/>
          <w:i w:val="1"/>
          <w:iCs w:val="1"/>
          <w:color w:val="auto"/>
        </w:rPr>
        <w:t>Continuation of the current decline in oil and natural gas prices for a prolonged period of time could have a material adverse effect on us.</w:t>
      </w:r>
    </w:p>
    <w:p>
      <w:pPr>
        <w:spacing w:after="0" w:line="62" w:lineRule="exact"/>
        <w:rPr>
          <w:sz w:val="20"/>
          <w:szCs w:val="20"/>
          <w:color w:val="auto"/>
        </w:rPr>
      </w:pPr>
    </w:p>
    <w:p>
      <w:pPr>
        <w:ind w:left="40" w:right="679" w:firstLine="270"/>
        <w:spacing w:after="0" w:line="273" w:lineRule="auto"/>
        <w:rPr>
          <w:sz w:val="20"/>
          <w:szCs w:val="20"/>
          <w:color w:val="auto"/>
        </w:rPr>
      </w:pPr>
      <w:r>
        <w:rPr>
          <w:rFonts w:ascii="Arial" w:cs="Arial" w:eastAsia="Arial" w:hAnsi="Arial"/>
          <w:sz w:val="17"/>
          <w:szCs w:val="17"/>
          <w:color w:val="auto"/>
        </w:rPr>
        <w:t>Approximately 8.8% of our portfolio at fair value as of December 31, 2015 is invested in energy-related businesses. A decline in oil and natural gas prices would adversely affect the credit quality of these investments. A decrease in credit quality would, in turn, negatively affect the fair value of these investments, which would consequently negatively affect our net asset value. Should the current decline in oil and natural gas prices persist, it is likely that our energy-related portfolio companies’ abilities to satisfy financial or operating covenants imposed by us or other lenders will be adversely affected, thereby negatively impacting our financial condition and their ability to satisfy their debt service and other obligations to us.</w:t>
      </w:r>
    </w:p>
    <w:p>
      <w:pPr>
        <w:spacing w:after="0" w:line="111"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b w:val="1"/>
          <w:bCs w:val="1"/>
          <w:i w:val="1"/>
          <w:iCs w:val="1"/>
          <w:color w:val="auto"/>
        </w:rPr>
        <w:t>Our equity ownership in a portfolio company may represent a control investment. Our ability to exit a control investment in a timely manner could result in a realized loss on the investment.</w:t>
      </w:r>
    </w:p>
    <w:p>
      <w:pPr>
        <w:spacing w:after="0" w:line="62"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We currently have, and may acquire in the future, control investments in portfolio companies. Our ability to divest ourselves from a debt or equity investment in a controller portfolio company could be restricted due to illiquidity in a private stock, limited trading volume on a public company’s stock, inside information on a company’s performance, insider blackout periods, or other factors that could prohibit us from disposing of the investment as we would if it were not a control investment. Additionally, we may choose not to take certain actions to protect a debt investment in a control investment portfolio company. As a result, we could experience a decrease in the value of our portfolio company holdings and potentially incur a realized loss on the investment.</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If the assets securing the loans that we make decrease in value, then we may lack sufficient collateral to cover losses.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attempt to mitigate credit risks, we will typically take a security interest in the available assets of our portfolio companies.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is no assurance that we will obtain or properly perfect our liens.</w:t>
      </w:r>
    </w:p>
    <w:p>
      <w:pPr>
        <w:spacing w:after="0" w:line="103"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a portfolio company to raise additional capital. In some circumstances, our lien could be subordinated to claims of other creditors. Consequently, the fact that a loan is secured does not guarantee that we will receive principal and interest payments according to the loan’s terms, or that we will be able to collect on the loan should we be forced to enforce our remedies.</w:t>
      </w:r>
    </w:p>
    <w:p>
      <w:pPr>
        <w:spacing w:after="0" w:line="50"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In addition, because we may invest in technology-related companies, a substantial portion of the assets securing our investment may be in the form of intellectual property, if any, inventory and equipment and, to a lesser extent, cash and accounts receivable. Intellectual property, if any, that is securing our loan could lose value if, among other things, the company’s rights to the intellectual property are challenged or if the company’s license to the intellectual property is revoked or expires, the technology fails to achieve its intended results or a new technology makes the intellectual property functionally obsolete. Inventory may not be adequate to secure our loan if our valuation of the inventory at the time that we made the loan was not accurate or if there is a reduction in the demand for the inventory.</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Similarly, any equipment securing our loan may not provide us with the anticipated security if there are changes in technology or advances in new equipment that render the particular equipment obsolete or of limited value, or if the company fails to adequately maintain or repair the equipment. Any one or more of the preceding factors could materially impair our ability to recover principal in a foreclosure.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left="40" w:right="679" w:firstLine="270"/>
        <w:spacing w:after="0" w:line="270" w:lineRule="auto"/>
        <w:rPr>
          <w:sz w:val="20"/>
          <w:szCs w:val="20"/>
          <w:color w:val="auto"/>
        </w:rPr>
      </w:pPr>
      <w:r>
        <w:rPr>
          <w:rFonts w:ascii="Arial" w:cs="Arial" w:eastAsia="Arial" w:hAnsi="Arial"/>
          <w:sz w:val="17"/>
          <w:szCs w:val="17"/>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 Energy companies could also be affected by the potential for lawsuits against or taxes or other regulatory costs imposed on greenhouse gas emitters, based on links drawn between greenhouse gas emissions and climate change.</w:t>
      </w:r>
    </w:p>
    <w:p>
      <w:pPr>
        <w:spacing w:after="0" w:line="70" w:lineRule="exact"/>
        <w:rPr>
          <w:sz w:val="20"/>
          <w:szCs w:val="20"/>
          <w:color w:val="auto"/>
        </w:rPr>
      </w:pPr>
    </w:p>
    <w:p>
      <w:pPr>
        <w:ind w:left="40" w:right="879" w:firstLine="270"/>
        <w:spacing w:after="0" w:line="259" w:lineRule="auto"/>
        <w:rPr>
          <w:sz w:val="20"/>
          <w:szCs w:val="20"/>
          <w:color w:val="auto"/>
        </w:rPr>
      </w:pPr>
      <w:r>
        <w:rPr>
          <w:rFonts w:ascii="Arial" w:cs="Arial" w:eastAsia="Arial" w:hAnsi="Arial"/>
          <w:sz w:val="18"/>
          <w:szCs w:val="18"/>
          <w:color w:val="auto"/>
        </w:rPr>
        <w:t>In December 2015 the United Nations, of which the U.S. is a member, adopted a climate accord with the long-term goal of limiting global warming and the short-term goal of significantly reducing greenhouse gas emissions. As a result, some of our portfolio companies may become subject to new or strengthened regulations or legislation which could increase their operating costs and/or decrease their revenues.</w:t>
      </w:r>
    </w:p>
    <w:p>
      <w:pPr>
        <w:spacing w:after="0" w:line="119"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b w:val="1"/>
          <w:bCs w:val="1"/>
          <w:i w:val="1"/>
          <w:iCs w:val="1"/>
          <w:color w:val="auto"/>
        </w:rPr>
        <w:t>We may choose to waive or defer enforcement of covenants in the debt securities held in our portfolio, which may cause us to lose all or part of our investment in these companies.</w:t>
      </w:r>
    </w:p>
    <w:p>
      <w:pPr>
        <w:spacing w:after="0" w:line="62"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We structure the debt investments in our portfolio companies to include business and financial covenants placing affirmative and negative obligations on the operation of the company’s business and its financial condition. However, from time to time we may elect to waive breaches of these covenants, including our right to payment, or waive or defer enforcement of remedies, such as acceleration of obligations or foreclosure on collateral, depending upon the financial condition and prospects of the particular portfolio company. These actions may reduce the likelihood of our receiving the full amount of future payments of interest or principal and be accompanied by a deterioration in the value of the underlying collateral as many of these companies may have limited financial resources, may be unable to meet future obligations and may go bankrupt. This could negatively impact our ability to pay dividends, could adversely affect our results of operation and financial condition and cause the loss of all or part of your investment.</w:t>
      </w:r>
    </w:p>
    <w:p>
      <w:pPr>
        <w:spacing w:after="0" w:line="130" w:lineRule="exact"/>
        <w:rPr>
          <w:sz w:val="20"/>
          <w:szCs w:val="20"/>
          <w:color w:val="auto"/>
        </w:rPr>
      </w:pPr>
    </w:p>
    <w:p>
      <w:pPr>
        <w:ind w:left="40" w:right="759"/>
        <w:spacing w:after="0" w:line="375" w:lineRule="auto"/>
        <w:rPr>
          <w:sz w:val="20"/>
          <w:szCs w:val="20"/>
          <w:color w:val="auto"/>
        </w:rPr>
      </w:pPr>
      <w:r>
        <w:rPr>
          <w:rFonts w:ascii="Arial" w:cs="Arial" w:eastAsia="Arial" w:hAnsi="Arial"/>
          <w:sz w:val="15"/>
          <w:szCs w:val="15"/>
          <w:b w:val="1"/>
          <w:bCs w:val="1"/>
          <w:i w:val="1"/>
          <w:iCs w:val="1"/>
          <w:color w:val="auto"/>
        </w:rPr>
        <w:t>Our investments in securities rated below investment grade are speculative in nature and are subject to additional risk factors such as increased possibility of default, illiquidity of the security, and changes in value based on changes in interest rates.</w:t>
      </w:r>
    </w:p>
    <w:p>
      <w:pPr>
        <w:spacing w:after="0" w:line="1"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The securities that we invest in are typically rated below investment grade. Securities rated below investment grade are often referred to as “leveraged loans,” “high yield” or “junk” securities, and may be considered “high risk” compared to debt instruments that are rated investment grade. High yield securities are regarded as having predominantly speculative characteristics with respect to the issuer’s capacity to pay interest and repay principal in accordance with the terms of the obligations and involve major risk exposure to adverse conditions. In addition, high yield securities generally offer a higher current yield than that available from higher grade issues, but typically involve greater risk. These securities are especially sensitive to adverse changes in general economic conditions, to changes in the financial condition of their issuers and to price fluctuation in response to changes in interest rates. During periods of economic downturn or rising interest rates, issuers of below investment grade instruments may experience financial stress that could adversely affect their ability to make payments of principal and interest and increase the possibility of default.</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investments may be in portfolio companies which may have limited operating histories and financial resources.</w:t>
      </w:r>
    </w:p>
    <w:p>
      <w:pPr>
        <w:spacing w:after="0" w:line="129"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We expect that our portfolio will continue to consist of investments that may have relatively limited operating histories. These companies may be particularly vulnerable to U.S. and foreign economic downturns such as the current recession and European financial crisis may have more limited access to capital and higher funding costs, may have a weaker financial position and may need more capital to expand or compete. These businesses also may experience substantial variations in operating results. They may face intense competition, including from companies with greater financial, technical and marketing resources. Furthermore, some of these companies do business in regulated industries and could be affected by changes in government regulation. Accordingly, these factors could impair their cash flow or result in other events, such as bankruptcy, which could limit their ability to repay their obligations to us, and may adversely affect the return on, or the recovery of, our investment in these companies. We cannot assure you that any of our investments in our portfolio companies will be successful. Our portfolio companies compete with larger, more established companies with greater access to, and resources for, further development in these new technologies. We may lose our entire investment in any or all of our portfolio companies.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Relating to our Securities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40" w:right="1019" w:firstLine="270"/>
        <w:spacing w:after="0" w:line="264" w:lineRule="auto"/>
        <w:rPr>
          <w:sz w:val="20"/>
          <w:szCs w:val="20"/>
          <w:color w:val="auto"/>
        </w:rPr>
      </w:pPr>
      <w:r>
        <w:rPr>
          <w:rFonts w:ascii="Arial" w:cs="Arial" w:eastAsia="Arial" w:hAnsi="Arial"/>
          <w:sz w:val="18"/>
          <w:szCs w:val="18"/>
          <w:color w:val="auto"/>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spacing w:after="0" w:line="73" w:lineRule="exact"/>
        <w:rPr>
          <w:sz w:val="20"/>
          <w:szCs w:val="20"/>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117" w:lineRule="exact"/>
        <w:rPr>
          <w:rFonts w:ascii="Arial" w:cs="Arial" w:eastAsia="Arial" w:hAnsi="Arial"/>
          <w:sz w:val="18"/>
          <w:szCs w:val="18"/>
          <w:color w:val="auto"/>
        </w:rPr>
      </w:pPr>
    </w:p>
    <w:p>
      <w:pPr>
        <w:ind w:left="600" w:right="1019" w:hanging="322"/>
        <w:spacing w:after="0" w:line="342" w:lineRule="auto"/>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15" w:lineRule="exact"/>
        <w:rPr>
          <w:rFonts w:ascii="Arial" w:cs="Arial" w:eastAsia="Arial" w:hAnsi="Arial"/>
          <w:sz w:val="16"/>
          <w:szCs w:val="16"/>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BDCs or SBICs;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qualify as a RIC, or the loss of RIC status;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shortfall in revenue or net income or any increase in losses from levels expected by investors or securities analysts;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departures of the Investment Advisor’s key personnel;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conditions and trends and other external factors.</w:t>
      </w:r>
    </w:p>
    <w:p>
      <w:pPr>
        <w:spacing w:after="0" w:line="144" w:lineRule="exact"/>
        <w:rPr>
          <w:sz w:val="20"/>
          <w:szCs w:val="20"/>
          <w:color w:val="auto"/>
        </w:rPr>
      </w:pPr>
    </w:p>
    <w:p>
      <w:pPr>
        <w:ind w:left="40" w:right="579"/>
        <w:spacing w:after="0" w:line="375" w:lineRule="auto"/>
        <w:rPr>
          <w:sz w:val="20"/>
          <w:szCs w:val="20"/>
          <w:color w:val="auto"/>
        </w:rPr>
      </w:pPr>
      <w:r>
        <w:rPr>
          <w:rFonts w:ascii="Arial" w:cs="Arial" w:eastAsia="Arial" w:hAnsi="Arial"/>
          <w:sz w:val="15"/>
          <w:szCs w:val="15"/>
          <w:b w:val="1"/>
          <w:bCs w:val="1"/>
          <w:i w:val="1"/>
          <w:iCs w:val="1"/>
          <w:color w:val="auto"/>
        </w:rPr>
        <w:t>Our business and operation could be negatively affected if we become subject to any securities litigation or shareholder activism, which could cause us to incur significant expense, hinder execution of investment strategy and impact our stock price.</w:t>
      </w:r>
    </w:p>
    <w:p>
      <w:pPr>
        <w:spacing w:after="0" w:line="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in the BDC space recently. While we are currently not subject to any securities litigation or shareholder activism, due to the potential volatility of our stock price and for a variety of other reasons, we may in the future become the target of securities litigation or shareholder activism. 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1019"/>
        <w:spacing w:after="0" w:line="264" w:lineRule="auto"/>
        <w:rPr>
          <w:sz w:val="20"/>
          <w:szCs w:val="20"/>
          <w:color w:val="auto"/>
        </w:rPr>
      </w:pPr>
      <w:r>
        <w:rPr>
          <w:rFonts w:ascii="Arial" w:cs="Arial" w:eastAsia="Arial" w:hAnsi="Arial"/>
          <w:sz w:val="18"/>
          <w:szCs w:val="18"/>
          <w:color w:val="auto"/>
        </w:rPr>
        <w:t>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in our common stock may involve an above average degree of risk.</w:t>
      </w:r>
    </w:p>
    <w:p>
      <w:pPr>
        <w:spacing w:after="0" w:line="117"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The investments we make may result in a higher amount of risk, volatility, or loss of principal than alternative investment options. These investments in portfolio companies may be highly speculative and aggressive, and therefore, an investment in our shares may not be suitable for someone with lower risk tolerance.</w:t>
      </w:r>
    </w:p>
    <w:p>
      <w:pPr>
        <w:spacing w:after="0" w:line="114" w:lineRule="exact"/>
        <w:rPr>
          <w:sz w:val="20"/>
          <w:szCs w:val="20"/>
          <w:color w:val="auto"/>
        </w:rPr>
      </w:pPr>
    </w:p>
    <w:p>
      <w:pPr>
        <w:ind w:left="40" w:right="899"/>
        <w:spacing w:after="0" w:line="277" w:lineRule="auto"/>
        <w:rPr>
          <w:sz w:val="20"/>
          <w:szCs w:val="20"/>
          <w:color w:val="auto"/>
        </w:rPr>
      </w:pPr>
      <w:r>
        <w:rPr>
          <w:rFonts w:ascii="Arial" w:cs="Arial" w:eastAsia="Arial" w:hAnsi="Arial"/>
          <w:sz w:val="18"/>
          <w:szCs w:val="18"/>
          <w:b w:val="1"/>
          <w:bCs w:val="1"/>
          <w:i w:val="1"/>
          <w:iCs w:val="1"/>
          <w:color w:val="auto"/>
        </w:rPr>
        <w:t>Our shares of common stock have a limited trading history and we cannot assure you that the market price of shares of our common stock will not decline.</w:t>
      </w:r>
    </w:p>
    <w:p>
      <w:pPr>
        <w:spacing w:after="0" w:line="62"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Our shares of common stock have a limited trading history and we cannot assure you that a public trading market will be sustained for such shares. We cannot predict the prices at which our common stock will trade. We cannot assure you that the market price of shares of our common stock will not decline at any time. In addition, our common stock has traded below its net asset value since our inception and if our common stock continues to trade below its net asset value, we will generally not be able to sell additional shares of our common stock to the public at its market price without first obtaining the approval of our stockholders (including our unaffiliated stockholders) and our independent directors for such issuance.</w:t>
      </w:r>
    </w:p>
    <w:p>
      <w:pPr>
        <w:spacing w:after="0" w:line="111"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Our common stockholders will bear the expenses associated with our borrowings, and the holders of our debt securities will have certain rights senior to our common stockholders.</w:t>
      </w:r>
    </w:p>
    <w:p>
      <w:pPr>
        <w:spacing w:after="0" w:line="62" w:lineRule="exact"/>
        <w:rPr>
          <w:sz w:val="20"/>
          <w:szCs w:val="20"/>
          <w:color w:val="auto"/>
        </w:rPr>
      </w:pPr>
    </w:p>
    <w:p>
      <w:pPr>
        <w:jc w:val="both"/>
        <w:ind w:left="40" w:right="639" w:firstLine="270"/>
        <w:spacing w:after="0" w:line="255" w:lineRule="auto"/>
        <w:rPr>
          <w:sz w:val="20"/>
          <w:szCs w:val="20"/>
          <w:color w:val="auto"/>
        </w:rPr>
      </w:pPr>
      <w:r>
        <w:rPr>
          <w:rFonts w:ascii="Arial" w:cs="Arial" w:eastAsia="Arial" w:hAnsi="Arial"/>
          <w:sz w:val="18"/>
          <w:szCs w:val="18"/>
          <w:color w:val="auto"/>
        </w:rPr>
        <w:t>If in the future we issue debt securities, all of the costs of offering and servicing such debt, including interest thereon, will be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spacing w:after="0" w:line="112"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 may have an adverse effect on the market price of our common stock.</w:t>
      </w:r>
    </w:p>
    <w:p>
      <w:pPr>
        <w:spacing w:after="0" w:line="62"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Shares of our common stock have traded at a discount from net asset value and may do so in the future.</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Shares of closed-end investment companies have frequently traded at a market price that is less than the net asset value that is attributable to those shares. In part as a result of adverse economic conditions and increasing pressure within the financial sector of which we are a part, our common stock has at times traded below its net asset value per share since our IPO on September 30, 2013. Our shares could continue trade at a discount to net asset value. The possibility that our shares of common stock may trade at a discount from net asset value over the long term is separate and distinct from the risk that our net asset value will decrease. We cannot predict whether shares of our common stock will trade above, at or below its net asset value. If our common stock trades below its net asset value, we will generally not be able to issue additional shares of our common stock at its market price without first obtaining the approval for such issuance from our stockholders and our independent directors. If additional funds are not available to us, we could be forced to curtail or cease our new lending and investment activities, and our net asset value could decrease and our level of distributions could be impacted.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You may not receive distributions or our distributions may decline or may not grow over time.</w:t>
      </w:r>
    </w:p>
    <w:p>
      <w:pPr>
        <w:spacing w:after="0" w:line="117" w:lineRule="exact"/>
        <w:rPr>
          <w:sz w:val="20"/>
          <w:szCs w:val="20"/>
          <w:color w:val="auto"/>
        </w:rPr>
      </w:pPr>
    </w:p>
    <w:p>
      <w:pPr>
        <w:ind w:left="40" w:right="1019" w:firstLine="270"/>
        <w:spacing w:after="0" w:line="277" w:lineRule="auto"/>
        <w:rPr>
          <w:sz w:val="20"/>
          <w:szCs w:val="20"/>
          <w:color w:val="auto"/>
        </w:rPr>
      </w:pPr>
      <w:r>
        <w:rPr>
          <w:rFonts w:ascii="Arial" w:cs="Arial" w:eastAsia="Arial" w:hAnsi="Arial"/>
          <w:sz w:val="18"/>
          <w:szCs w:val="18"/>
          <w:color w:val="auto"/>
        </w:rPr>
        <w:t>We intend to make distributions on a monthly basis to our stockholders out of assets legally available for distribution. We cannot assure you that we will achieve investment results that will allow us to make a</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specified level of cash distributions or year-to-year increases in cash distributions. Our ability to pay distributions might be materially and adversely affected by the impact of one or more of the risks described herein. Due to the asset coverage test applicable to us under the 1940 Act as a BDC, we may be limited in our ability to make distributions. All distributions will be made at the discretion of our Board and will depend on our earnings, financial condition, maintenance of RIC status, compliance with applicable BDC, SBA regulations and such other factors as our Board may deem relevant from time to time. We cannot assure you that we will make distributions to our stockholders in the future.</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stockholders will experience dilution in their ownership percentage if they opt out of our dividend reinvestment plan.</w:t>
      </w:r>
    </w:p>
    <w:p>
      <w:pPr>
        <w:spacing w:after="0" w:line="140"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All dividends declared in cash payable to stockholders that are participants in our dividend reinvestment plan are automatically reinvested in shares of our common stock. As a result, our stockholders that opt out of our dividend reinvestment plan will experience dilution in their ownership percentage of our common stock over time.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will have broad discretion over the use of proceeds of any successful offering of securities.</w:t>
      </w:r>
    </w:p>
    <w:p>
      <w:pPr>
        <w:spacing w:after="0" w:line="117"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We will have significant flexibility in applying the proceeds of any successful offering of our securities. We will also pay operating expenses, and may pay other expenses such as due diligence expenses of potential new investments, from net proceeds. Our ability to achieve our investment objective may be limited to the extent that the net proceeds of any offering, pending full investment, are used to pay operating expenses. In addition, we can provide you no assurance that the any offering will be successful, or that by increasing the size of our available equity capital, our aggregate expenses, and correspondingly, our expense ratio, will be lowered.</w:t>
      </w:r>
    </w:p>
    <w:p>
      <w:pPr>
        <w:spacing w:after="0" w:line="126" w:lineRule="exact"/>
        <w:rPr>
          <w:sz w:val="20"/>
          <w:szCs w:val="20"/>
          <w:color w:val="auto"/>
        </w:rPr>
      </w:pPr>
    </w:p>
    <w:p>
      <w:pPr>
        <w:ind w:left="40" w:right="1179"/>
        <w:spacing w:after="0" w:line="308" w:lineRule="auto"/>
        <w:rPr>
          <w:sz w:val="20"/>
          <w:szCs w:val="20"/>
          <w:color w:val="auto"/>
        </w:rPr>
      </w:pPr>
      <w:r>
        <w:rPr>
          <w:rFonts w:ascii="Arial" w:cs="Arial" w:eastAsia="Arial" w:hAnsi="Arial"/>
          <w:sz w:val="17"/>
          <w:szCs w:val="17"/>
          <w:b w:val="1"/>
          <w:bCs w:val="1"/>
          <w:i w:val="1"/>
          <w:iCs w:val="1"/>
          <w:color w:val="auto"/>
        </w:rPr>
        <w:t>The net asset value per share of our common stock may be diluted if we sell shares of our common stock in one or more offerings at prices below the then current net asset value per share of our common stock.</w:t>
      </w:r>
    </w:p>
    <w:p>
      <w:pPr>
        <w:spacing w:after="0" w:line="38"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At our 2015 Annual Stockholders Meeting, subject to certain determinations required to be made by our board of directors, our stockholders approved our ability to sell or otherwise issue shares of our common stock, not exceeding 25% of our then outstanding common stock immediately prior to each such offering, at a price below the then current net asset value per share during a period beginning on May 5, 2015 and expiring on the earlier of the one-year anniversary of the date of the 2015 Annual Stockholders Meeting and the date of our 2016 Annual Stockholders Meeting, which is expected to be held in May 2016.</w:t>
      </w:r>
    </w:p>
    <w:p>
      <w:pPr>
        <w:spacing w:after="0" w:line="50"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Any decision to sell shares of our common stock below its then current net asset value per share would be subject to the determination by our board of directors that such issuance is in our and our stockholders’ best interests. If we were to sell shares of our common stock below its then current net asset value per share; such sales would result in an immediate dilution to the net asset value per share of our common stock. This dilution would occur as a result of the sale of shares at a price below the then current net asset value per share of our common stock and a proportionately greater decrease in the stockholders’ interest in our earnings and assets and their voting interest in us than the increase in our assets resulting from such issuance. Because the number of shares of common stock that could be so issued and the timing of any issuance is not currently known, the actual dilutive effect cannot be predicted.</w:t>
      </w:r>
    </w:p>
    <w:p>
      <w:pPr>
        <w:spacing w:after="0" w:line="84"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Further, if our current stockholders do not purchase any shares to maintain their percentage interest, regardless of whether such offering is above or below the then current net asset value per share, their voting power will be diluted. For example, if we sell an additional 10% of our common shares at a 10% discount from net asset value, a stockholder who does not participate in that offering for its proportionate interest will suffer net asset value dilution of up to 1.0% or $10 per $1,000 of net asset value.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Your interest in Capitala Finance may be diluted if you do not fully exercise your subscription rights in any rights offering.</w:t>
      </w:r>
    </w:p>
    <w:p>
      <w:pPr>
        <w:spacing w:after="0" w:line="140"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In the event we issue subscription rights to purchase shares of our common stock, stockholders who do not fully exercise their rights should expect that they will, at the completion of the offer, own a smaller proportional interest in Capitala Finance than would otherwise be the case if they fully exercised their rights.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We cannot state precisely the amount of any such dilution in share ownership because we do not know at this time what proportion of the shares would be purchased as a result of a rights offering.</w:t>
      </w:r>
    </w:p>
    <w:p>
      <w:pPr>
        <w:spacing w:after="0" w:line="62"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In addition, if the subscription price in a rights offering is less than our net asset value per share, then our stockholders would experience an immediate dilution of the aggregate net asset value of their shares as a result of the rights offering. The amount of any decrease in net asset value is not predictable because it is not known at this time what the subscription price and net asset value per share will be on the expiration date of any rights offering or what proportion of the shares will be purchased as a result of such rights offering. Such dilution could be substantial.</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If we issue preferred stock, the net asset value and market value of our common stock will likely become more volatile.</w:t>
      </w:r>
    </w:p>
    <w:p>
      <w:pPr>
        <w:spacing w:after="0" w:line="140" w:lineRule="exact"/>
        <w:rPr>
          <w:sz w:val="20"/>
          <w:szCs w:val="20"/>
          <w:color w:val="auto"/>
        </w:rPr>
      </w:pPr>
    </w:p>
    <w:p>
      <w:pPr>
        <w:ind w:left="40" w:right="559" w:firstLine="270"/>
        <w:spacing w:after="0" w:line="285" w:lineRule="auto"/>
        <w:rPr>
          <w:sz w:val="20"/>
          <w:szCs w:val="20"/>
          <w:color w:val="auto"/>
        </w:rPr>
      </w:pPr>
      <w:r>
        <w:rPr>
          <w:rFonts w:ascii="Arial" w:cs="Arial" w:eastAsia="Arial" w:hAnsi="Arial"/>
          <w:sz w:val="16"/>
          <w:szCs w:val="16"/>
          <w:color w:val="auto"/>
        </w:rPr>
        <w:t>We cannot assure you that the issuance of preferred stock would result in a higher yield or return to the holders of our common stock. The issuance of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spacing w:after="0" w:line="110"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our board of directors and class voting rights on certain matters.</w:t>
      </w:r>
    </w:p>
    <w:p>
      <w:pPr>
        <w:spacing w:after="0" w:line="62"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our board of directors at all times and in the event dividends become two full years in arrears would have the right to elect a majority of the directors until such arrearage is completely eliminated. In addition, preferred stockholders have class voting rights on certain matters, including changes in fundamental investment restrictions and conversion to open-end status, and accordingly can veto any such changes. Restrictions imposed on the declarations and payment of dividends or other distributions to the holders of our common stock and preferred stock, both by the 1940 Act and by requirements imposed by rating agencies, if any, or the terms of our credit facilities, if any, might impair our ability to maintain our qualification as a RIC for U.S.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left="40" w:right="619" w:firstLine="270"/>
        <w:spacing w:after="0" w:line="264" w:lineRule="auto"/>
        <w:rPr>
          <w:sz w:val="20"/>
          <w:szCs w:val="20"/>
          <w:color w:val="auto"/>
        </w:rPr>
      </w:pPr>
      <w:r>
        <w:rPr>
          <w:rFonts w:ascii="Arial" w:cs="Arial" w:eastAsia="Arial" w:hAnsi="Arial"/>
          <w:sz w:val="18"/>
          <w:szCs w:val="18"/>
          <w:color w:val="auto"/>
        </w:rPr>
        <w:t>Our executive offices are located at 4201 Congress Street, Suite 360, Charlotte, North Carolina 28209, and are provided by our Administrator in accordance with the terms of the Administration Agreement. We believe that our office facilities are suitable and adequate for our business as it is contemplated to be conducted.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0" w:right="579" w:firstLine="270"/>
        <w:spacing w:after="0" w:line="293" w:lineRule="auto"/>
        <w:rPr>
          <w:sz w:val="20"/>
          <w:szCs w:val="20"/>
          <w:color w:val="auto"/>
        </w:rPr>
      </w:pPr>
      <w:r>
        <w:rPr>
          <w:rFonts w:ascii="Arial" w:cs="Arial" w:eastAsia="Arial" w:hAnsi="Arial"/>
          <w:sz w:val="16"/>
          <w:szCs w:val="16"/>
          <w:color w:val="auto"/>
        </w:rPr>
        <w:t>None of us, our Investment Advisor or Administrator or any of the Legacy Funds, are currently subject to any material legal proceedings, nor, to our knowledge, is any material legal proceeding threatened against us, or against our Investment Advisor or Administrator. From time to time, we, our Investment Advisor or Administrator, or any of the Legacy Funds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60" w:right="5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left="60" w:right="619" w:firstLine="270"/>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“CPTA.” The following table sets forth, for each fiscal quarter within the two most recent fiscal years, the range of high and low intraday sales prices of our common stock as reported on the NASDAQ Global Select Market, the premium (discount) of sales price to our net asset value (NAV) and the distributions declared by us for each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057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(Discount) of</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58"/>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High Sales</w:t>
            </w: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2015</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4"/>
                <w:szCs w:val="14"/>
                <w:b w:val="1"/>
                <w:bCs w:val="1"/>
                <w:color w:val="auto"/>
                <w:w w:val="95"/>
              </w:rPr>
              <w:t>NAV</w:t>
            </w:r>
            <w:r>
              <w:rPr>
                <w:rFonts w:ascii="Arial" w:cs="Arial" w:eastAsia="Arial" w:hAnsi="Arial"/>
                <w:sz w:val="23"/>
                <w:szCs w:val="23"/>
                <w:b w:val="1"/>
                <w:bCs w:val="1"/>
                <w:color w:val="auto"/>
                <w:w w:val="95"/>
                <w:vertAlign w:val="superscript"/>
              </w:rPr>
              <w:t>(1)</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88"/>
              </w:rPr>
              <w:t>Dividends</w:t>
            </w:r>
            <w:r>
              <w:rPr>
                <w:rFonts w:ascii="Arial" w:cs="Arial" w:eastAsia="Arial" w:hAnsi="Arial"/>
                <w:sz w:val="23"/>
                <w:szCs w:val="23"/>
                <w:b w:val="1"/>
                <w:bCs w:val="1"/>
                <w:color w:val="auto"/>
                <w:w w:val="88"/>
                <w:vertAlign w:val="superscript"/>
              </w:rPr>
              <w:t>(3)</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11.75</w:t>
            </w:r>
          </w:p>
        </w:tc>
        <w:tc>
          <w:tcPr>
            <w:tcW w:w="124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(14.0)%</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18.04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ind w:left="100"/>
              <w:spacing w:after="0"/>
              <w:rPr>
                <w:sz w:val="20"/>
                <w:szCs w:val="20"/>
                <w:color w:val="auto"/>
              </w:rPr>
            </w:pPr>
            <w:r>
              <w:rPr>
                <w:rFonts w:ascii="Arial" w:cs="Arial" w:eastAsia="Arial" w:hAnsi="Arial"/>
                <w:sz w:val="18"/>
                <w:szCs w:val="18"/>
                <w:color w:val="auto"/>
              </w:rPr>
              <w:t>12.54</w:t>
            </w:r>
          </w:p>
        </w:tc>
        <w:tc>
          <w:tcPr>
            <w:tcW w:w="1240" w:type="dxa"/>
            <w:vAlign w:val="bottom"/>
            <w:gridSpan w:val="3"/>
          </w:tcPr>
          <w:p>
            <w:pPr>
              <w:jc w:val="right"/>
              <w:ind w:right="128"/>
              <w:spacing w:after="0"/>
              <w:rPr>
                <w:sz w:val="20"/>
                <w:szCs w:val="20"/>
                <w:color w:val="auto"/>
              </w:rPr>
            </w:pPr>
            <w:r>
              <w:rPr>
                <w:rFonts w:ascii="Arial" w:cs="Arial" w:eastAsia="Arial" w:hAnsi="Arial"/>
                <w:sz w:val="18"/>
                <w:szCs w:val="18"/>
                <w:color w:val="auto"/>
              </w:rPr>
              <w:t>(7.1)%</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(30.5)%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15.34</w:t>
            </w:r>
          </w:p>
        </w:tc>
        <w:tc>
          <w:tcPr>
            <w:tcW w:w="124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6.4%</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18.35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19.12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ind w:left="100"/>
              <w:spacing w:after="0"/>
              <w:rPr>
                <w:sz w:val="20"/>
                <w:szCs w:val="20"/>
                <w:color w:val="auto"/>
              </w:rPr>
            </w:pPr>
            <w:r>
              <w:rPr>
                <w:rFonts w:ascii="Arial" w:cs="Arial" w:eastAsia="Arial" w:hAnsi="Arial"/>
                <w:sz w:val="18"/>
                <w:szCs w:val="18"/>
                <w:color w:val="auto"/>
              </w:rPr>
              <w:t>17.97</w:t>
            </w:r>
          </w:p>
        </w:tc>
        <w:tc>
          <w:tcPr>
            <w:tcW w:w="1240" w:type="dxa"/>
            <w:vAlign w:val="bottom"/>
            <w:gridSpan w:val="3"/>
          </w:tcPr>
          <w:p>
            <w:pPr>
              <w:jc w:val="right"/>
              <w:ind w:right="188"/>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74"/>
        </w:trPr>
        <w:tc>
          <w:tcPr>
            <w:tcW w:w="1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Premium or</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(Discount)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58"/>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High Sales</w:t>
            </w:r>
          </w:p>
        </w:tc>
        <w:tc>
          <w:tcPr>
            <w:tcW w:w="16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Low Sales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4"/>
                <w:szCs w:val="14"/>
                <w:b w:val="1"/>
                <w:bCs w:val="1"/>
                <w:color w:val="auto"/>
                <w:w w:val="95"/>
              </w:rPr>
              <w:t>NAV</w:t>
            </w:r>
            <w:r>
              <w:rPr>
                <w:rFonts w:ascii="Arial" w:cs="Arial" w:eastAsia="Arial" w:hAnsi="Arial"/>
                <w:sz w:val="23"/>
                <w:szCs w:val="23"/>
                <w:b w:val="1"/>
                <w:bCs w:val="1"/>
                <w:color w:val="auto"/>
                <w:w w:val="95"/>
                <w:vertAlign w:val="superscript"/>
              </w:rPr>
              <w:t>(1)</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Low</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90"/>
              </w:rPr>
              <w:t>Price to NAV</w:t>
            </w:r>
            <w:r>
              <w:rPr>
                <w:rFonts w:ascii="Arial" w:cs="Arial" w:eastAsia="Arial" w:hAnsi="Arial"/>
                <w:sz w:val="23"/>
                <w:szCs w:val="23"/>
                <w:b w:val="1"/>
                <w:bCs w:val="1"/>
                <w:color w:val="auto"/>
                <w:w w:val="90"/>
                <w:vertAlign w:val="superscript"/>
              </w:rPr>
              <w:t>(2)</w:t>
            </w:r>
          </w:p>
        </w:tc>
        <w:tc>
          <w:tcPr>
            <w:tcW w:w="16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88"/>
              </w:rPr>
              <w:t>Dividends</w:t>
            </w:r>
            <w:r>
              <w:rPr>
                <w:rFonts w:ascii="Arial" w:cs="Arial" w:eastAsia="Arial" w:hAnsi="Arial"/>
                <w:sz w:val="23"/>
                <w:szCs w:val="23"/>
                <w:b w:val="1"/>
                <w:bCs w:val="1"/>
                <w:color w:val="auto"/>
                <w:w w:val="88"/>
                <w:vertAlign w:val="superscript"/>
              </w:rPr>
              <w:t>(3)</w:t>
            </w: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17.60</w:t>
            </w:r>
          </w:p>
        </w:tc>
        <w:tc>
          <w:tcPr>
            <w:tcW w:w="12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4.0%</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19.89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19.49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ind w:left="120"/>
              <w:spacing w:after="0"/>
              <w:rPr>
                <w:sz w:val="20"/>
                <w:szCs w:val="20"/>
                <w:color w:val="auto"/>
              </w:rPr>
            </w:pPr>
            <w:r>
              <w:rPr>
                <w:rFonts w:ascii="Arial" w:cs="Arial" w:eastAsia="Arial" w:hAnsi="Arial"/>
                <w:sz w:val="18"/>
                <w:szCs w:val="18"/>
                <w:color w:val="auto"/>
                <w:w w:val="97"/>
              </w:rPr>
              <w:t>17.60</w:t>
            </w:r>
          </w:p>
        </w:tc>
        <w:tc>
          <w:tcPr>
            <w:tcW w:w="1240" w:type="dxa"/>
            <w:vAlign w:val="bottom"/>
            <w:gridSpan w:val="3"/>
          </w:tcPr>
          <w:p>
            <w:pPr>
              <w:jc w:val="right"/>
              <w:ind w:right="168"/>
              <w:spacing w:after="0"/>
              <w:rPr>
                <w:sz w:val="20"/>
                <w:szCs w:val="20"/>
                <w:color w:val="auto"/>
              </w:rPr>
            </w:pPr>
            <w:r>
              <w:rPr>
                <w:rFonts w:ascii="Arial" w:cs="Arial" w:eastAsia="Arial" w:hAnsi="Arial"/>
                <w:sz w:val="18"/>
                <w:szCs w:val="18"/>
                <w:color w:val="auto"/>
              </w:rPr>
              <w:t>(2.0)%</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(11.5)%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17.65</w:t>
            </w:r>
          </w:p>
        </w:tc>
        <w:tc>
          <w:tcPr>
            <w:tcW w:w="12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(2.3)%</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20.25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ind w:left="120"/>
              <w:spacing w:after="0"/>
              <w:rPr>
                <w:sz w:val="20"/>
                <w:szCs w:val="20"/>
                <w:color w:val="auto"/>
              </w:rPr>
            </w:pPr>
            <w:r>
              <w:rPr>
                <w:rFonts w:ascii="Arial" w:cs="Arial" w:eastAsia="Arial" w:hAnsi="Arial"/>
                <w:sz w:val="18"/>
                <w:szCs w:val="18"/>
                <w:color w:val="auto"/>
                <w:w w:val="97"/>
              </w:rPr>
              <w:t>19.00</w:t>
            </w:r>
          </w:p>
        </w:tc>
        <w:tc>
          <w:tcPr>
            <w:tcW w:w="1240" w:type="dxa"/>
            <w:vAlign w:val="bottom"/>
            <w:gridSpan w:val="3"/>
          </w:tcPr>
          <w:p>
            <w:pPr>
              <w:jc w:val="right"/>
              <w:ind w:right="168"/>
              <w:spacing w:after="0"/>
              <w:rPr>
                <w:sz w:val="20"/>
                <w:szCs w:val="20"/>
                <w:color w:val="auto"/>
              </w:rPr>
            </w:pPr>
            <w:r>
              <w:rPr>
                <w:rFonts w:ascii="Arial" w:cs="Arial" w:eastAsia="Arial" w:hAnsi="Arial"/>
                <w:sz w:val="18"/>
                <w:szCs w:val="18"/>
                <w:color w:val="auto"/>
              </w:rPr>
              <w:t>(0.4)%</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-1045845</wp:posOffset>
            </wp:positionV>
            <wp:extent cx="52057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00" w:right="619" w:hanging="272"/>
        <w:spacing w:after="0" w:line="264"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Calculated as of the respective high or low intraday sales price divided by the quarter end NAV and subtracting 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dividend paid or to be paid in the specified quarter.</w:t>
      </w:r>
    </w:p>
    <w:p>
      <w:pPr>
        <w:spacing w:after="0" w:line="117"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determinable at the time of filing</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0" w:right="959" w:firstLine="270"/>
        <w:spacing w:after="0" w:line="277" w:lineRule="auto"/>
        <w:rPr>
          <w:sz w:val="20"/>
          <w:szCs w:val="20"/>
          <w:color w:val="auto"/>
        </w:rPr>
      </w:pPr>
      <w:r>
        <w:rPr>
          <w:rFonts w:ascii="Arial" w:cs="Arial" w:eastAsia="Arial" w:hAnsi="Arial"/>
          <w:sz w:val="18"/>
          <w:szCs w:val="18"/>
          <w:color w:val="auto"/>
        </w:rPr>
        <w:t>The last reported price for our common stock on March 7, 2016 was $11.80 per share. As of March 7, 2016, there were 56 holders of record of our common stock.</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60" w:right="539" w:firstLine="270"/>
        <w:spacing w:after="0" w:line="253" w:lineRule="auto"/>
        <w:rPr>
          <w:sz w:val="20"/>
          <w:szCs w:val="20"/>
          <w:color w:val="auto"/>
        </w:rPr>
      </w:pPr>
      <w:r>
        <w:rPr>
          <w:rFonts w:ascii="Arial" w:cs="Arial" w:eastAsia="Arial" w:hAnsi="Arial"/>
          <w:sz w:val="18"/>
          <w:szCs w:val="18"/>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monthly distributions to our stockholders. Our monthly stockholder distributions, if any, will be determined by our Board on a quarterly basis. Any distribution to our stockholders will be declared out of assets legally available for distribution.</w:t>
      </w:r>
    </w:p>
    <w:p>
      <w:pPr>
        <w:spacing w:after="0" w:line="89" w:lineRule="exact"/>
        <w:rPr>
          <w:sz w:val="20"/>
          <w:szCs w:val="20"/>
          <w:color w:val="auto"/>
        </w:rPr>
      </w:pPr>
    </w:p>
    <w:p>
      <w:pPr>
        <w:ind w:left="60" w:right="759" w:firstLine="270"/>
        <w:spacing w:after="0" w:line="264"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5" w:name="page66"/>
    <w:bookmarkEnd w:id="65"/>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739"/>
        <w:spacing w:after="0" w:line="342" w:lineRule="auto"/>
        <w:rPr>
          <w:sz w:val="20"/>
          <w:szCs w:val="20"/>
          <w:color w:val="auto"/>
        </w:rPr>
      </w:pPr>
      <w:r>
        <w:rPr>
          <w:rFonts w:ascii="Arial" w:cs="Arial" w:eastAsia="Arial" w:hAnsi="Arial"/>
          <w:sz w:val="16"/>
          <w:szCs w:val="16"/>
          <w:color w:val="auto"/>
        </w:rPr>
        <w:t>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16" w:lineRule="exact"/>
        <w:rPr>
          <w:sz w:val="20"/>
          <w:szCs w:val="20"/>
          <w:color w:val="auto"/>
        </w:rPr>
      </w:pPr>
    </w:p>
    <w:p>
      <w:pPr>
        <w:ind w:left="180" w:right="739" w:firstLine="270"/>
        <w:spacing w:after="0" w:line="276"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64" w:lineRule="exact"/>
        <w:rPr>
          <w:sz w:val="20"/>
          <w:szCs w:val="20"/>
          <w:color w:val="auto"/>
        </w:rPr>
      </w:pPr>
    </w:p>
    <w:p>
      <w:pPr>
        <w:ind w:left="180" w:right="579" w:firstLine="270"/>
        <w:spacing w:after="0" w:line="273"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distributions declared during fiscal years ended 2016,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22,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January 4, 2016</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February 19, 2016</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February 26, 2016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22, 2016</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8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w w:val="95"/>
              </w:rPr>
              <w:t>Total Distributions Declared for Fiscal</w:t>
            </w:r>
          </w:p>
        </w:tc>
        <w:tc>
          <w:tcPr>
            <w:tcW w:w="18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080" w:type="dxa"/>
            <w:vAlign w:val="bottom"/>
          </w:tcPr>
          <w:p>
            <w:pPr>
              <w:ind w:left="38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120" w:type="dxa"/>
            <w:vAlign w:val="bottom"/>
          </w:tcPr>
          <w:p>
            <w:pPr>
              <w:spacing w:after="0"/>
              <w:rPr>
                <w:sz w:val="24"/>
                <w:szCs w:val="24"/>
                <w:color w:val="auto"/>
              </w:rPr>
            </w:pPr>
          </w:p>
        </w:tc>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22,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January 2,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February 20,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February 26,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23,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30,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March 23,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March 30,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23,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29,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May 21,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May 28,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22,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July 23,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July 30,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21,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28,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23,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29,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23,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29,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November 20,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November 27,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22,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30,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April 1,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April 23,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April 29,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21,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28,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April 1,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22,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29,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23,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30,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July 1,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August 21,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August, 28,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23,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29,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October 1,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October 23,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October 29,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2015</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20, 2015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27,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October 1, 2015</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22, 2015</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30,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30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w w:val="95"/>
              </w:rPr>
              <w:t>Total Distributions Declared for Fiscal</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0" w:type="dxa"/>
            <w:vAlign w:val="bottom"/>
          </w:tcPr>
          <w:p>
            <w:pPr>
              <w:spacing w:after="0"/>
              <w:rPr>
                <w:sz w:val="23"/>
                <w:szCs w:val="23"/>
                <w:color w:val="auto"/>
              </w:rPr>
            </w:pPr>
          </w:p>
        </w:tc>
        <w:tc>
          <w:tcPr>
            <w:tcW w:w="3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38</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08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-5050790</wp:posOffset>
            </wp:positionV>
            <wp:extent cx="475107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-4758690</wp:posOffset>
            </wp:positionV>
            <wp:extent cx="6114415" cy="47720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14415" cy="4772025"/>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3080" w:type="dxa"/>
            <w:vAlign w:val="bottom"/>
            <w:gridSpan w:val="3"/>
          </w:tcPr>
          <w:p>
            <w:pPr>
              <w:ind w:left="20"/>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line="20" w:lineRule="exact"/>
              <w:rPr>
                <w:sz w:val="1"/>
                <w:szCs w:val="1"/>
                <w:color w:val="auto"/>
              </w:rPr>
            </w:pPr>
          </w:p>
        </w:tc>
      </w:tr>
      <w:tr>
        <w:trPr>
          <w:trHeight w:val="376"/>
        </w:trPr>
        <w:tc>
          <w:tcPr>
            <w:tcW w:w="3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8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6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3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19, 2014</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30, 2014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tcPr>
          <w:p>
            <w:pPr>
              <w:ind w:left="20"/>
              <w:spacing w:after="0"/>
              <w:rPr>
                <w:sz w:val="20"/>
                <w:szCs w:val="20"/>
                <w:color w:val="auto"/>
              </w:rPr>
            </w:pPr>
            <w:r>
              <w:rPr>
                <w:rFonts w:ascii="Arial" w:cs="Arial" w:eastAsia="Arial" w:hAnsi="Arial"/>
                <w:sz w:val="18"/>
                <w:szCs w:val="18"/>
                <w:color w:val="auto"/>
              </w:rPr>
              <w:t>October 2, 2014</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November 21, 2014</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November 28, 2014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22, 2014</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30, 2014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tcPr>
          <w:p>
            <w:pPr>
              <w:ind w:left="20"/>
              <w:spacing w:after="0"/>
              <w:rPr>
                <w:sz w:val="20"/>
                <w:szCs w:val="20"/>
                <w:color w:val="auto"/>
              </w:rPr>
            </w:pPr>
            <w:r>
              <w:rPr>
                <w:rFonts w:ascii="Arial" w:cs="Arial" w:eastAsia="Arial" w:hAnsi="Arial"/>
                <w:sz w:val="18"/>
                <w:szCs w:val="18"/>
                <w:color w:val="auto"/>
              </w:rPr>
              <w:t>August 7, 2014</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12, 2014</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26, 2014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May 8, 2014</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9, 2014</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26, 2014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3"/>
          </w:tcPr>
          <w:p>
            <w:pPr>
              <w:ind w:left="20"/>
              <w:spacing w:after="0"/>
              <w:rPr>
                <w:sz w:val="20"/>
                <w:szCs w:val="20"/>
                <w:color w:val="auto"/>
              </w:rPr>
            </w:pPr>
            <w:r>
              <w:rPr>
                <w:rFonts w:ascii="Arial" w:cs="Arial" w:eastAsia="Arial" w:hAnsi="Arial"/>
                <w:sz w:val="18"/>
                <w:szCs w:val="18"/>
                <w:color w:val="auto"/>
              </w:rPr>
              <w:t>February 27, 2014</w:t>
            </w: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March 14, 2014</w:t>
            </w: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March 26, 2014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ind w:left="180"/>
              <w:spacing w:after="0" w:line="195" w:lineRule="exact"/>
              <w:rPr>
                <w:sz w:val="20"/>
                <w:szCs w:val="20"/>
                <w:color w:val="auto"/>
              </w:rPr>
            </w:pPr>
            <w:r>
              <w:rPr>
                <w:rFonts w:ascii="Arial" w:cs="Arial" w:eastAsia="Arial" w:hAnsi="Arial"/>
                <w:sz w:val="18"/>
                <w:szCs w:val="18"/>
                <w:color w:val="auto"/>
                <w:w w:val="95"/>
              </w:rPr>
              <w:t>Total Distributions Declared for Fiscal</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-1045845</wp:posOffset>
            </wp:positionV>
            <wp:extent cx="475107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-753745</wp:posOffset>
            </wp:positionV>
            <wp:extent cx="475107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-462280</wp:posOffset>
            </wp:positionV>
            <wp:extent cx="475107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-1457325</wp:posOffset>
            </wp:positionV>
            <wp:extent cx="47510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following graph compares the return on our common stock with that of the Standard &amp; Poor’s 500 Stock Index and the NASDAQ Financial 100 index, as we do not believe there is an appropriate index of companies with an investment strategy similar to our own with which to compare the return on our common stock, for the period from September 25, 2013, the date our common stock began trading, through December 31, 2015. The graph assumes that on September 25, 2013, a person invested $100 in each of our common stock, the Standard &amp; Poor’s 500 Stock Index and the NASDAQ Financial 100 index. The graph measures total shareholder return, which takes into account both changes in stock price and dividends. The graph also assumes the reinvestment of all dividends prior to any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60960</wp:posOffset>
            </wp:positionV>
            <wp:extent cx="5085715" cy="20497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8571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60" w:right="679" w:firstLine="270"/>
        <w:spacing w:after="0" w:line="259" w:lineRule="auto"/>
        <w:rPr>
          <w:sz w:val="20"/>
          <w:szCs w:val="20"/>
          <w:color w:val="auto"/>
        </w:rPr>
      </w:pPr>
      <w:r>
        <w:rPr>
          <w:rFonts w:ascii="Arial" w:cs="Arial" w:eastAsia="Arial" w:hAnsi="Arial"/>
          <w:sz w:val="18"/>
          <w:szCs w:val="18"/>
          <w:color w:val="auto"/>
        </w:rPr>
        <w:t>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price performance.</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During the year ended December 31, 2015, we issued 77,783 shares of common stock under our dividend reinvestment plan. The issuances were not subject to the registration requirements under the Securities Act of 1933, as amended. The cash paid for shares of common stock issued under our dividend reinvestment plan during the year ended December 31, 2015 was approximately $1.0 million. Other than the shares issued under our dividend reinvestment plan during the year ended December 31, 2015, we did not sell any unregistered equity securities. During the year ended December 31, 2014, we did not engage in the sales of unregistered securities.</w:t>
      </w:r>
    </w:p>
    <w:p>
      <w:pPr>
        <w:spacing w:after="0" w:line="200" w:lineRule="exact"/>
        <w:rPr>
          <w:sz w:val="20"/>
          <w:szCs w:val="20"/>
          <w:color w:val="auto"/>
        </w:rPr>
      </w:pPr>
    </w:p>
    <w:p>
      <w:pPr>
        <w:spacing w:after="0" w:line="34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67" w:name="page68"/>
    <w:bookmarkEnd w:id="67"/>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180" w:right="859" w:firstLine="270"/>
        <w:spacing w:after="0" w:line="264" w:lineRule="auto"/>
        <w:rPr>
          <w:sz w:val="20"/>
          <w:szCs w:val="20"/>
          <w:color w:val="auto"/>
        </w:rPr>
      </w:pPr>
      <w:r>
        <w:rPr>
          <w:rFonts w:ascii="Arial" w:cs="Arial" w:eastAsia="Arial" w:hAnsi="Arial"/>
          <w:sz w:val="18"/>
          <w:szCs w:val="18"/>
          <w:color w:val="auto"/>
        </w:rPr>
        <w:t>During the year ended December 31, 2015, we repurchased 774,858 shares of common stock at a weighted average price of $15.49 per share resulting in $12.0 million paid during the year ended December 31, 2015. The following table outlines repurchases of our common stock during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51885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Number (or</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Approximate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Part of</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2015 – January 31, 2015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February 1, 2015 – February 28, 2015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2015 – March 31, 2015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April 1, 2015 – April 30, 2015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 2015 – May 31, 2015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109,430</w:t>
            </w:r>
          </w:p>
        </w:tc>
        <w:tc>
          <w:tcPr>
            <w:tcW w:w="10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   17.28</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109,430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$ 10.1 million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June 1, 2015 – June 30, 2015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115,172</w:t>
            </w:r>
          </w:p>
        </w:tc>
        <w:tc>
          <w:tcPr>
            <w:tcW w:w="1040" w:type="dxa"/>
            <w:vAlign w:val="bottom"/>
            <w:gridSpan w:val="2"/>
          </w:tcPr>
          <w:p>
            <w:pPr>
              <w:jc w:val="right"/>
              <w:ind w:right="38"/>
              <w:spacing w:after="0"/>
              <w:rPr>
                <w:sz w:val="20"/>
                <w:szCs w:val="20"/>
                <w:color w:val="auto"/>
              </w:rPr>
            </w:pPr>
            <w:r>
              <w:rPr>
                <w:rFonts w:ascii="Arial" w:cs="Arial" w:eastAsia="Arial" w:hAnsi="Arial"/>
                <w:sz w:val="18"/>
                <w:szCs w:val="18"/>
                <w:color w:val="auto"/>
              </w:rPr>
              <w:t>17.36</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115,172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 million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2015 – July 31, 2015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123,382</w:t>
            </w:r>
          </w:p>
        </w:tc>
        <w:tc>
          <w:tcPr>
            <w:tcW w:w="10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16.20</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123,382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million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August 1, 2015 – August 31, 2015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133,311</w:t>
            </w:r>
          </w:p>
        </w:tc>
        <w:tc>
          <w:tcPr>
            <w:tcW w:w="1040" w:type="dxa"/>
            <w:vAlign w:val="bottom"/>
            <w:gridSpan w:val="2"/>
          </w:tcPr>
          <w:p>
            <w:pPr>
              <w:jc w:val="right"/>
              <w:ind w:right="38"/>
              <w:spacing w:after="0"/>
              <w:rPr>
                <w:sz w:val="20"/>
                <w:szCs w:val="20"/>
                <w:color w:val="auto"/>
              </w:rPr>
            </w:pPr>
            <w:r>
              <w:rPr>
                <w:rFonts w:ascii="Arial" w:cs="Arial" w:eastAsia="Arial" w:hAnsi="Arial"/>
                <w:sz w:val="18"/>
                <w:szCs w:val="18"/>
                <w:color w:val="auto"/>
              </w:rPr>
              <w:t>15.02</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133,311</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 million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2015 – September 30, 2015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142,755</w:t>
            </w:r>
          </w:p>
        </w:tc>
        <w:tc>
          <w:tcPr>
            <w:tcW w:w="10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14.00</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142,755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million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October 1, 2015 – October 31, 2015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142,638</w:t>
            </w:r>
          </w:p>
        </w:tc>
        <w:tc>
          <w:tcPr>
            <w:tcW w:w="1040" w:type="dxa"/>
            <w:vAlign w:val="bottom"/>
            <w:gridSpan w:val="2"/>
          </w:tcPr>
          <w:p>
            <w:pPr>
              <w:jc w:val="right"/>
              <w:ind w:right="38"/>
              <w:spacing w:after="0"/>
              <w:rPr>
                <w:sz w:val="20"/>
                <w:szCs w:val="20"/>
                <w:color w:val="auto"/>
              </w:rPr>
            </w:pPr>
            <w:r>
              <w:rPr>
                <w:rFonts w:ascii="Arial" w:cs="Arial" w:eastAsia="Arial" w:hAnsi="Arial"/>
                <w:sz w:val="18"/>
                <w:szCs w:val="18"/>
                <w:color w:val="auto"/>
              </w:rPr>
              <w:t>14.02</w:t>
            </w:r>
          </w:p>
        </w:tc>
        <w:tc>
          <w:tcPr>
            <w:tcW w:w="1040" w:type="dxa"/>
            <w:vAlign w:val="bottom"/>
            <w:gridSpan w:val="2"/>
          </w:tcPr>
          <w:p>
            <w:pPr>
              <w:jc w:val="right"/>
              <w:ind w:right="2"/>
              <w:spacing w:after="0"/>
              <w:rPr>
                <w:sz w:val="20"/>
                <w:szCs w:val="20"/>
                <w:color w:val="auto"/>
              </w:rPr>
            </w:pPr>
            <w:r>
              <w:rPr>
                <w:rFonts w:ascii="Arial" w:cs="Arial" w:eastAsia="Arial" w:hAnsi="Arial"/>
                <w:sz w:val="18"/>
                <w:szCs w:val="18"/>
                <w:color w:val="auto"/>
              </w:rPr>
              <w:t>142,638</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 million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 2015 – November 30, 2015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10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13.66</w:t>
            </w:r>
          </w:p>
        </w:tc>
        <w:tc>
          <w:tcPr>
            <w:tcW w:w="10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8,170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million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December 1, 2015 – December 31, 2015</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left="60" w:right="599" w:firstLine="270"/>
        <w:spacing w:after="0" w:line="297" w:lineRule="auto"/>
        <w:rPr>
          <w:sz w:val="20"/>
          <w:szCs w:val="20"/>
          <w:color w:val="auto"/>
        </w:rPr>
      </w:pPr>
      <w:r>
        <w:rPr>
          <w:rFonts w:ascii="Arial" w:cs="Arial" w:eastAsia="Arial" w:hAnsi="Arial"/>
          <w:sz w:val="16"/>
          <w:szCs w:val="16"/>
          <w:color w:val="auto"/>
        </w:rPr>
        <w:t>The following selected consolidated financial data of the Company as of and for the years ended December 31, 2015, 2014 and 2013 are derived from our consolidated financial statements that have been audited by Ernst &amp; Young LLP, our independent registered public accounting firm. This consolidated financial data should be read in conjunction with our consolidated financial statements and related notes thereto included elsewhere in this Form 10-K and with Management’s Discussion and Analysis of Financial Condition and Results of Operations which follows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47510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For the</w:t>
            </w: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For the</w:t>
            </w: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For the</w:t>
            </w:r>
          </w:p>
        </w:tc>
      </w:tr>
      <w:tr>
        <w:trPr>
          <w:trHeight w:val="149"/>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year ended</w:t>
            </w: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year ended</w:t>
            </w: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year ended</w:t>
            </w:r>
          </w:p>
        </w:tc>
      </w:tr>
      <w:tr>
        <w:trPr>
          <w:trHeight w:val="149"/>
        </w:trPr>
        <w:tc>
          <w:tcPr>
            <w:tcW w:w="454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96"/>
              </w:rPr>
              <w:t>2015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Borders>
              <w:bottom w:val="single" w:sz="8" w:color="auto"/>
            </w:tcBorders>
          </w:tcPr>
          <w:p>
            <w:pPr>
              <w:spacing w:after="0"/>
              <w:rPr>
                <w:sz w:val="14"/>
                <w:szCs w:val="14"/>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63,976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49,528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35,433</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 net of fee waivers</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38,649</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29,562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15,949</w:t>
            </w:r>
          </w:p>
        </w:tc>
      </w:tr>
      <w:tr>
        <w:trPr>
          <w:trHeight w:val="20"/>
        </w:trPr>
        <w:tc>
          <w:tcPr>
            <w:tcW w:w="4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25,327</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19,966</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19,484</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from investments</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2,187</w:t>
            </w: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w w:val="97"/>
              </w:rPr>
              <w:t>Net unrealized appreciation/(depreciation) on investments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(16,913)</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(24,238)</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7,187</w:t>
            </w:r>
          </w:p>
        </w:tc>
      </w:tr>
      <w:tr>
        <w:trPr>
          <w:trHeight w:val="20"/>
        </w:trPr>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Net increase/(decrease) in net assets resulting from operations $</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28,858</w:t>
            </w:r>
          </w:p>
        </w:tc>
      </w:tr>
      <w:tr>
        <w:trPr>
          <w:trHeight w:val="210"/>
        </w:trPr>
        <w:tc>
          <w:tcPr>
            <w:tcW w:w="45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640" w:type="dxa"/>
            <w:vAlign w:val="bottom"/>
            <w:gridSpan w:val="2"/>
          </w:tcPr>
          <w:p>
            <w:pPr>
              <w:ind w:left="20"/>
              <w:spacing w:after="0"/>
              <w:rPr>
                <w:sz w:val="20"/>
                <w:szCs w:val="20"/>
                <w:color w:val="auto"/>
              </w:rPr>
            </w:pPr>
            <w:r>
              <w:rPr>
                <w:rFonts w:ascii="Arial" w:cs="Arial" w:eastAsia="Arial" w:hAnsi="Arial"/>
                <w:sz w:val="18"/>
                <w:szCs w:val="18"/>
                <w:color w:val="auto"/>
                <w:highlight w:val="white"/>
                <w:w w:val="89"/>
              </w:rPr>
              <w:t xml:space="preserve">Net increase/(decrease) in net assets resulting from operations </w:t>
            </w:r>
            <w:r>
              <w:rPr>
                <w:rFonts w:ascii="Arial" w:cs="Arial" w:eastAsia="Arial" w:hAnsi="Arial"/>
                <w:sz w:val="18"/>
                <w:szCs w:val="18"/>
                <w:color w:val="auto"/>
                <w:w w:val="8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r>
      <w:tr>
        <w:trPr>
          <w:trHeight w:val="21"/>
        </w:trPr>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declared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17.04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20.71</w:t>
            </w:r>
          </w:p>
        </w:tc>
      </w:tr>
      <w:tr>
        <w:trPr>
          <w:trHeight w:val="21"/>
        </w:trPr>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Consolidated statements of assets and liabilities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632,818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539,864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476,428</w:t>
            </w:r>
          </w:p>
        </w:tc>
      </w:tr>
      <w:tr>
        <w:trPr>
          <w:trHeight w:val="21"/>
        </w:trPr>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268,802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240,837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268,670</w:t>
            </w:r>
          </w:p>
        </w:tc>
      </w:tr>
      <w:tr>
        <w:trPr>
          <w:trHeight w:val="210"/>
        </w:trPr>
        <w:tc>
          <w:tcPr>
            <w:tcW w:w="45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Other data:</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57"/>
        </w:trPr>
        <w:tc>
          <w:tcPr>
            <w:tcW w:w="45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Total Return</w:t>
            </w:r>
            <w:r>
              <w:rPr>
                <w:rFonts w:ascii="Arial" w:cs="Arial" w:eastAsia="Arial" w:hAnsi="Arial"/>
                <w:sz w:val="29"/>
                <w:szCs w:val="29"/>
                <w:color w:val="auto"/>
                <w:vertAlign w:val="superscript"/>
              </w:rPr>
              <w:t>(2)(3)</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w:t>
            </w: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Number of portfolio company investments at period end</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portfolio investments for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260,640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216,276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110,929</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Investment repayments for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142,713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80,197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52,755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-2623820</wp:posOffset>
            </wp:positionV>
            <wp:extent cx="475107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-2058035</wp:posOffset>
            </wp:positionV>
            <wp:extent cx="475107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-1749425</wp:posOffset>
            </wp:positionV>
            <wp:extent cx="475107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-1406525</wp:posOffset>
            </wp:positionV>
            <wp:extent cx="4751070"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-754380</wp:posOffset>
            </wp:positionV>
            <wp:extent cx="475107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00" w:right="699" w:hanging="272"/>
        <w:spacing w:after="0" w:line="264"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historical periods prior to December 31, 2013, the Company had no operations and therefore earnings per share, dividends declared per common share and weighted average shares outstanding information for the periods that include financial results prior to December 31, 2013 are not provided.</w:t>
      </w:r>
    </w:p>
    <w:p>
      <w:pPr>
        <w:spacing w:after="0" w:line="73" w:lineRule="exact"/>
        <w:rPr>
          <w:rFonts w:ascii="Arial" w:cs="Arial" w:eastAsia="Arial" w:hAnsi="Arial"/>
          <w:sz w:val="18"/>
          <w:szCs w:val="18"/>
          <w:color w:val="auto"/>
        </w:rPr>
      </w:pPr>
    </w:p>
    <w:p>
      <w:pPr>
        <w:ind w:left="300" w:right="699" w:hanging="272"/>
        <w:spacing w:after="0" w:line="257"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investment return for the years ended December 31, 2015 and 2014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80" w:lineRule="exact"/>
        <w:rPr>
          <w:rFonts w:ascii="Arial" w:cs="Arial" w:eastAsia="Arial" w:hAnsi="Arial"/>
          <w:sz w:val="18"/>
          <w:szCs w:val="18"/>
          <w:color w:val="auto"/>
        </w:rPr>
      </w:pPr>
    </w:p>
    <w:p>
      <w:pPr>
        <w:ind w:left="300" w:right="699" w:hanging="272"/>
        <w:spacing w:after="0" w:line="276" w:lineRule="auto"/>
        <w:tabs>
          <w:tab w:leader="none" w:pos="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Total investment return for the year ended December 31, 2013 is calculated assuming a purchase of common shares at the IPO offering price per share at September 25, 2013 of $20.00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200" w:lineRule="exact"/>
        <w:rPr>
          <w:sz w:val="20"/>
          <w:szCs w:val="20"/>
          <w:color w:val="auto"/>
        </w:rPr>
      </w:pPr>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annual report on Form 10-K.</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This annual report,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70"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Some of the statements in this annual report on Form 10-K constitute forward-looking statements, which relate to future events or our performance or financial condition. The forward-looking statements contained in this annual report on Form 10-K involve risks and uncertainties, including statements as to:</w:t>
      </w:r>
    </w:p>
    <w:p>
      <w:pPr>
        <w:spacing w:after="0" w:line="73" w:lineRule="exact"/>
        <w:rPr>
          <w:sz w:val="20"/>
          <w:szCs w:val="20"/>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999" w:hanging="322"/>
        <w:spacing w:after="0" w:line="277"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or repay their borrowings, which could lead to the loss of some or all of our investments in such portfolio companies;</w:t>
      </w:r>
    </w:p>
    <w:p>
      <w:pPr>
        <w:spacing w:after="0" w:line="62" w:lineRule="exact"/>
        <w:rPr>
          <w:rFonts w:ascii="Arial" w:cs="Arial" w:eastAsia="Arial" w:hAnsi="Arial"/>
          <w:sz w:val="18"/>
          <w:szCs w:val="18"/>
          <w:color w:val="auto"/>
        </w:rPr>
      </w:pPr>
    </w:p>
    <w:p>
      <w:pPr>
        <w:ind w:left="600" w:right="799" w:hanging="322"/>
        <w:spacing w:after="0" w:line="277"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lending and investment activities;</w:t>
      </w:r>
    </w:p>
    <w:p>
      <w:pPr>
        <w:spacing w:after="0" w:line="62" w:lineRule="exact"/>
        <w:rPr>
          <w:rFonts w:ascii="Arial" w:cs="Arial" w:eastAsia="Arial" w:hAnsi="Arial"/>
          <w:sz w:val="18"/>
          <w:szCs w:val="18"/>
          <w:color w:val="auto"/>
        </w:rPr>
      </w:pPr>
    </w:p>
    <w:p>
      <w:pPr>
        <w:ind w:left="600" w:right="739" w:hanging="322"/>
        <w:spacing w:after="0" w:line="277"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use leverage as part of our investment strategy; and</w:t>
      </w:r>
    </w:p>
    <w:p>
      <w:pPr>
        <w:spacing w:after="0" w:line="62" w:lineRule="exact"/>
        <w:rPr>
          <w:rFonts w:ascii="Arial" w:cs="Arial" w:eastAsia="Arial" w:hAnsi="Arial"/>
          <w:sz w:val="18"/>
          <w:szCs w:val="18"/>
          <w:color w:val="auto"/>
        </w:rPr>
      </w:pPr>
    </w:p>
    <w:p>
      <w:pPr>
        <w:ind w:left="600" w:right="1559" w:hanging="322"/>
        <w:spacing w:after="0" w:line="277"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Annual Report on Form 10-K.</w:t>
      </w:r>
    </w:p>
    <w:p>
      <w:pPr>
        <w:spacing w:after="0" w:line="62"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“Risk</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79"/>
        <w:spacing w:after="0" w:line="259" w:lineRule="auto"/>
        <w:rPr>
          <w:sz w:val="20"/>
          <w:szCs w:val="20"/>
          <w:color w:val="auto"/>
        </w:rPr>
      </w:pPr>
      <w:r>
        <w:rPr>
          <w:rFonts w:ascii="Arial" w:cs="Arial" w:eastAsia="Arial" w:hAnsi="Arial"/>
          <w:sz w:val="18"/>
          <w:szCs w:val="18"/>
          <w:color w:val="auto"/>
        </w:rPr>
        <w:t>Factors” and elsewhere in this Annual Report on Form 10-K. You should not place undue reliance on these forward-looking statements, which apply only as of the date of this Annual Report on Form 10-K. We undertake no obligation to revise or update any forward-looking statements, whether as a result of new information, future events or otherwise, unless required by law or Securities and Exchange Commission (“SEC”) rule or regulation.</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We are a Maryland corporation that has elected to be regulated as a business development company (“BDC”) under the Investment Company Act of 1940 as amended (the “1940 Act”). We are an “emerging growth company” within the meaning of the Jumpstart Our Business Startups Act of 2012 (the “JOBS Act”), and as such, are subject to reduced public company reporting requirements. Our investment objective is to generate both current income and capital appreciation through debt and equity investments. We are managed by Capitala Investment Advisors, LLC (the “Investment Advisor”), and Capitala Advisors Corp. (the “Administrator”) provides the administrative services necessary for us to operate.</w:t>
      </w:r>
    </w:p>
    <w:p>
      <w:pPr>
        <w:spacing w:after="0" w:line="70"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We provide capital to lower and traditional middle-market companies in the United States, with a non-exclusive emphasis on the Southeast, Southwest and Mid-Atlantic regions. We invest primarily in companies with a history of earnings growth and positive cash flow, proven management teams, product or service with competitive advantages and industry-appropriate margins. We primarily invest in companies with between $5 million and $30 million in trailing twelve month earnings before interest, tax, depreciation, and amortization (“EBITDA”).</w:t>
      </w:r>
    </w:p>
    <w:p>
      <w:pPr>
        <w:spacing w:after="0" w:line="8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We invest in mezzanine and senior debt investments that are secured by subordinated liens on all of our borrowers’ assets and, to a lesser extent, in senior, cash flow-based “unitranche” securities. Most of our debt investments are coupled with equity interests, whether in the form of detachable “penny” warrants or equity co-investments made pari-passu with our borrowers’ financial sponsors.</w:t>
      </w:r>
    </w:p>
    <w:p>
      <w:pPr>
        <w:spacing w:after="0" w:line="79"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after such borrowing, with certain limited exceptions.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middle-market companies.</w:t>
      </w:r>
    </w:p>
    <w:p>
      <w:pPr>
        <w:spacing w:after="0" w:line="59" w:lineRule="exact"/>
        <w:rPr>
          <w:sz w:val="20"/>
          <w:szCs w:val="20"/>
          <w:color w:val="auto"/>
        </w:rPr>
      </w:pPr>
    </w:p>
    <w:p>
      <w:pPr>
        <w:ind w:left="40" w:right="679" w:firstLine="270"/>
        <w:spacing w:after="0" w:line="293"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Fund’s wholly-owned subsidiaries. Fund II and Fund III retained their SBIC licenses, and continued to hold their existing investments at the time of IPO and have continued to make new investments after the IPO. The IPO consisted of the sale of 4,000,000 shares of the Company’s common stock at a price of $20.00 per share resulting in net</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79"/>
        <w:spacing w:after="0" w:line="264" w:lineRule="auto"/>
        <w:rPr>
          <w:sz w:val="20"/>
          <w:szCs w:val="20"/>
          <w:color w:val="auto"/>
        </w:rPr>
      </w:pPr>
      <w:r>
        <w:rPr>
          <w:rFonts w:ascii="Arial" w:cs="Arial" w:eastAsia="Arial" w:hAnsi="Arial"/>
          <w:sz w:val="18"/>
          <w:szCs w:val="18"/>
          <w:color w:val="auto"/>
        </w:rPr>
        <w:t>proceeds to the Company of $74.25 million, after deducting underwriting fees and commissions totaling $4.0 million and offering expenses totaling $1.75 million. The other costs of the IPO were borne by the limited partners of the Legacy Funds. As of December 31, 2015, the Company had 15,777,345 shares of common stock outstanding.</w:t>
      </w:r>
    </w:p>
    <w:p>
      <w:pPr>
        <w:spacing w:after="0" w:line="73"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debt payable. We have two SBIC-licensed subsidiaries that have elected to be regulated as BDCs under the 1940 Act.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 xml:space="preserve">The accompanying consolidated financial statements have been prepared on the accrual basis of accounting in conformity with U.S. generally accepted accounting principles (“U.S. GAAP”). The consolidated financial statements of the Company include the accounts of the Company and its wholly-owned subsidiaries as described in the Formation Transactions above. The transactions related to Fund II, Fund III, and Florida Sidecar constituted an exchange of shares between entities under common control and have been accounted for in accordance with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Topic 805”). As such, the Company’s results of operations and cash flows for the year ended December 31, 2013 are presented as if the aforementioned transactions had occurred as of January 1, 2013.</w:t>
      </w:r>
    </w:p>
    <w:p>
      <w:pPr>
        <w:spacing w:after="0" w:line="70"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 Company’s financial position as of December 31, 2015 is presented on a consolidated basis. The effects of all intercompany transactions between the Company and its subsidiaries (Fund II, Fund III, and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Consolidation</w:t>
      </w:r>
    </w:p>
    <w:p>
      <w:pPr>
        <w:spacing w:after="0" w:line="121"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 xml:space="preserve">As provided under Regulation S-X and ASC Topic 946 —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xml:space="preserve"> (ASC Topic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 The Company does not consolidate its interest in Capitala Senior Liquid Loan Fund I, LLC (“CSLLF”) because the investment is not considered a substantially wholly owned investment company subsidiary. Further, CSLLF is a joint venture for which shared power exists relating to the decisions that most significantly impact the economic performance of the entity. See Note 4 to the consolidated financial statements for description of the Company’s investment in CSLLF.</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 Further, we may generate revenue in the form of commitment, origination, structuring or diligence fees, monitoring fees, fees for providing managerial assistance and possibly consulting fees and performance-based fees. These fees will be recognized as they are earned.</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Our primary operating expenses include the payment of investment advisory fees to our Investment Advisor, our allocable portion of overhead and other expenses incurred by our Administrator in performing its obligations under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64" w:lineRule="exact"/>
        <w:rPr>
          <w:sz w:val="20"/>
          <w:szCs w:val="20"/>
          <w:color w:val="auto"/>
        </w:rPr>
      </w:pPr>
    </w:p>
    <w:p>
      <w:pPr>
        <w:ind w:left="600" w:hanging="322"/>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our organization;</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17" w:lineRule="exact"/>
        <w:rPr>
          <w:rFonts w:ascii="Arial" w:cs="Arial" w:eastAsia="Arial" w:hAnsi="Arial"/>
          <w:sz w:val="18"/>
          <w:szCs w:val="18"/>
          <w:color w:val="auto"/>
        </w:rPr>
      </w:pPr>
    </w:p>
    <w:p>
      <w:pPr>
        <w:ind w:left="600" w:right="839" w:hanging="322"/>
        <w:spacing w:after="0" w:line="264"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17" w:lineRule="exact"/>
        <w:rPr>
          <w:rFonts w:ascii="Arial" w:cs="Arial" w:eastAsia="Arial" w:hAnsi="Arial"/>
          <w:sz w:val="18"/>
          <w:szCs w:val="18"/>
          <w:color w:val="auto"/>
        </w:rPr>
      </w:pPr>
    </w:p>
    <w:p>
      <w:pPr>
        <w:ind w:left="600" w:right="559" w:hanging="322"/>
        <w:spacing w:after="0" w:line="308" w:lineRule="auto"/>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the Securities Exchange Act of 1934, as amended, other applicable federal and state securities laws and ongoing stock exchange listing fees;</w:t>
      </w:r>
    </w:p>
    <w:p>
      <w:pPr>
        <w:spacing w:after="0" w:line="38" w:lineRule="exact"/>
        <w:rPr>
          <w:rFonts w:ascii="Arial" w:cs="Arial" w:eastAsia="Arial" w:hAnsi="Arial"/>
          <w:sz w:val="17"/>
          <w:szCs w:val="17"/>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other communications with stockholders;</w:t>
      </w:r>
    </w:p>
    <w:p>
      <w:pPr>
        <w:spacing w:after="0" w:line="117" w:lineRule="exact"/>
        <w:rPr>
          <w:rFonts w:ascii="Arial" w:cs="Arial" w:eastAsia="Arial" w:hAnsi="Arial"/>
          <w:sz w:val="18"/>
          <w:szCs w:val="18"/>
          <w:color w:val="auto"/>
        </w:rPr>
      </w:pPr>
    </w:p>
    <w:p>
      <w:pPr>
        <w:ind w:left="600" w:right="1099" w:hanging="322"/>
        <w:spacing w:after="0" w:line="277"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fidelity bond, directors’ and officers’ liability insurance, errors and omissions liability insurance and other insurance premiums;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telephone and staff;</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 and</w:t>
      </w:r>
    </w:p>
    <w:p>
      <w:pPr>
        <w:spacing w:after="0" w:line="117" w:lineRule="exact"/>
        <w:rPr>
          <w:rFonts w:ascii="Arial" w:cs="Arial" w:eastAsia="Arial" w:hAnsi="Arial"/>
          <w:sz w:val="18"/>
          <w:szCs w:val="18"/>
          <w:color w:val="auto"/>
        </w:rPr>
      </w:pPr>
    </w:p>
    <w:p>
      <w:pPr>
        <w:ind w:left="600" w:right="679" w:hanging="322"/>
        <w:spacing w:after="0" w:line="255"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and our chief financial officer and their respective administrative support staff.</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In the preparation of our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financial statements, certain accounting policies and estimates are considered critical due to their impact on the reported amounts of assets and liabilities at the date of the financial statements and the reported amounts of revenues and expenses for the periods covered by such financial statements. We have identified investment valuation, revenue recognition, and income taxes as our most critical accounting estimates. We continuously evaluate our estimates, including those related to the matters described below. Because of the nature of the judgment and assumptions we make, actual results could materially differ from those estimates under different assumptions or conditions. A discussion of our critical accounting policies follows.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117"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In determining fair value, our Board of Directors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6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 The fair value hierarchy is categorized into three levels based on the inputs as follows:</w:t>
      </w:r>
    </w:p>
    <w:p>
      <w:pPr>
        <w:spacing w:after="0" w:line="75" w:lineRule="exact"/>
        <w:rPr>
          <w:sz w:val="20"/>
          <w:szCs w:val="20"/>
          <w:color w:val="auto"/>
        </w:rPr>
      </w:pPr>
    </w:p>
    <w:p>
      <w:pPr>
        <w:ind w:left="320" w:right="559"/>
        <w:spacing w:after="0" w:line="261"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in active markets for identical assets or liabilities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ability to 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72" w:lineRule="exact"/>
        <w:rPr>
          <w:sz w:val="20"/>
          <w:szCs w:val="20"/>
          <w:color w:val="auto"/>
        </w:rPr>
      </w:pPr>
    </w:p>
    <w:p>
      <w:pPr>
        <w:ind w:left="320" w:right="779"/>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121"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75"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85"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As a practical expedient, the Company uses net asset value (“NAV”) as the fair value for CSLLF. CSLLF records its underlying investments at fair value on a daily basis utilizing pricing information from third-party sources. In the event pricing is not available or an investment is considered illiquid, management may perform model-based analytical valuations in instances where an investment is considered illiquid or for which pricing is not available from third-party sources.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Enterprise Value Waterfall Approach</w:t>
      </w:r>
    </w:p>
    <w:p>
      <w:pPr>
        <w:spacing w:after="0" w:line="117"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71" w:lineRule="auto"/>
        <w:rPr>
          <w:sz w:val="20"/>
          <w:szCs w:val="20"/>
          <w:color w:val="auto"/>
        </w:rPr>
      </w:pPr>
      <w:r>
        <w:rPr>
          <w:rFonts w:ascii="Arial" w:cs="Arial" w:eastAsia="Arial" w:hAnsi="Arial"/>
          <w:sz w:val="17"/>
          <w:szCs w:val="17"/>
          <w:color w:val="auto"/>
        </w:rPr>
        <w:t>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enterprise value waterfall approach is primarily utilized to value the Company’s equity securities, including warrants.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However, the Company may utilize the enterprise value waterfall approach to value certain debt securities.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Approach</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 Approach</w:t>
      </w:r>
    </w:p>
    <w:p>
      <w:pPr>
        <w:spacing w:after="0" w:line="117"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The asset approach values an investment based on the greater of the enterprise value or the underlying collateral securing the investment. See discussion of determining enterprise value above. This approach is used when the Company has reason to believe that it will not collect all principal and interest in accordance with the contractual terms of the debt agreement.</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40" w:right="819" w:firstLine="270"/>
        <w:spacing w:after="0" w:line="276"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are expected to 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64"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Generally, when interest and/or principal payments on a loan become 90 days or more past due, or if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otherwise does not expect the borrower to be able to service its debt and other obligations, the Company will place the loan on non-accrual status, and will generally cease recognizing interest income and PIK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59"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 xml:space="preserve">Gains and losses on investment sales and paydowns: </w:t>
      </w:r>
      <w:r>
        <w:rPr>
          <w:rFonts w:ascii="Arial" w:cs="Arial" w:eastAsia="Arial" w:hAnsi="Arial"/>
          <w:sz w:val="18"/>
          <w:szCs w:val="18"/>
          <w:color w:val="auto"/>
        </w:rPr>
        <w:t>Realized gains and losses on investments are recognized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i w:val="1"/>
          <w:iCs w:val="1"/>
          <w:color w:val="auto"/>
        </w:rPr>
        <w:t xml:space="preserve">Dividend income and paid-in-kind dividends: </w:t>
      </w:r>
      <w:r>
        <w:rPr>
          <w:rFonts w:ascii="Arial" w:cs="Arial" w:eastAsia="Arial" w:hAnsi="Arial"/>
          <w:sz w:val="18"/>
          <w:szCs w:val="18"/>
          <w:color w:val="auto"/>
        </w:rPr>
        <w:t>Dividend income is recognized on the date dividends are declared.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may be 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89" w:lineRule="exact"/>
        <w:rPr>
          <w:sz w:val="20"/>
          <w:szCs w:val="20"/>
          <w:color w:val="auto"/>
        </w:rPr>
      </w:pPr>
    </w:p>
    <w:p>
      <w:pPr>
        <w:ind w:left="40" w:right="919" w:firstLine="270"/>
        <w:spacing w:after="0" w:line="264" w:lineRule="auto"/>
        <w:rPr>
          <w:sz w:val="20"/>
          <w:szCs w:val="20"/>
          <w:color w:val="auto"/>
        </w:rPr>
      </w:pPr>
      <w:r>
        <w:rPr>
          <w:rFonts w:ascii="Arial" w:cs="Arial" w:eastAsia="Arial" w:hAnsi="Arial"/>
          <w:sz w:val="18"/>
          <w:szCs w:val="18"/>
          <w:i w:val="1"/>
          <w:iCs w:val="1"/>
          <w:color w:val="auto"/>
        </w:rPr>
        <w:t xml:space="preserve">Original issue discount/premiums: </w:t>
      </w:r>
      <w:r>
        <w:rPr>
          <w:rFonts w:ascii="Arial" w:cs="Arial" w:eastAsia="Arial" w:hAnsi="Arial"/>
          <w:sz w:val="18"/>
          <w:szCs w:val="18"/>
          <w:color w:val="auto"/>
        </w:rPr>
        <w:t>Discounts/premiums received to par on loans purchased are capitalized and accreted or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into income over the life of the loan. Any remaining discount/premium is accreted or amortized into income upon prepayment of the loan.</w:t>
      </w:r>
    </w:p>
    <w:p>
      <w:pPr>
        <w:spacing w:after="0" w:line="73"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are recognized as income when the investment transaction closes. Prepayment penalties received by the Company for debt instruments repaid prior to maturity date are recorded as income upon receipt.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0" w:right="659" w:firstLine="270"/>
        <w:spacing w:after="0" w:line="297" w:lineRule="auto"/>
        <w:rPr>
          <w:sz w:val="20"/>
          <w:szCs w:val="20"/>
          <w:color w:val="auto"/>
        </w:rPr>
      </w:pPr>
      <w:r>
        <w:rPr>
          <w:rFonts w:ascii="Arial" w:cs="Arial" w:eastAsia="Arial" w:hAnsi="Arial"/>
          <w:sz w:val="16"/>
          <w:szCs w:val="16"/>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50"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79" w:lineRule="exact"/>
        <w:rPr>
          <w:sz w:val="20"/>
          <w:szCs w:val="20"/>
          <w:color w:val="auto"/>
        </w:rPr>
      </w:pPr>
    </w:p>
    <w:p>
      <w:pPr>
        <w:jc w:val="both"/>
        <w:ind w:left="40" w:right="619" w:firstLine="270"/>
        <w:spacing w:after="0" w:line="302" w:lineRule="auto"/>
        <w:rPr>
          <w:sz w:val="20"/>
          <w:szCs w:val="20"/>
          <w:color w:val="auto"/>
        </w:rPr>
      </w:pPr>
      <w:r>
        <w:rPr>
          <w:rFonts w:ascii="Arial" w:cs="Arial" w:eastAsia="Arial" w:hAnsi="Arial"/>
          <w:sz w:val="16"/>
          <w:szCs w:val="16"/>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46"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80"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2015 and December 31, 2014, there were no uncertain tax positions.</w:t>
      </w:r>
    </w:p>
    <w:p>
      <w:pPr>
        <w:spacing w:after="0" w:line="70"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64"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73" w:lineRule="exact"/>
        <w:rPr>
          <w:sz w:val="20"/>
          <w:szCs w:val="20"/>
          <w:color w:val="auto"/>
        </w:rPr>
      </w:pPr>
    </w:p>
    <w:p>
      <w:pPr>
        <w:jc w:val="both"/>
        <w:ind w:left="40" w:right="679" w:firstLine="270"/>
        <w:spacing w:after="0" w:line="312" w:lineRule="auto"/>
        <w:rPr>
          <w:sz w:val="20"/>
          <w:szCs w:val="20"/>
          <w:color w:val="auto"/>
        </w:rPr>
      </w:pPr>
      <w:r>
        <w:rPr>
          <w:rFonts w:ascii="Arial" w:cs="Arial" w:eastAsia="Arial" w:hAnsi="Arial"/>
          <w:sz w:val="16"/>
          <w:szCs w:val="16"/>
          <w:color w:val="auto"/>
        </w:rPr>
        <w:t>The Company has concluded that it was not necessary to record a liability for any such tax positions as of December 31, 2015 or 2014.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39"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Company’s activities from commencement of operations remain subject to examination by U.S. federal, state, and local tax authorities. No interest expense or penalties have been assessed as of December 31, 2015 and 2014. If the Company were required to recognize interest and penalties, if any, related to unrecognized tax benefits this would be recognized as income tax expense in the consolidated statement of operations.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As of December 31, 2015, our portfolio consisted of investments in 57 portfolio companies with a fair value of approximately $592.5 million.</w:t>
      </w:r>
    </w:p>
    <w:p>
      <w:pPr>
        <w:spacing w:after="0" w:line="62"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During the year ended December 31, 2015, the Company made approximately $260.6 million of investments and had approximately $142.7 million in exits and repayments resulting in net investments of approximately $117.9 million for the period. During the year ended December 31, 2014, the Company made approximately $216.3 million of investments and had approximately $80.2 million in exits and repayments resulting in net investments of approximately $136.1 million for the period. During the year ended December 31, 2013, the Company made approximately $110.9 million of investments and had approximately $52.7 million in exits and repayments resulting in net investments of approximately $58.2 million for the year.</w:t>
      </w:r>
    </w:p>
    <w:p>
      <w:pPr>
        <w:spacing w:after="0" w:line="70"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During the year ended December 31, 2015, the Company continued to execute its strategy of reallocating its mix of debt and equity within the portfolio. The Company reduced equity concentration to 16.8% of the portfolio, based on December 31, 2015 fair values, down from 23.2% at December 31, 2014. During the year ended December 31, 2015, the Company received $44.8 million in equity repayments and recognized a net realized gain on equity investments of $24.7 million. Of the $260.6 million in new investments originated during the year ended December 31, 2015, 88.3% related to debt investments.</w:t>
      </w:r>
    </w:p>
    <w:p>
      <w:pPr>
        <w:spacing w:after="0" w:line="64"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As of December 31, 2015, our average portfolio company investment and our largest portfolio company investment at amortized cost and fair value was approximately $10.0 million and $10.4 million, and $28.3 million and $28.3 million, respectively. As of December 31, 2015, the Company had approximately $34.1 million of cash and cash equivalents. As of December 31, 2014, our average portfolio company investment and our largest portfolio company investment at amortized cost and fair value was approximately $8.5 million and $9.2 million, and $25.7 million and $24.2 million, respectively. As of December 31, 2014, the Company had approximately $55.1 million of cash and cash equivalents.</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7" w:name="page78"/>
    <w:bookmarkEnd w:id="77"/>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559" w:firstLine="270"/>
        <w:spacing w:after="0" w:line="257" w:lineRule="auto"/>
        <w:rPr>
          <w:sz w:val="20"/>
          <w:szCs w:val="20"/>
          <w:color w:val="auto"/>
        </w:rPr>
      </w:pPr>
      <w:r>
        <w:rPr>
          <w:rFonts w:ascii="Arial" w:cs="Arial" w:eastAsia="Arial" w:hAnsi="Arial"/>
          <w:sz w:val="18"/>
          <w:szCs w:val="18"/>
          <w:color w:val="auto"/>
        </w:rPr>
        <w:t>As of December 31, 2015, our debt investment portfolio, which represented 80.2% of our total portfolio, had a weighted average yield of approximately 11.5%. As of December 31, 2015, 65.5% of our debt investment portfolio was bearing a fixed rate of interest. As of December 31, 2014, our debt investment portfolio, which represented 76.7% of our total portfolio, had a weighted average yield of approximately 12.5%. As of December 31, 2014, 79.0% of our debt investment portfolio was bearing a fixed rate of interest.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amortized cost and the fair value of investments and cash and cash equivalents as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968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Investments at</w:t>
            </w: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180" w:type="dxa"/>
            <w:vAlign w:val="bottom"/>
          </w:tcPr>
          <w:p>
            <w:pPr>
              <w:spacing w:after="0"/>
              <w:rPr>
                <w:sz w:val="14"/>
                <w:szCs w:val="14"/>
                <w:color w:val="auto"/>
              </w:rPr>
            </w:pPr>
          </w:p>
        </w:tc>
        <w:tc>
          <w:tcPr>
            <w:tcW w:w="10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Investments at</w:t>
            </w:r>
          </w:p>
        </w:tc>
        <w:tc>
          <w:tcPr>
            <w:tcW w:w="1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Amortized Cost</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226,973</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218,660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268,899</w:t>
            </w:r>
          </w:p>
        </w:tc>
        <w:tc>
          <w:tcPr>
            <w:tcW w:w="10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256,278</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54,315</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99,651</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Capitala Senior Liquid Loan Fund I, LLC</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17,867</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34,105</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34,105</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604,292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626,561</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-179705</wp:posOffset>
            </wp:positionV>
            <wp:extent cx="5213985"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amortized cost and the fair value of investments and cash and cash equivalents as of</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December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51968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Investments at</w:t>
            </w: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180" w:type="dxa"/>
            <w:vAlign w:val="bottom"/>
          </w:tcPr>
          <w:p>
            <w:pPr>
              <w:spacing w:after="0"/>
              <w:rPr>
                <w:sz w:val="14"/>
                <w:szCs w:val="14"/>
                <w:color w:val="auto"/>
              </w:rPr>
            </w:pPr>
          </w:p>
        </w:tc>
        <w:tc>
          <w:tcPr>
            <w:tcW w:w="10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Investments at</w:t>
            </w:r>
          </w:p>
        </w:tc>
        <w:tc>
          <w:tcPr>
            <w:tcW w:w="1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6"/>
              </w:rPr>
              <w:t>Amortized Cost</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146,399</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146,314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231,901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222,300</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62,855</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111,723</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55,107</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55,107</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496,262</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535,444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portfolio composition by industry grouping at fair value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2057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4"/>
              <w:spacing w:after="0"/>
              <w:rPr>
                <w:sz w:val="20"/>
                <w:szCs w:val="20"/>
                <w:color w:val="auto"/>
              </w:rPr>
            </w:pPr>
            <w:r>
              <w:rPr>
                <w:rFonts w:ascii="Arial" w:cs="Arial" w:eastAsia="Arial" w:hAnsi="Arial"/>
                <w:sz w:val="14"/>
                <w:szCs w:val="14"/>
                <w:b w:val="1"/>
                <w:bCs w:val="1"/>
                <w:color w:val="auto"/>
                <w:w w:val="91"/>
              </w:rPr>
              <w:t>December 31, 2015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December 31, 2014</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6"/>
              </w:rPr>
              <w:t>Investments at</w:t>
            </w:r>
          </w:p>
        </w:tc>
        <w:tc>
          <w:tcPr>
            <w:tcW w:w="16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60" w:type="dxa"/>
            <w:vAlign w:val="bottom"/>
          </w:tcPr>
          <w:p>
            <w:pPr>
              <w:spacing w:after="0"/>
              <w:rPr>
                <w:sz w:val="10"/>
                <w:szCs w:val="10"/>
                <w:color w:val="auto"/>
              </w:rPr>
            </w:pPr>
          </w:p>
        </w:tc>
        <w:tc>
          <w:tcPr>
            <w:tcW w:w="9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Investments at</w:t>
            </w:r>
          </w:p>
        </w:tc>
        <w:tc>
          <w:tcPr>
            <w:tcW w:w="160" w:type="dxa"/>
            <w:vAlign w:val="bottom"/>
          </w:tcPr>
          <w:p>
            <w:pPr>
              <w:spacing w:after="0"/>
              <w:rPr>
                <w:sz w:val="10"/>
                <w:szCs w:val="10"/>
                <w:color w:val="auto"/>
              </w:rPr>
            </w:pPr>
          </w:p>
        </w:tc>
        <w:tc>
          <w:tcPr>
            <w:tcW w:w="110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rPr>
              <w:t>Percentage of</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Oil &amp; Gas Services</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Total Portfolio</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31,472</w:t>
            </w:r>
          </w:p>
        </w:tc>
        <w:tc>
          <w:tcPr>
            <w:tcW w:w="160" w:type="dxa"/>
            <w:vAlign w:val="bottom"/>
          </w:tcPr>
          <w:p>
            <w:pPr>
              <w:spacing w:after="0"/>
              <w:rPr>
                <w:sz w:val="18"/>
                <w:szCs w:val="18"/>
                <w:color w:val="auto"/>
              </w:rPr>
            </w:pPr>
          </w:p>
        </w:tc>
        <w:tc>
          <w:tcPr>
            <w:tcW w:w="1080" w:type="dxa"/>
            <w:vAlign w:val="bottom"/>
          </w:tcPr>
          <w:p>
            <w:pPr>
              <w:ind w:left="38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34,088</w:t>
            </w:r>
          </w:p>
        </w:tc>
        <w:tc>
          <w:tcPr>
            <w:tcW w:w="160" w:type="dxa"/>
            <w:vAlign w:val="bottom"/>
          </w:tcPr>
          <w:p>
            <w:pPr>
              <w:spacing w:after="0"/>
              <w:rPr>
                <w:sz w:val="18"/>
                <w:szCs w:val="18"/>
                <w:color w:val="auto"/>
              </w:rPr>
            </w:pP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7.1%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Electronics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28,300</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Medical Device Distributor</w:t>
            </w:r>
          </w:p>
        </w:tc>
        <w:tc>
          <w:tcPr>
            <w:tcW w:w="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27,681</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14,349</w:t>
            </w:r>
          </w:p>
        </w:tc>
        <w:tc>
          <w:tcPr>
            <w:tcW w:w="1260" w:type="dxa"/>
            <w:vAlign w:val="bottom"/>
            <w:gridSpan w:val="2"/>
          </w:tcPr>
          <w:p>
            <w:pPr>
              <w:jc w:val="right"/>
              <w:ind w:right="395"/>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27,244</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27,094</w:t>
            </w:r>
          </w:p>
        </w:tc>
        <w:tc>
          <w:tcPr>
            <w:tcW w:w="1260" w:type="dxa"/>
            <w:vAlign w:val="bottom"/>
            <w:gridSpan w:val="2"/>
            <w:shd w:val="clear" w:color="auto" w:fill="CCEEFF"/>
          </w:tcPr>
          <w:p>
            <w:pPr>
              <w:jc w:val="right"/>
              <w:ind w:right="395"/>
              <w:spacing w:after="0"/>
              <w:rPr>
                <w:sz w:val="20"/>
                <w:szCs w:val="20"/>
                <w:color w:val="auto"/>
              </w:rPr>
            </w:pPr>
            <w:r>
              <w:rPr>
                <w:rFonts w:ascii="Arial" w:cs="Arial" w:eastAsia="Arial" w:hAnsi="Arial"/>
                <w:sz w:val="18"/>
                <w:szCs w:val="18"/>
                <w:color w:val="auto"/>
              </w:rPr>
              <w:t>5.6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Financial Services</w:t>
            </w:r>
          </w:p>
        </w:tc>
        <w:tc>
          <w:tcPr>
            <w:tcW w:w="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26,230</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8,300</w:t>
            </w:r>
          </w:p>
        </w:tc>
        <w:tc>
          <w:tcPr>
            <w:tcW w:w="1260" w:type="dxa"/>
            <w:vAlign w:val="bottom"/>
            <w:gridSpan w:val="2"/>
          </w:tcPr>
          <w:p>
            <w:pPr>
              <w:jc w:val="right"/>
              <w:ind w:right="395"/>
              <w:spacing w:after="0"/>
              <w:rPr>
                <w:sz w:val="20"/>
                <w:szCs w:val="20"/>
                <w:color w:val="auto"/>
              </w:rPr>
            </w:pPr>
            <w:r>
              <w:rPr>
                <w:rFonts w:ascii="Arial" w:cs="Arial" w:eastAsia="Arial" w:hAnsi="Arial"/>
                <w:sz w:val="18"/>
                <w:szCs w:val="18"/>
                <w:color w:val="auto"/>
              </w:rPr>
              <w:t>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24,280</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Retail Display &amp; Security Services</w:t>
            </w:r>
          </w:p>
        </w:tc>
        <w:tc>
          <w:tcPr>
            <w:tcW w:w="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21,917</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12,958</w:t>
            </w:r>
          </w:p>
        </w:tc>
        <w:tc>
          <w:tcPr>
            <w:tcW w:w="1260" w:type="dxa"/>
            <w:vAlign w:val="bottom"/>
            <w:gridSpan w:val="2"/>
          </w:tcPr>
          <w:p>
            <w:pPr>
              <w:jc w:val="right"/>
              <w:ind w:right="395"/>
              <w:spacing w:after="0"/>
              <w:rPr>
                <w:sz w:val="20"/>
                <w:szCs w:val="20"/>
                <w:color w:val="auto"/>
              </w:rPr>
            </w:pPr>
            <w:r>
              <w:rPr>
                <w:rFonts w:ascii="Arial" w:cs="Arial" w:eastAsia="Arial" w:hAnsi="Arial"/>
                <w:sz w:val="18"/>
                <w:szCs w:val="18"/>
                <w:color w:val="auto"/>
              </w:rPr>
              <w:t>2.7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 Government Contracting</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20,000</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60" w:type="dxa"/>
            <w:vAlign w:val="bottom"/>
            <w:gridSpan w:val="2"/>
            <w:shd w:val="clear" w:color="auto" w:fill="CCEEFF"/>
          </w:tcPr>
          <w:p>
            <w:pPr>
              <w:jc w:val="right"/>
              <w:ind w:right="395"/>
              <w:spacing w:after="0"/>
              <w:rPr>
                <w:sz w:val="20"/>
                <w:szCs w:val="20"/>
                <w:color w:val="auto"/>
              </w:rPr>
            </w:pPr>
            <w:r>
              <w:rPr>
                <w:rFonts w:ascii="Arial" w:cs="Arial" w:eastAsia="Arial" w:hAnsi="Arial"/>
                <w:sz w:val="18"/>
                <w:szCs w:val="18"/>
                <w:color w:val="auto"/>
              </w:rPr>
              <w:t>4.2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Footwear Retail</w:t>
            </w:r>
          </w:p>
        </w:tc>
        <w:tc>
          <w:tcPr>
            <w:tcW w:w="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18,682</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15,687</w:t>
            </w:r>
          </w:p>
        </w:tc>
        <w:tc>
          <w:tcPr>
            <w:tcW w:w="1260" w:type="dxa"/>
            <w:vAlign w:val="bottom"/>
            <w:gridSpan w:val="2"/>
          </w:tcPr>
          <w:p>
            <w:pPr>
              <w:jc w:val="right"/>
              <w:ind w:right="395"/>
              <w:spacing w:after="0"/>
              <w:rPr>
                <w:sz w:val="20"/>
                <w:szCs w:val="20"/>
                <w:color w:val="auto"/>
              </w:rPr>
            </w:pPr>
            <w:r>
              <w:rPr>
                <w:rFonts w:ascii="Arial" w:cs="Arial" w:eastAsia="Arial" w:hAnsi="Arial"/>
                <w:sz w:val="18"/>
                <w:szCs w:val="18"/>
                <w:color w:val="auto"/>
              </w:rPr>
              <w:t>3.3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Products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18,299</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1260" w:type="dxa"/>
            <w:vAlign w:val="bottom"/>
            <w:gridSpan w:val="2"/>
            <w:shd w:val="clear" w:color="auto" w:fill="CCEEFF"/>
          </w:tcPr>
          <w:p>
            <w:pPr>
              <w:jc w:val="right"/>
              <w:ind w:right="395"/>
              <w:spacing w:after="0"/>
              <w:rPr>
                <w:sz w:val="20"/>
                <w:szCs w:val="20"/>
                <w:color w:val="auto"/>
              </w:rPr>
            </w:pPr>
            <w:r>
              <w:rPr>
                <w:rFonts w:ascii="Arial" w:cs="Arial" w:eastAsia="Arial" w:hAnsi="Arial"/>
                <w:sz w:val="18"/>
                <w:szCs w:val="18"/>
                <w:color w:val="auto"/>
              </w:rPr>
              <w:t>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Investment Fund</w:t>
            </w:r>
          </w:p>
        </w:tc>
        <w:tc>
          <w:tcPr>
            <w:tcW w:w="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17,867</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ind w:right="39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&amp; Marketing Services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17,858</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23,632</w:t>
            </w:r>
          </w:p>
        </w:tc>
        <w:tc>
          <w:tcPr>
            <w:tcW w:w="1260" w:type="dxa"/>
            <w:vAlign w:val="bottom"/>
            <w:gridSpan w:val="2"/>
            <w:shd w:val="clear" w:color="auto" w:fill="CCEEFF"/>
          </w:tcPr>
          <w:p>
            <w:pPr>
              <w:jc w:val="right"/>
              <w:ind w:right="395"/>
              <w:spacing w:after="0"/>
              <w:rPr>
                <w:sz w:val="20"/>
                <w:szCs w:val="20"/>
                <w:color w:val="auto"/>
              </w:rPr>
            </w:pPr>
            <w:r>
              <w:rPr>
                <w:rFonts w:ascii="Arial" w:cs="Arial" w:eastAsia="Arial" w:hAnsi="Arial"/>
                <w:sz w:val="18"/>
                <w:szCs w:val="18"/>
                <w:color w:val="auto"/>
              </w:rPr>
              <w:t>4.9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Food Product Manufacturer</w:t>
            </w:r>
          </w:p>
        </w:tc>
        <w:tc>
          <w:tcPr>
            <w:tcW w:w="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17,436</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19,126</w:t>
            </w:r>
          </w:p>
        </w:tc>
        <w:tc>
          <w:tcPr>
            <w:tcW w:w="1260" w:type="dxa"/>
            <w:vAlign w:val="bottom"/>
            <w:gridSpan w:val="2"/>
          </w:tcPr>
          <w:p>
            <w:pPr>
              <w:jc w:val="right"/>
              <w:ind w:right="395"/>
              <w:spacing w:after="0"/>
              <w:rPr>
                <w:sz w:val="20"/>
                <w:szCs w:val="20"/>
                <w:color w:val="auto"/>
              </w:rPr>
            </w:pPr>
            <w:r>
              <w:rPr>
                <w:rFonts w:ascii="Arial" w:cs="Arial" w:eastAsia="Arial" w:hAnsi="Arial"/>
                <w:sz w:val="18"/>
                <w:szCs w:val="18"/>
                <w:color w:val="auto"/>
              </w:rPr>
              <w:t>4.0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Services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17,088</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18,324</w:t>
            </w:r>
          </w:p>
        </w:tc>
        <w:tc>
          <w:tcPr>
            <w:tcW w:w="1260" w:type="dxa"/>
            <w:vAlign w:val="bottom"/>
            <w:gridSpan w:val="2"/>
            <w:shd w:val="clear" w:color="auto" w:fill="CCEEFF"/>
          </w:tcPr>
          <w:p>
            <w:pPr>
              <w:jc w:val="right"/>
              <w:ind w:right="395"/>
              <w:spacing w:after="0"/>
              <w:rPr>
                <w:sz w:val="20"/>
                <w:szCs w:val="20"/>
                <w:color w:val="auto"/>
              </w:rPr>
            </w:pPr>
            <w:r>
              <w:rPr>
                <w:rFonts w:ascii="Arial" w:cs="Arial" w:eastAsia="Arial" w:hAnsi="Arial"/>
                <w:sz w:val="18"/>
                <w:szCs w:val="18"/>
                <w:color w:val="auto"/>
              </w:rPr>
              <w:t>3.8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Bakery Supplies Distributor</w:t>
            </w:r>
          </w:p>
        </w:tc>
        <w:tc>
          <w:tcPr>
            <w:tcW w:w="8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16,146</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16,297</w:t>
            </w:r>
          </w:p>
        </w:tc>
        <w:tc>
          <w:tcPr>
            <w:tcW w:w="1260" w:type="dxa"/>
            <w:vAlign w:val="bottom"/>
            <w:gridSpan w:val="2"/>
          </w:tcPr>
          <w:p>
            <w:pPr>
              <w:jc w:val="right"/>
              <w:ind w:right="395"/>
              <w:spacing w:after="0"/>
              <w:rPr>
                <w:sz w:val="20"/>
                <w:szCs w:val="20"/>
                <w:color w:val="auto"/>
              </w:rPr>
            </w:pPr>
            <w:r>
              <w:rPr>
                <w:rFonts w:ascii="Arial" w:cs="Arial" w:eastAsia="Arial" w:hAnsi="Arial"/>
                <w:sz w:val="18"/>
                <w:szCs w:val="18"/>
                <w:color w:val="auto"/>
              </w:rPr>
              <w:t>3.4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Farming</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15,408</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Professional and Personal Digital Imaging</w:t>
            </w:r>
          </w:p>
        </w:tc>
        <w:tc>
          <w:tcPr>
            <w:tcW w:w="8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15,000</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395"/>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gridSpan w:val="2"/>
          </w:tcPr>
          <w:p>
            <w:pPr>
              <w:jc w:val="right"/>
              <w:ind w:right="984"/>
              <w:spacing w:after="0"/>
              <w:rPr>
                <w:sz w:val="20"/>
                <w:szCs w:val="20"/>
                <w:color w:val="auto"/>
              </w:rPr>
            </w:pPr>
            <w:r>
              <w:rPr>
                <w:rFonts w:ascii="Arial" w:cs="Arial" w:eastAsia="Arial" w:hAnsi="Arial"/>
                <w:sz w:val="18"/>
                <w:szCs w:val="18"/>
                <w:color w:val="auto"/>
                <w:w w:val="79"/>
              </w:rPr>
              <w:t>75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50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14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December 31, 2014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Investments at</w:t>
            </w:r>
          </w:p>
        </w:tc>
        <w:tc>
          <w:tcPr>
            <w:tcW w:w="160" w:type="dxa"/>
            <w:vAlign w:val="bottom"/>
          </w:tcPr>
          <w:p>
            <w:pPr>
              <w:spacing w:after="0"/>
              <w:rPr>
                <w:sz w:val="10"/>
                <w:szCs w:val="10"/>
                <w:color w:val="auto"/>
              </w:rPr>
            </w:pPr>
          </w:p>
        </w:tc>
        <w:tc>
          <w:tcPr>
            <w:tcW w:w="10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0"/>
                <w:szCs w:val="10"/>
                <w:color w:val="auto"/>
              </w:rPr>
            </w:pPr>
          </w:p>
        </w:tc>
        <w:tc>
          <w:tcPr>
            <w:tcW w:w="98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Investments at</w:t>
            </w:r>
          </w:p>
        </w:tc>
        <w:tc>
          <w:tcPr>
            <w:tcW w:w="160" w:type="dxa"/>
            <w:vAlign w:val="bottom"/>
          </w:tcPr>
          <w:p>
            <w:pPr>
              <w:spacing w:after="0"/>
              <w:rPr>
                <w:sz w:val="10"/>
                <w:szCs w:val="10"/>
                <w:color w:val="auto"/>
              </w:rPr>
            </w:pPr>
          </w:p>
        </w:tc>
        <w:tc>
          <w:tcPr>
            <w:tcW w:w="10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Home Décor Manufacturer</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 Portfolio</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Total Portfolio</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5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14,614</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14,611</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Equipment Rental</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13,212</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Textile Equipment Manufacturer</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12,854</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10,577</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Services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Bowling Products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12,124</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Automobile Part Manufacturer</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15,846</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Healthcare Management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11,525</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12,420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2.6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Supply Retail</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11,984</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Energy Services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10,500</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10,573</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 &amp; Digital Marketing</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8,005</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Oil &amp; Gas Engineering and Consulting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350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10,075</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14,547</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Dental Practice Management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8,452</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7,826</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Conglomerate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7,321</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7,179</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Repair Parts Manufacturer</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Produce Distribution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5,182</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5,711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Crane Rental and Sales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Satellite Communications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4,932</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Specialty Services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Specialty Clothing</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4,696</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5,723</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Transportation Services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4,783</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Online Merchandise Retailer</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4,382</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4,804</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 Chemicals &amp; Lubricants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3,891</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Advertising &amp; Marketing Services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3,926</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4,219</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Manufacturing</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QSR Franchisor</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3,342</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2,506</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Replacement Window Manufacturer</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4,857</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Scrap Metal Recycler</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3,106</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4,927</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Disaster Recovery Homebuilding</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Specialty Defense Contractor</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1,850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Wear Retail</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10,920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986</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Household Product Manufacturer</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In-Home Healthcare Services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721</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QSR Franchisee</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17,465</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Personal Product Manufacturer</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16,241</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3.4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 Communication Retailer</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Restaurant Chain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9,738</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Petroleum Equipment Supplier</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Education Services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Employer Organization</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Online Travel Sales &amp; Marketing</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1,750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 Hosting Services</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592,456</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480,337</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73"/>
              </w:rPr>
              <w:t>76</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9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-805180</wp:posOffset>
            </wp:positionV>
            <wp:extent cx="5213985"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-7392035</wp:posOffset>
            </wp:positionV>
            <wp:extent cx="52139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89" w:right="1440" w:bottom="1440" w:gutter="0" w:footer="0" w:header="0"/>
        </w:sectPr>
      </w:pPr>
    </w:p>
    <w:bookmarkStart w:id="79" w:name="page80"/>
    <w:bookmarkEnd w:id="7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739" w:firstLine="270"/>
        <w:spacing w:after="0" w:line="273" w:lineRule="auto"/>
        <w:rPr>
          <w:sz w:val="20"/>
          <w:szCs w:val="20"/>
          <w:color w:val="auto"/>
        </w:rPr>
      </w:pPr>
      <w:r>
        <w:rPr>
          <w:rFonts w:ascii="Arial" w:cs="Arial" w:eastAsia="Arial" w:hAnsi="Arial"/>
          <w:sz w:val="17"/>
          <w:szCs w:val="17"/>
          <w:color w:val="auto"/>
        </w:rPr>
        <w:t>Recent declines in oil prices have had an impact on the energy industry and have contributed towards the volatility in the leverage loan market during 2015 and 2014. The events have had an impact on our investments in the energy sector. As of December 31, 2015 and 2014, we had five investments within the energy sector, representing approximately 8.8% and 12.3%, respectively, of total investment portfolio fair value. As of December 31, 2015 and 2014, fair values of our energy investments were approximately 70.0% and 89.5% of cost, respectively. Management continues to closely monitor each of these investments, maintaining frequent dialogue with company management and, where appropriate, sponsors.</w:t>
      </w:r>
    </w:p>
    <w:p>
      <w:pPr>
        <w:spacing w:after="0" w:line="70"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With the exception of the international investment holdings noted below, all investments made by the Company as of December 31, 2015 and December 31, 2014 were made in portfolio companies located in the United States. The geographic composition is determined by the location of the corporate headquarters of the portfolio company, which may not be indicative of the primary source of the portfolio company’s business. The following table shows the portfolio composition by geographic region at fair value as of December 31, 2015 and December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1885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At December 31, 2015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At December 31, 2014</w:t>
            </w: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9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160" w:type="dxa"/>
            <w:vAlign w:val="bottom"/>
          </w:tcPr>
          <w:p>
            <w:pPr>
              <w:spacing w:after="0"/>
              <w:rPr>
                <w:sz w:val="10"/>
                <w:szCs w:val="10"/>
                <w:color w:val="auto"/>
              </w:rPr>
            </w:pPr>
          </w:p>
        </w:tc>
        <w:tc>
          <w:tcPr>
            <w:tcW w:w="98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0"/>
                <w:szCs w:val="10"/>
                <w:color w:val="auto"/>
              </w:rPr>
            </w:pPr>
          </w:p>
        </w:tc>
        <w:tc>
          <w:tcPr>
            <w:tcW w:w="96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rPr>
              <w:t>Investments at</w:t>
            </w:r>
          </w:p>
        </w:tc>
        <w:tc>
          <w:tcPr>
            <w:tcW w:w="160" w:type="dxa"/>
            <w:vAlign w:val="bottom"/>
          </w:tcPr>
          <w:p>
            <w:pPr>
              <w:spacing w:after="0"/>
              <w:rPr>
                <w:sz w:val="10"/>
                <w:szCs w:val="10"/>
                <w:color w:val="auto"/>
              </w:rPr>
            </w:pPr>
          </w:p>
        </w:tc>
        <w:tc>
          <w:tcPr>
            <w:tcW w:w="11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Percentage of</w:t>
            </w:r>
          </w:p>
        </w:tc>
        <w:tc>
          <w:tcPr>
            <w:tcW w:w="0" w:type="dxa"/>
            <w:vAlign w:val="bottom"/>
          </w:tcPr>
          <w:p>
            <w:pPr>
              <w:spacing w:after="0"/>
              <w:rPr>
                <w:sz w:val="1"/>
                <w:szCs w:val="1"/>
                <w:color w:val="auto"/>
              </w:rPr>
            </w:pPr>
          </w:p>
        </w:tc>
      </w:tr>
      <w:tr>
        <w:trPr>
          <w:trHeight w:val="171"/>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South</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Total Portfolio</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Total Portfolio</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307,056</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272,457</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102,020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86,411</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Midwest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87,911</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38,103</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85,414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75,066</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8,300</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480,337</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In addition to various risk management tools, our Investment Advisor also uses an investment rating system to characterize and monitor our expected level of return on each investment in our portfolio.</w:t>
      </w:r>
    </w:p>
    <w:p>
      <w:pPr>
        <w:spacing w:after="0" w:line="62"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As part of our valuation procedures, we risk rate all of our investments. In general, our investment rating system uses a scale of 1 to 5, with 1 being the lowest probability of default and principal loss. Our internal rating is not an exact system, but it is used internally to estimate the probability of: (i) default on our debt securities and (ii) loss of our debt principal, in the event of a default. In general, our internal rating system may also assist our valuation team in its determination of the estimated fair value of equity securities or equity-like securities. Our internal risk rating system generally encompasses both qualitative and quantitative aspects of our portfolio companies.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internal investment rating system incorporates the following five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167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60" w:type="dxa"/>
            <w:vAlign w:val="bottom"/>
          </w:tcPr>
          <w:p>
            <w:pPr>
              <w:jc w:val="center"/>
              <w:ind w:right="1508"/>
              <w:spacing w:after="0"/>
              <w:rPr>
                <w:sz w:val="20"/>
                <w:szCs w:val="20"/>
                <w:color w:val="auto"/>
              </w:rPr>
            </w:pPr>
            <w:r>
              <w:rPr>
                <w:rFonts w:ascii="Arial" w:cs="Arial" w:eastAsia="Arial" w:hAnsi="Arial"/>
                <w:sz w:val="14"/>
                <w:szCs w:val="14"/>
                <w:b w:val="1"/>
                <w:bCs w:val="1"/>
                <w:color w:val="auto"/>
                <w:w w:val="91"/>
              </w:rPr>
              <w:t>Investment</w:t>
            </w:r>
          </w:p>
        </w:tc>
        <w:tc>
          <w:tcPr>
            <w:tcW w:w="222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92"/>
              </w:rPr>
              <w:t>Definition</w:t>
            </w:r>
          </w:p>
        </w:tc>
        <w:tc>
          <w:tcPr>
            <w:tcW w:w="0" w:type="dxa"/>
            <w:vAlign w:val="bottom"/>
          </w:tcPr>
          <w:p>
            <w:pPr>
              <w:spacing w:after="0"/>
              <w:rPr>
                <w:sz w:val="1"/>
                <w:szCs w:val="1"/>
                <w:color w:val="auto"/>
              </w:rPr>
            </w:pPr>
          </w:p>
        </w:tc>
      </w:tr>
      <w:tr>
        <w:trPr>
          <w:trHeight w:val="186"/>
        </w:trPr>
        <w:tc>
          <w:tcPr>
            <w:tcW w:w="2260" w:type="dxa"/>
            <w:vAlign w:val="bottom"/>
          </w:tcPr>
          <w:p>
            <w:pPr>
              <w:jc w:val="center"/>
              <w:ind w:right="1508"/>
              <w:spacing w:after="0"/>
              <w:rPr>
                <w:sz w:val="20"/>
                <w:szCs w:val="20"/>
                <w:color w:val="auto"/>
              </w:rPr>
            </w:pPr>
            <w:r>
              <w:rPr>
                <w:rFonts w:ascii="Arial" w:cs="Arial" w:eastAsia="Arial" w:hAnsi="Arial"/>
                <w:sz w:val="14"/>
                <w:szCs w:val="14"/>
                <w:b w:val="1"/>
                <w:bCs w:val="1"/>
                <w:color w:val="auto"/>
                <w:w w:val="91"/>
              </w:rPr>
              <w:t>Rating</w:t>
            </w: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47510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ind w:left="1140" w:right="2979" w:hanging="685"/>
        <w:spacing w:after="0" w:line="264" w:lineRule="auto"/>
        <w:tabs>
          <w:tab w:leader="none" w:pos="11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general, the investment may be performing above our internal expectations. Full return of principal and interest is expected. Capital gain is expected.</w:t>
      </w:r>
    </w:p>
    <w:p>
      <w:pPr>
        <w:spacing w:after="0" w:line="1" w:lineRule="exact"/>
        <w:rPr>
          <w:sz w:val="20"/>
          <w:szCs w:val="20"/>
          <w:color w:val="auto"/>
        </w:rPr>
      </w:pPr>
    </w:p>
    <w:p>
      <w:pPr>
        <w:ind w:left="1140" w:right="2919" w:hanging="685"/>
        <w:spacing w:after="0" w:line="281" w:lineRule="auto"/>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general, the investment may be performing within our internal expectations, and potential risks to the applicable investment are considered to be neutral or favorable compared to any potential risks at the time of the original investment. All new</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investments are initially given this rating.</w:t>
      </w:r>
    </w:p>
    <w:p>
      <w:pPr>
        <w:spacing w:after="0" w:line="9" w:lineRule="exact"/>
        <w:rPr>
          <w:sz w:val="20"/>
          <w:szCs w:val="20"/>
          <w:color w:val="auto"/>
        </w:rPr>
      </w:pPr>
    </w:p>
    <w:p>
      <w:pPr>
        <w:ind w:left="1140" w:right="2619" w:hanging="685"/>
        <w:spacing w:after="0" w:line="281" w:lineRule="auto"/>
        <w:tabs>
          <w:tab w:leader="none" w:pos="1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general, the investment may be performing below our internal expectations and therefore, investments in this category may require closer internal monitoring; however, the valuation team believes that no loss of investment return (interest and/or dividends) or principal is expected. The investment also may be out of compliance with certain</w:t>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senior or senior subordinated debt financial covenants.</w:t>
      </w:r>
    </w:p>
    <w:p>
      <w:pPr>
        <w:spacing w:after="0" w:line="9" w:lineRule="exact"/>
        <w:rPr>
          <w:sz w:val="20"/>
          <w:szCs w:val="20"/>
          <w:color w:val="auto"/>
        </w:rPr>
      </w:pPr>
    </w:p>
    <w:p>
      <w:pPr>
        <w:ind w:left="1140" w:right="3019" w:hanging="685"/>
        <w:spacing w:after="0" w:line="281" w:lineRule="auto"/>
        <w:tabs>
          <w:tab w:leader="none" w:pos="11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general, the investment may be performing below internal expectations and quantitative or qualitative risks may have increased substantially since the original</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investment. Loss of some or all principal is expected.</w:t>
      </w:r>
    </w:p>
    <w:p>
      <w:pPr>
        <w:spacing w:after="0" w:line="9" w:lineRule="exact"/>
        <w:rPr>
          <w:sz w:val="20"/>
          <w:szCs w:val="20"/>
          <w:color w:val="auto"/>
        </w:rPr>
      </w:pPr>
    </w:p>
    <w:p>
      <w:pPr>
        <w:ind w:left="1140" w:right="2879" w:hanging="685"/>
        <w:spacing w:after="0" w:line="302" w:lineRule="auto"/>
        <w:tabs>
          <w:tab w:leader="none" w:pos="1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general, the investment may be performing substantially below our internal expectations and a number of quantitative or qualitative risks may have increased substantially since the original investment. Loss of some or all principal is expected.</w:t>
      </w:r>
    </w:p>
    <w:p>
      <w:pPr>
        <w:spacing w:after="0" w:line="200" w:lineRule="exact"/>
        <w:rPr>
          <w:sz w:val="20"/>
          <w:szCs w:val="20"/>
          <w:color w:val="auto"/>
        </w:rPr>
      </w:pPr>
    </w:p>
    <w:p>
      <w:pPr>
        <w:spacing w:after="0" w:line="29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0" w:name="page81"/>
    <w:bookmarkEnd w:id="8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659" w:firstLine="270"/>
        <w:spacing w:after="0" w:line="259" w:lineRule="auto"/>
        <w:rPr>
          <w:sz w:val="20"/>
          <w:szCs w:val="20"/>
          <w:color w:val="auto"/>
        </w:rPr>
      </w:pPr>
      <w:r>
        <w:rPr>
          <w:rFonts w:ascii="Arial" w:cs="Arial" w:eastAsia="Arial" w:hAnsi="Arial"/>
          <w:sz w:val="18"/>
          <w:szCs w:val="18"/>
          <w:color w:val="auto"/>
        </w:rPr>
        <w:t>Our Investment Advisor will monitor and, when appropriate, change the investment ratings assigned to each investment in our portfolio. In connection with our valuation process, our Investment Advisor will review these investment ratings on a quarterly basis, and our Board will affirm such ratings. The investment rating of a particular investment should not, however, be deemed to be a guarantee of the investment’s future performance.</w:t>
      </w:r>
    </w:p>
    <w:p>
      <w:pPr>
        <w:spacing w:after="0" w:line="79" w:lineRule="exact"/>
        <w:rPr>
          <w:sz w:val="20"/>
          <w:szCs w:val="20"/>
          <w:color w:val="auto"/>
        </w:rPr>
      </w:pPr>
    </w:p>
    <w:p>
      <w:pPr>
        <w:ind w:left="180" w:right="619" w:firstLine="270"/>
        <w:spacing w:after="0" w:line="277"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2015 and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 2015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 2014</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Investments at</w:t>
            </w:r>
          </w:p>
        </w:tc>
        <w:tc>
          <w:tcPr>
            <w:tcW w:w="100" w:type="dxa"/>
            <w:vAlign w:val="bottom"/>
          </w:tcPr>
          <w:p>
            <w:pPr>
              <w:spacing w:after="0"/>
              <w:rPr>
                <w:sz w:val="10"/>
                <w:szCs w:val="10"/>
                <w:color w:val="auto"/>
              </w:rPr>
            </w:pPr>
          </w:p>
        </w:tc>
        <w:tc>
          <w:tcPr>
            <w:tcW w:w="10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Investments at</w:t>
            </w:r>
          </w:p>
        </w:tc>
        <w:tc>
          <w:tcPr>
            <w:tcW w:w="100" w:type="dxa"/>
            <w:vAlign w:val="bottom"/>
          </w:tcPr>
          <w:p>
            <w:pPr>
              <w:spacing w:after="0"/>
              <w:rPr>
                <w:sz w:val="10"/>
                <w:szCs w:val="10"/>
                <w:color w:val="auto"/>
              </w:rPr>
            </w:pPr>
          </w:p>
        </w:tc>
        <w:tc>
          <w:tcPr>
            <w:tcW w:w="10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 Performance Rating</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191,894</w:t>
            </w:r>
          </w:p>
        </w:tc>
        <w:tc>
          <w:tcPr>
            <w:tcW w:w="10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146,471</w:t>
            </w:r>
          </w:p>
        </w:tc>
        <w:tc>
          <w:tcPr>
            <w:tcW w:w="10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335,388</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271,864</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37,164</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55,325</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28,010</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6,677</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480,337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180" w:right="599" w:firstLine="270"/>
        <w:spacing w:after="0" w:line="302" w:lineRule="auto"/>
        <w:rPr>
          <w:sz w:val="20"/>
          <w:szCs w:val="20"/>
          <w:color w:val="auto"/>
        </w:rPr>
      </w:pPr>
      <w:r>
        <w:rPr>
          <w:rFonts w:ascii="Arial" w:cs="Arial" w:eastAsia="Arial" w:hAnsi="Arial"/>
          <w:sz w:val="16"/>
          <w:szCs w:val="16"/>
          <w:color w:val="auto"/>
        </w:rPr>
        <w:t>As of December 31, 2015, we had debt investments in five portfolio companies on non-accrual status with an amortized cost of $47.1 million and a fair value of $28.0 million, which represented 8.3% and 4.7% of the investment portfolio, respectively. As of December 31, 2014, we had debt investments in one portfolio company on non-accrual status with amortized cost of $3.4 million and a fair value of $0.0 million, which represented 0.8% and 0.0% of the investment portfolio, respectively.</w:t>
      </w:r>
    </w:p>
    <w:p>
      <w:pPr>
        <w:spacing w:after="0" w:line="46" w:lineRule="exact"/>
        <w:rPr>
          <w:sz w:val="20"/>
          <w:szCs w:val="20"/>
          <w:color w:val="auto"/>
        </w:rPr>
      </w:pPr>
    </w:p>
    <w:p>
      <w:pPr>
        <w:jc w:val="both"/>
        <w:ind w:left="180" w:right="919" w:firstLine="270"/>
        <w:spacing w:after="0" w:line="264" w:lineRule="auto"/>
        <w:rPr>
          <w:sz w:val="20"/>
          <w:szCs w:val="20"/>
          <w:color w:val="auto"/>
        </w:rPr>
      </w:pPr>
      <w:r>
        <w:rPr>
          <w:rFonts w:ascii="Arial" w:cs="Arial" w:eastAsia="Arial" w:hAnsi="Arial"/>
          <w:sz w:val="18"/>
          <w:szCs w:val="18"/>
          <w:color w:val="auto"/>
        </w:rPr>
        <w:t>As of December 31, 2015, we had no debt investments on PIK non-accrual status. As of December 31, 2014, we had debt investments in one portfolio company on PIK non-accrual status with amortized cost of $13.1 million and a fair value of $10.6 million, representing 3.0% and 2.2% of the investment portfolio, respectively.</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years ended December 31, 2015, 2014, and 2013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42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rPr>
              <w:t>For the Year Ended December 31</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vMerge w:val="restart"/>
          </w:tcPr>
          <w:p>
            <w:pPr>
              <w:ind w:left="20"/>
              <w:spacing w:after="0"/>
              <w:rPr>
                <w:sz w:val="20"/>
                <w:szCs w:val="20"/>
                <w:color w:val="auto"/>
              </w:rPr>
            </w:pPr>
            <w:r>
              <w:rPr>
                <w:rFonts w:ascii="Arial" w:cs="Arial" w:eastAsia="Arial" w:hAnsi="Arial"/>
                <w:sz w:val="18"/>
                <w:szCs w:val="18"/>
                <w:color w:val="auto"/>
              </w:rPr>
              <w:t>Total investment income</w:t>
            </w:r>
          </w:p>
        </w:tc>
        <w:tc>
          <w:tcPr>
            <w:tcW w:w="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63,976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49,528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35,433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 net of fee waivers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15,949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25,327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19,484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realized gain from 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w w:val="94"/>
              </w:rPr>
              <w:t>Net unrealized appreciation/(depreciation) on investments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(24,238)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7,187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43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Net increase/(decrease) in net assets resulting from</w:t>
            </w:r>
          </w:p>
        </w:tc>
        <w:tc>
          <w:tcPr>
            <w:tcW w:w="4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120" w:type="dxa"/>
            <w:vAlign w:val="bottom"/>
          </w:tcPr>
          <w:p>
            <w:pPr>
              <w:spacing w:after="0"/>
              <w:rPr>
                <w:sz w:val="23"/>
                <w:szCs w:val="23"/>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28,858</w:t>
            </w: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8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-1371600</wp:posOffset>
            </wp:positionV>
            <wp:extent cx="475107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475107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The composition of our investment income for the years ended December 31, 2015, 2014 and 2013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339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50,586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36,067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24,587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income</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Payment-in-kind interest and dividend income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income</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Interest from cash and cash equivalents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63,976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49,528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35,433</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jc w:val="both"/>
        <w:ind w:left="60" w:right="559" w:firstLine="270"/>
        <w:spacing w:after="0" w:line="259" w:lineRule="auto"/>
        <w:rPr>
          <w:sz w:val="20"/>
          <w:szCs w:val="20"/>
          <w:color w:val="auto"/>
        </w:rPr>
      </w:pPr>
      <w:r>
        <w:rPr>
          <w:rFonts w:ascii="Arial" w:cs="Arial" w:eastAsia="Arial" w:hAnsi="Arial"/>
          <w:sz w:val="18"/>
          <w:szCs w:val="18"/>
          <w:color w:val="auto"/>
        </w:rPr>
        <w:t>The income reported as interest income and payment-in-kind interest and dividend income is generally based on the stated rates as disclosed in our Consolidated Schedule of Investments. Accretion/(Amortization) of discounts and premiums paid for purchased loans are included in interest income as an adjustment to yield. As a general rule, our interest income and payment-in-kind interest and dividend income is recurring in nature.</w:t>
      </w:r>
    </w:p>
    <w:p>
      <w:pPr>
        <w:spacing w:after="0" w:line="79"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We also generate fee income primarily through origination fees charged for new investments, and secondarily via amendment fees, consent fees, prepayment penalties, and other fees. While the fee income is typically non-recurring for each investment, most of our new investments include an origination fee; as such, fee income is dependent upon our volume of deployments and to the fee structure associated with those deployments.</w:t>
      </w:r>
    </w:p>
    <w:p>
      <w:pPr>
        <w:spacing w:after="0" w:line="79"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We earn dividends on certain equity investments within our investment portfolio. As noted in our Consolidated Schedule of Investments, some investments are scheduled to pay a periodic dividend though these recurring dividends do not make up a significant portion of our total investment income. We may and have received more substantial one-time dividends from our equity investments as part of dividend recapitalizations.</w:t>
      </w:r>
    </w:p>
    <w:p>
      <w:pPr>
        <w:spacing w:after="0" w:line="79" w:lineRule="exact"/>
        <w:rPr>
          <w:sz w:val="20"/>
          <w:szCs w:val="20"/>
          <w:color w:val="auto"/>
        </w:rPr>
      </w:pPr>
    </w:p>
    <w:p>
      <w:pPr>
        <w:ind w:left="60" w:right="579" w:firstLine="270"/>
        <w:spacing w:after="0" w:line="288" w:lineRule="auto"/>
        <w:rPr>
          <w:sz w:val="20"/>
          <w:szCs w:val="20"/>
          <w:color w:val="auto"/>
        </w:rPr>
      </w:pPr>
      <w:r>
        <w:rPr>
          <w:rFonts w:ascii="Arial" w:cs="Arial" w:eastAsia="Arial" w:hAnsi="Arial"/>
          <w:sz w:val="16"/>
          <w:szCs w:val="16"/>
          <w:color w:val="auto"/>
        </w:rPr>
        <w:t>For the year ended December 31, 2015, total investment income increased $14.4 million, or 29.2% compared to the year ended December 31, 2014. The increase from the prior period relates primarily to higher interest and PIK income from a growing investment portfolio. For the year ended December 31, 2015, we generated $3.5 million in origination fees from new deployments and $2.4 million in other fees. Comparatively, for the year ended December 31, 2014, we generated $1.9 million in origination fees from new deployments and $1.2 million in other fees. The year over year increase in origination fee income was aided by an increase in directly originated investments. The year over year increase in other fees was due primarily to $0.8 million in prepayment penalties for the year ended December 31, 2015, compared to $0.0 million for the year ended December 31, 2014. These increases in interest, fees, and PIK were offset by a $5.5 million decline in dividend income, from $7.6 million for the year ended December 31, 2014 to $2.1 million for the year ended December 31, 2015. The decline was driven by several significant dividends paid in 2014 as part of dividend recapitalizations and the overall shrinking of our equity portfolio since the IPO.</w:t>
      </w:r>
    </w:p>
    <w:p>
      <w:pPr>
        <w:spacing w:after="0" w:line="61" w:lineRule="exact"/>
        <w:rPr>
          <w:sz w:val="20"/>
          <w:szCs w:val="20"/>
          <w:color w:val="auto"/>
        </w:rPr>
      </w:pPr>
    </w:p>
    <w:p>
      <w:pPr>
        <w:jc w:val="both"/>
        <w:ind w:left="60" w:right="599" w:firstLine="270"/>
        <w:spacing w:after="0" w:line="264" w:lineRule="auto"/>
        <w:rPr>
          <w:sz w:val="20"/>
          <w:szCs w:val="20"/>
          <w:color w:val="auto"/>
        </w:rPr>
      </w:pPr>
      <w:r>
        <w:rPr>
          <w:rFonts w:ascii="Arial" w:cs="Arial" w:eastAsia="Arial" w:hAnsi="Arial"/>
          <w:sz w:val="18"/>
          <w:szCs w:val="18"/>
          <w:color w:val="auto"/>
        </w:rPr>
        <w:t>For the year ended December 31, 2014, total investment income increased $14.1 million, or 39.8% compared to the fiscal year ended December 31, 2013. We had net deployments of debt securities of $140.3 million during the year ended December 31, 2014, which increased interest, fee, PIK, and overall investment income growth year over year.</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composition of our expenses for the years ended December 31, 2015, 2014 and 2013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47339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6"/>
        </w:trPr>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Interest and financing expenses</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19,022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13,375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 net of management fee waiver</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10,590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Incentive fees, net of incentive fee waiver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8"/>
                <w:szCs w:val="18"/>
                <w:color w:val="auto"/>
              </w:rPr>
              <w:t>Total expenses, net of fee waivers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38,649</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29,562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15,949</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99" w:firstLine="270"/>
        <w:spacing w:after="0" w:line="291" w:lineRule="auto"/>
        <w:rPr>
          <w:sz w:val="20"/>
          <w:szCs w:val="20"/>
          <w:color w:val="auto"/>
        </w:rPr>
      </w:pPr>
      <w:r>
        <w:rPr>
          <w:rFonts w:ascii="Arial" w:cs="Arial" w:eastAsia="Arial" w:hAnsi="Arial"/>
          <w:sz w:val="16"/>
          <w:szCs w:val="16"/>
          <w:color w:val="auto"/>
        </w:rPr>
        <w:t>For the year ended December 31, 2015, operating expenses increased $9.1 million, or 30.7%, compared to the year ended December 31, 2014</w:t>
      </w:r>
      <w:r>
        <w:rPr>
          <w:rFonts w:ascii="Arial" w:cs="Arial" w:eastAsia="Arial" w:hAnsi="Arial"/>
          <w:sz w:val="16"/>
          <w:szCs w:val="16"/>
          <w:b w:val="1"/>
          <w:bCs w:val="1"/>
          <w:color w:val="auto"/>
        </w:rPr>
        <w:t>.</w:t>
      </w:r>
      <w:r>
        <w:rPr>
          <w:rFonts w:ascii="Arial" w:cs="Arial" w:eastAsia="Arial" w:hAnsi="Arial"/>
          <w:sz w:val="16"/>
          <w:szCs w:val="16"/>
          <w:color w:val="auto"/>
        </w:rPr>
        <w:t xml:space="preserve"> The increase from the prior period was primarily due to an increase in interest and financing expenses due to</w:t>
      </w:r>
    </w:p>
    <w:p>
      <w:pPr>
        <w:ind w:left="60" w:right="619" w:firstLine="8"/>
        <w:spacing w:after="0" w:line="255" w:lineRule="auto"/>
        <w:tabs>
          <w:tab w:leader="none" w:pos="2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issuance of Notes in June of 2014 and (ii) the Credit Facility in October 2014. Management fees increased over prior period due to growth in assets under management. Incentive fees increased from prior period due to increase in pre-incentive fee net investment income.</w:t>
      </w:r>
    </w:p>
    <w:p>
      <w:pPr>
        <w:spacing w:after="0" w:line="82"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For the year ended December 31, 2014, operating expenses increased $13.6 million, or 85.4%, compared to the year ended December 31, 2013. Interest expense increased year over year primarily due to the issuance of Notes in June of 2014. Management and incentive fees increased for the year ended December 31, 2014 primarily because 2014 was the first full year under the terms of the Investment Advisory Agreement that we entered into with the Investment Advisor on September 24, 2013. General and administrative expenses increased year over year due to a full year of regulatory and reporting costs subsequent to our IPO on September 30,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During the years ended December 31, 2015, 2014 and 2013, we recognized $5.4 million, $0.8 million and $2.2 million of net realized gains on our portfolio investments,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year ended December 31, 2015, the Company realized gains on Boot Barn Holdings, Inc. ($11.0 million), KBP</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Investments, LLC ($10.4 million), Corporate Visions, Inc. ($7.1 million), and $2.2 million in other gross realized gains on portfolio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companies. These realized gains were offset by realized losses on Source Capital SSCR, LLC ($11.3 million), Market E’s, LLC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($5.1 million), Precision Manufacturing, LLC ($3.4 million), Sparus Holdings, Inc. ($3.4 million), and $2.1 million in other gross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realized losses on portfolio companies.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117" w:lineRule="exact"/>
        <w:rPr>
          <w:sz w:val="20"/>
          <w:szCs w:val="20"/>
          <w:color w:val="auto"/>
        </w:rPr>
      </w:pPr>
    </w:p>
    <w:p>
      <w:pPr>
        <w:ind w:left="60" w:right="699" w:firstLine="270"/>
        <w:spacing w:after="0" w:line="264" w:lineRule="auto"/>
        <w:rPr>
          <w:sz w:val="20"/>
          <w:szCs w:val="20"/>
          <w:color w:val="auto"/>
        </w:rPr>
      </w:pPr>
      <w:r>
        <w:rPr>
          <w:rFonts w:ascii="Arial" w:cs="Arial" w:eastAsia="Arial" w:hAnsi="Arial"/>
          <w:sz w:val="18"/>
          <w:szCs w:val="18"/>
          <w:color w:val="auto"/>
        </w:rPr>
        <w:t>Net change in unrealized appreciation/(depreciation) on investments reflects the net change in the fair value of our investment portfolio. For the years ended December 31, 2015, 2014 and 2013, we had $(16.9) million, $(24.2) million and $7.2 million of unrealized appreciation (depreciation), respectively, on portfolio investments.</w:t>
      </w:r>
    </w:p>
    <w:p>
      <w:pPr>
        <w:spacing w:after="0" w:line="73"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Of the $16.9 million in unrealized depreciation for the year ended December 31, 2015, $16.5 million related to depreciation on our 5 energy related portfolio companies.</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For the years ended December 31, 2015, 2014 and 2013 we recorded a net increase (decrease) in net assets resulting from operations of $13.9 million, $(3.4) million, and $28.9 million, respectively. Based on the weighted average shares of common stock outstanding for the years ended December 31, 2015, 2014 and 2013, our per share net increase (decrease) in net assets resulting from operations was $0.91, $(0.27) and $2.22, respectively.</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left="40" w:right="1219" w:firstLine="270"/>
        <w:spacing w:after="0" w:line="277"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dividends to our shareholders, and repay indebtedness.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September 30, 2013, we issued 4,000,000 shares at $20.00 per share in our IPO, yielding net proceeds of $74.25 million.</w:t>
      </w:r>
    </w:p>
    <w:p>
      <w:pPr>
        <w:spacing w:after="0" w:line="140" w:lineRule="exact"/>
        <w:rPr>
          <w:sz w:val="20"/>
          <w:szCs w:val="20"/>
          <w:color w:val="auto"/>
        </w:rPr>
      </w:pPr>
    </w:p>
    <w:p>
      <w:pPr>
        <w:jc w:val="both"/>
        <w:ind w:left="40" w:right="619" w:firstLine="270"/>
        <w:spacing w:after="0" w:line="264" w:lineRule="auto"/>
        <w:rPr>
          <w:sz w:val="20"/>
          <w:szCs w:val="20"/>
          <w:color w:val="auto"/>
        </w:rPr>
      </w:pPr>
      <w:r>
        <w:rPr>
          <w:rFonts w:ascii="Arial" w:cs="Arial" w:eastAsia="Arial" w:hAnsi="Arial"/>
          <w:sz w:val="18"/>
          <w:szCs w:val="18"/>
          <w:color w:val="auto"/>
        </w:rPr>
        <w:t>Including the net proceeds from our IPO on September 30, 2013, we have raised approximately $245.0 million in net proceeds from debt and equity offerings and obtained credit availability through our Credit Facility of $120.0 million through December 31, 2015.</w:t>
      </w:r>
    </w:p>
    <w:p>
      <w:pPr>
        <w:spacing w:after="0" w:line="73"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We issued $113.4 million in aggregate principal amount of 7.125% fixed-rate notes in June of 2014, yielding net proceeds of $109.1 million after underwriting costs. The Notes will mature on June 16, 2021, and may be redeemed in whole or in part at any time or from time to time at our option on or after June 17, 2017 at a redemption price equal to 100% of the outstanding principal, plus accrued and unpaid interest. The notes bear interest at a rate of 7.125% per year payable quarterly on March 16, June 16, September 16, and December 16 of each year, beginning September 16, 2014. The Notes are listed on the New York Stock Exchange under the trading symbol “CLA” with a par value $25.00 per share.</w:t>
      </w:r>
    </w:p>
    <w:p>
      <w:pPr>
        <w:spacing w:after="0" w:line="70" w:lineRule="exact"/>
        <w:rPr>
          <w:sz w:val="20"/>
          <w:szCs w:val="20"/>
          <w:color w:val="auto"/>
        </w:rPr>
      </w:pPr>
    </w:p>
    <w:p>
      <w:pPr>
        <w:jc w:val="both"/>
        <w:ind w:left="40" w:right="819" w:firstLine="270"/>
        <w:spacing w:after="0" w:line="259" w:lineRule="auto"/>
        <w:rPr>
          <w:sz w:val="20"/>
          <w:szCs w:val="20"/>
          <w:color w:val="auto"/>
        </w:rPr>
      </w:pPr>
      <w:r>
        <w:rPr>
          <w:rFonts w:ascii="Arial" w:cs="Arial" w:eastAsia="Arial" w:hAnsi="Arial"/>
          <w:sz w:val="18"/>
          <w:szCs w:val="18"/>
          <w:color w:val="auto"/>
        </w:rPr>
        <w:t>On October 17, 2014, we entered into a senior secured revolving credit agreement (the “Credit Facility”) with ING Capital, LLC, as administrative agent, arranger, and bookrunner, and the lenders party thereto. The Credit Facility initially provides for borrowings up to $50,000,000 and may be increased up to $150,000,000 pursuant to its “accordion” feature. The Credit Facility matures on October 17, 2018.</w:t>
      </w:r>
    </w:p>
    <w:p>
      <w:pPr>
        <w:spacing w:after="0" w:line="79"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On January 6, 2015, we entered into an Incremental Assumption Agreement (the “First Incremental Assumption Agreement”) relating to the Credit Facility. The First Incremental Assumption Agreement increased the amount of borrowings available under the Credit Facility from $50,000,000 to $80,000,000. The $30,000,000 increase in total commitments under the Credit Facility was executed under the “accordion” feature of the Credit Facility, which allows for an increase in total commitments under the Credit Facility up to $150,000,000. On August 19, 2015, we entered into a second Incremental Assumption Agreement (the “Second Incremental Assumption Agreement”) relating to the Credit Facility. The Second Incremental Assumption Agreement increased the amount of borrowings available under the Credit Facility from $80,000,000 to $120,000,000. The $40,000,000 increase in total commitments under the Credit Facility was executed under the “accordion” feature of the Credit Facility, which allows for an increase in total commitments under the Credit Facility up to $150,000,000.</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2015, we had $70.0 million outstanding and $50.0 million available under the Credit Facility.</w:t>
      </w:r>
    </w:p>
    <w:p>
      <w:pPr>
        <w:spacing w:after="0" w:line="117"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On April 13, 2015, we completed an underwritten offering of 3,500,000 shares of its common stock at a public offering price of $18.32 per share. The total proceeds received in the offering net of underwriting discounts and offering costs were approximately $61.7 million.</w:t>
      </w:r>
    </w:p>
    <w:p>
      <w:pPr>
        <w:spacing w:after="0" w:line="73"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On February 26, 2015, our Board authorized a program for the purpose of repurchasing up to $12.0 million worth of its common stock. Under the repurchase program, we could have, but were not obligated to, repurchase our outstanding common stock in the open market from time to time provided that we complied with the prohibitions under our Insider Trading Policies and Procedures and the guidelines specified in Rule 10b-18 of the Securities Exchange Act of 1934, as amended, including certain price, market volume and timing constraints. Unless extended by our Board, we expect the repurchase program to be in place until the earlier of March 31, 2016 or until $12.0 million of our outstanding shares of common stock have been repurchased.</w:t>
      </w:r>
    </w:p>
    <w:p>
      <w:pPr>
        <w:spacing w:after="0" w:line="57"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During the year ended December 31, 2015, we repurchased 774,858 shares of our common stock in open market transactions for an aggregate cost (including transaction costs) of $12.0 million. As of December 31, 2015, none of these share repurchases were unsettled. We are incorporated in Maryland and under Maryland General Corporation Law, shares repurchased are considered retired (repurchased shares become authorized but unissued shares) rather than treasury stock. As a result, the cost of the stock repurchased is recorded as a reduction to capital in excess of par value on the consolidated statements of changes in net assets.</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39" w:firstLine="270"/>
        <w:spacing w:after="0" w:line="271" w:lineRule="auto"/>
        <w:rPr>
          <w:sz w:val="20"/>
          <w:szCs w:val="20"/>
          <w:color w:val="auto"/>
        </w:rPr>
      </w:pPr>
      <w:r>
        <w:rPr>
          <w:rFonts w:ascii="Arial" w:cs="Arial" w:eastAsia="Arial" w:hAnsi="Arial"/>
          <w:sz w:val="17"/>
          <w:szCs w:val="17"/>
          <w:color w:val="auto"/>
        </w:rPr>
        <w:t>As of December 31, 2015, Fund II had $26.2 million in regulatory capital and $34.2 million in SBA-guaranteed debentures outstanding and Fund III had $75.0 million in regulatory capital and $150.0 million in SBA-guaranteed debentures outstanding. In addition to our existing SBA-guaranteed debentures, we may, if permitted by regulation, seek to issue additional SBA-guaranteed debentures as well as other forms of leverage and borrow funds to make investments. On June 10, 2014, we received an exemptive order from the SEC exempting us,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 We intend to comply with the conditions of the order.</w:t>
      </w:r>
    </w:p>
    <w:p>
      <w:pPr>
        <w:spacing w:after="0" w:line="71" w:lineRule="exact"/>
        <w:rPr>
          <w:sz w:val="20"/>
          <w:szCs w:val="20"/>
          <w:color w:val="auto"/>
        </w:rPr>
      </w:pPr>
    </w:p>
    <w:p>
      <w:pPr>
        <w:ind w:left="60" w:right="1159" w:firstLine="270"/>
        <w:spacing w:after="0" w:line="391" w:lineRule="auto"/>
        <w:rPr>
          <w:sz w:val="20"/>
          <w:szCs w:val="20"/>
          <w:color w:val="auto"/>
        </w:rPr>
      </w:pPr>
      <w:r>
        <w:rPr>
          <w:rFonts w:ascii="Arial" w:cs="Arial" w:eastAsia="Arial" w:hAnsi="Arial"/>
          <w:sz w:val="18"/>
          <w:szCs w:val="18"/>
          <w:color w:val="auto"/>
        </w:rPr>
        <w:t xml:space="preserve">As of December 31, 2015, we had $34.1 million in cash and cash equivalents, and our net assets totaled $268.8 million. </w:t>
      </w:r>
      <w:r>
        <w:rPr>
          <w:rFonts w:ascii="Arial" w:cs="Arial" w:eastAsia="Arial" w:hAnsi="Arial"/>
          <w:sz w:val="18"/>
          <w:szCs w:val="18"/>
          <w:b w:val="1"/>
          <w:bCs w:val="1"/>
          <w:color w:val="auto"/>
        </w:rPr>
        <w:t>Contractual obligations</w:t>
      </w:r>
    </w:p>
    <w:p>
      <w:pPr>
        <w:spacing w:after="0" w:line="1" w:lineRule="exact"/>
        <w:rPr>
          <w:sz w:val="20"/>
          <w:szCs w:val="20"/>
          <w:color w:val="auto"/>
        </w:rPr>
      </w:pPr>
    </w:p>
    <w:p>
      <w:pPr>
        <w:jc w:val="both"/>
        <w:ind w:left="60" w:right="659" w:firstLine="270"/>
        <w:spacing w:after="0" w:line="288" w:lineRule="auto"/>
        <w:rPr>
          <w:sz w:val="20"/>
          <w:szCs w:val="20"/>
          <w:color w:val="auto"/>
        </w:rPr>
      </w:pPr>
      <w:r>
        <w:rPr>
          <w:rFonts w:ascii="Arial" w:cs="Arial" w:eastAsia="Arial" w:hAnsi="Arial"/>
          <w:sz w:val="16"/>
          <w:szCs w:val="16"/>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w:t>
      </w:r>
    </w:p>
    <w:p>
      <w:pPr>
        <w:ind w:left="60" w:right="559"/>
        <w:spacing w:after="0" w:line="255" w:lineRule="auto"/>
        <w:rPr>
          <w:sz w:val="20"/>
          <w:szCs w:val="20"/>
          <w:color w:val="auto"/>
        </w:rPr>
      </w:pPr>
      <w:r>
        <w:rPr>
          <w:rFonts w:ascii="Arial" w:cs="Arial" w:eastAsia="Arial" w:hAnsi="Arial"/>
          <w:sz w:val="18"/>
          <w:szCs w:val="18"/>
          <w:color w:val="auto"/>
        </w:rPr>
        <w:t>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82" w:lineRule="exact"/>
        <w:rPr>
          <w:sz w:val="20"/>
          <w:szCs w:val="20"/>
          <w:color w:val="auto"/>
        </w:rPr>
      </w:pPr>
    </w:p>
    <w:p>
      <w:pPr>
        <w:ind w:left="60" w:right="599" w:firstLine="270"/>
        <w:spacing w:after="0" w:line="276" w:lineRule="auto"/>
        <w:rPr>
          <w:sz w:val="20"/>
          <w:szCs w:val="20"/>
          <w:color w:val="auto"/>
        </w:rPr>
      </w:pPr>
      <w:r>
        <w:rPr>
          <w:rFonts w:ascii="Arial" w:cs="Arial" w:eastAsia="Arial" w:hAnsi="Arial"/>
          <w:sz w:val="17"/>
          <w:szCs w:val="17"/>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our significant contractual payment obligations as of December 31, 2015 are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51796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2"/>
              </w:rPr>
              <w:t>Contractual Obligations Payments Due by Period</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74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1 – 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3 – 5</w:t>
            </w:r>
          </w:p>
        </w:tc>
        <w:tc>
          <w:tcPr>
            <w:tcW w:w="24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20" w:type="dxa"/>
            <w:vAlign w:val="bottom"/>
            <w:vMerge w:val="restart"/>
          </w:tcPr>
          <w:p>
            <w:pPr>
              <w:ind w:left="20"/>
              <w:spacing w:after="0"/>
              <w:rPr>
                <w:sz w:val="20"/>
                <w:szCs w:val="20"/>
                <w:color w:val="auto"/>
              </w:rPr>
            </w:pPr>
            <w:r>
              <w:rPr>
                <w:rFonts w:ascii="Arial" w:cs="Arial" w:eastAsia="Arial" w:hAnsi="Arial"/>
                <w:sz w:val="18"/>
                <w:szCs w:val="18"/>
                <w:color w:val="auto"/>
              </w:rPr>
              <w:t>SBA Debentures</w:t>
            </w:r>
          </w:p>
        </w:tc>
        <w:tc>
          <w:tcPr>
            <w:tcW w:w="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$ 13,500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24,000</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7"/>
              </w:rPr>
              <w:t>$ 146,700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184,200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113,438</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113,438</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$ 13,500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70,000</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24,000</w:t>
            </w:r>
          </w:p>
        </w:tc>
        <w:tc>
          <w:tcPr>
            <w:tcW w:w="9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$ 260,138</w:t>
            </w:r>
          </w:p>
        </w:tc>
        <w:tc>
          <w:tcPr>
            <w:tcW w:w="4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367,638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60" w:right="539" w:firstLine="270"/>
        <w:spacing w:after="0" w:line="289" w:lineRule="auto"/>
        <w:rPr>
          <w:sz w:val="20"/>
          <w:szCs w:val="20"/>
          <w:color w:val="auto"/>
        </w:rPr>
      </w:pPr>
      <w:r>
        <w:rPr>
          <w:rFonts w:ascii="Arial" w:cs="Arial" w:eastAsia="Arial" w:hAnsi="Arial"/>
          <w:sz w:val="16"/>
          <w:szCs w:val="16"/>
          <w:color w:val="auto"/>
        </w:rPr>
        <w:t>In order to qualify as a RIC and to avoid corporate-level U.S. federal income tax on the income we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for preceding years that were not distributed during such years and on which we paid no U.S. federal income tax to avoid a U.S. federal excise tax. To the extent that we have income available, we intend to make quarterly distributions to our stockholders for the first four full quarters subsequent to our IPO and then make monthly distributions thereafter. Our monthly stockholder distributions, if any, will be determined by our Board on a quarterly basis. Any distribution to our stockholders will be declared out of assets legally available for distribution.</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firstLine="270"/>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80" w:lineRule="exact"/>
        <w:rPr>
          <w:sz w:val="20"/>
          <w:szCs w:val="20"/>
          <w:color w:val="auto"/>
        </w:rPr>
      </w:pPr>
    </w:p>
    <w:p>
      <w:pPr>
        <w:ind w:left="40" w:right="739" w:firstLine="270"/>
        <w:spacing w:after="0" w:line="276" w:lineRule="auto"/>
        <w:rPr>
          <w:sz w:val="20"/>
          <w:szCs w:val="20"/>
          <w:color w:val="auto"/>
        </w:rPr>
      </w:pPr>
      <w:r>
        <w:rPr>
          <w:rFonts w:ascii="Arial" w:cs="Arial" w:eastAsia="Arial" w:hAnsi="Arial"/>
          <w:sz w:val="17"/>
          <w:szCs w:val="17"/>
          <w:color w:val="auto"/>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64"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distribution, then stockholders’ cash distributions will be automatically reinvested in additional shares of our common stock unless a stockholder specifically “opts out” of our dividend reinvestment plan.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dividend reinvestment plan will not receive any corresponding cash distributions with which to pay any such applicable taxes.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6" w:name="page87"/>
    <w:bookmarkEnd w:id="8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distributions declared since the IPO through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23,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29, 2015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October 1,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November 20,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November 27,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22,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30,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July 1,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September 23,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29,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21,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28,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July 1,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July 23,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July 30,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22,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April 1,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May 21,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May 28,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29,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December 22,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December 30,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20,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27,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October 23,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October 29,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23,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29,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August 21,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August 28,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23,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June 22,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29,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21,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28,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April 23,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April 29,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23,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30,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January 2,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March 30,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20,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26, 2015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January 2,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January 22, 2015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January 29, 2015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Distributions Declared</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81"/>
        </w:trPr>
        <w:tc>
          <w:tcPr>
            <w:tcW w:w="308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19, 2014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30, 2014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October 2, 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November 21, 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November 28, 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22, 2014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30, 2014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August 7, 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September 12, 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September 26, 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8, 2014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9, 2014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26, 2014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February 27, 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March 14, 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March 26, 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Distributions Declared</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81"/>
        </w:trPr>
        <w:tc>
          <w:tcPr>
            <w:tcW w:w="308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November 11, 2013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December 10, 2013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30, 2013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tcPr>
          <w:p>
            <w:pPr>
              <w:ind w:left="200"/>
              <w:spacing w:after="0"/>
              <w:rPr>
                <w:sz w:val="20"/>
                <w:szCs w:val="20"/>
                <w:color w:val="auto"/>
              </w:rPr>
            </w:pPr>
            <w:r>
              <w:rPr>
                <w:rFonts w:ascii="Arial" w:cs="Arial" w:eastAsia="Arial" w:hAnsi="Arial"/>
                <w:sz w:val="18"/>
                <w:szCs w:val="18"/>
                <w:color w:val="auto"/>
              </w:rPr>
              <w:t>Total Distributions Declared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-1954530</wp:posOffset>
            </wp:positionV>
            <wp:extent cx="475107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-650875</wp:posOffset>
            </wp:positionV>
            <wp:extent cx="475107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-1894840</wp:posOffset>
            </wp:positionV>
            <wp:extent cx="47510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-591185</wp:posOffset>
            </wp:positionV>
            <wp:extent cx="47510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Parties</w:t>
      </w:r>
    </w:p>
    <w:p>
      <w:pPr>
        <w:spacing w:after="0" w:line="121" w:lineRule="exact"/>
        <w:rPr>
          <w:sz w:val="20"/>
          <w:szCs w:val="20"/>
          <w:color w:val="auto"/>
        </w:rPr>
      </w:pPr>
    </w:p>
    <w:p>
      <w:pPr>
        <w:ind w:left="60" w:right="679" w:firstLine="270"/>
        <w:spacing w:after="0" w:line="286" w:lineRule="auto"/>
        <w:rPr>
          <w:sz w:val="20"/>
          <w:szCs w:val="20"/>
          <w:color w:val="auto"/>
        </w:rPr>
      </w:pPr>
      <w:r>
        <w:rPr>
          <w:rFonts w:ascii="Arial" w:cs="Arial" w:eastAsia="Arial" w:hAnsi="Arial"/>
          <w:sz w:val="17"/>
          <w:szCs w:val="17"/>
          <w:color w:val="auto"/>
        </w:rPr>
        <w:t>We have entered into the Investment Advisory Agreement with the Investment Advisor. Mr. Alala, our chief executive officer, president and chairman of our Board, is the managing partner and chief investment officer of the Investment Advisor, and Mr. Broyhill, a member of our Board, has an indirect controlling interest in the Investment Advisor.</w:t>
      </w:r>
    </w:p>
    <w:p>
      <w:pPr>
        <w:spacing w:after="0" w:line="57" w:lineRule="exact"/>
        <w:rPr>
          <w:sz w:val="20"/>
          <w:szCs w:val="20"/>
          <w:color w:val="auto"/>
        </w:rPr>
      </w:pPr>
    </w:p>
    <w:p>
      <w:pPr>
        <w:ind w:left="60" w:right="659" w:firstLine="270"/>
        <w:spacing w:after="0" w:line="257" w:lineRule="auto"/>
        <w:rPr>
          <w:sz w:val="20"/>
          <w:szCs w:val="20"/>
          <w:color w:val="auto"/>
        </w:rPr>
      </w:pPr>
      <w:r>
        <w:rPr>
          <w:rFonts w:ascii="Arial" w:cs="Arial" w:eastAsia="Arial" w:hAnsi="Arial"/>
          <w:sz w:val="18"/>
          <w:szCs w:val="18"/>
          <w:color w:val="auto"/>
        </w:rPr>
        <w:t>In addition, the Investment Advisor’s investment team also manages CapitalSouth Partners SBIC Fund IV, L.P. (“Fund IV”); a private investment limited partnership providing financing solutions to smaller and lower middle-market companies that had its first closing in March 2013 and obtained SBA approval for its SBIC license in April 2013. In addition to Fund IV, affiliates of the Investment Advisor may manage several affiliated funds whereby institutional limited partners in Fund IV, have had the opportunity to co-invest</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7" w:name="page88"/>
    <w:bookmarkEnd w:id="8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39"/>
        <w:spacing w:after="0" w:line="254" w:lineRule="auto"/>
        <w:rPr>
          <w:sz w:val="20"/>
          <w:szCs w:val="20"/>
          <w:color w:val="auto"/>
        </w:rPr>
      </w:pPr>
      <w:r>
        <w:rPr>
          <w:rFonts w:ascii="Arial" w:cs="Arial" w:eastAsia="Arial" w:hAnsi="Arial"/>
          <w:sz w:val="18"/>
          <w:szCs w:val="18"/>
          <w:color w:val="auto"/>
        </w:rPr>
        <w:t>with Fund IV in portfolio investments. The Investment Advisor and its affiliates may also manage other funds in the future that may have investment mandates that are similar, in whole and in part, with ours. The Investment Advisor and its affiliates may determine that an investment is appropriate for us and for one or more of those other funds. In such event, depending on the availability of such investment and other appropriate factors, the Investment Advisor or its affiliates may determine that we should invest side-by-side with one or more other funds. Any such investments will be made only to the extent permitted by applicable law and interpretive positions of the SEC and its staff, and consistent with the Investment Advisor’s allocation procedures. We do not expect to make co-investments, or otherwise compete for investment opportunities, with Fund IV because its focus and investment strategy differ from our own.</w:t>
      </w:r>
    </w:p>
    <w:p>
      <w:pPr>
        <w:spacing w:after="0" w:line="84"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We have entered into a license agreement with the Investment Advisor, pursuant to which the Investment Advisor has agreed to grant us a non-exclusive, royalty-free license to use the name “Capitala.”</w:t>
      </w:r>
    </w:p>
    <w:p>
      <w:pPr>
        <w:spacing w:after="0" w:line="62"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We have entered into the Administration Agreement with our Administrator. Pursuant to the terms of the Administration Agreement, our Administrator provides us with the office facilities and administrative services necessary to conduct our day-to-day operations. Mr. Alala, our chief executive officer, president and chairman of our Board, is the chief executive officer, president and a director of our Administrator.</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 w:right="919" w:firstLine="270"/>
        <w:spacing w:after="0" w:line="259" w:lineRule="auto"/>
        <w:rPr>
          <w:sz w:val="20"/>
          <w:szCs w:val="20"/>
          <w:color w:val="auto"/>
        </w:rPr>
      </w:pPr>
      <w:r>
        <w:rPr>
          <w:rFonts w:ascii="Arial" w:cs="Arial" w:eastAsia="Arial" w:hAnsi="Arial"/>
          <w:sz w:val="18"/>
          <w:szCs w:val="18"/>
          <w:color w:val="auto"/>
        </w:rPr>
        <w:t>As of December 31, 2015 and December 31, 2014, the Company had outstanding unfunded commitments related to debt investments in existing portfolio companies of $4.4 million and $10.6 million, respectively. Based on current cash balance and availability under our Credit Facility, the Company believes it has sufficient liquidity to fund our unfunded commitments as of December 31, 2015.</w:t>
      </w:r>
    </w:p>
    <w:p>
      <w:pPr>
        <w:spacing w:after="0" w:line="79" w:lineRule="exact"/>
        <w:rPr>
          <w:sz w:val="20"/>
          <w:szCs w:val="20"/>
          <w:color w:val="auto"/>
        </w:rPr>
      </w:pPr>
    </w:p>
    <w:p>
      <w:pPr>
        <w:jc w:val="both"/>
        <w:ind w:left="60" w:right="839" w:firstLine="270"/>
        <w:spacing w:after="0" w:line="264" w:lineRule="auto"/>
        <w:rPr>
          <w:sz w:val="20"/>
          <w:szCs w:val="20"/>
          <w:color w:val="auto"/>
        </w:rPr>
      </w:pPr>
      <w:r>
        <w:rPr>
          <w:rFonts w:ascii="Arial" w:cs="Arial" w:eastAsia="Arial" w:hAnsi="Arial"/>
          <w:sz w:val="18"/>
          <w:szCs w:val="18"/>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4, 2016, our Board of Directors declared the following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6564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6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Amount Per</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22, 2016</w:t>
            </w: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30, 2016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19, 2016</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February 26, 2016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22, 2016</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3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2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rPr>
              <w:t>Total Dividends Declared for Fiscal</w:t>
            </w:r>
          </w:p>
        </w:tc>
        <w:tc>
          <w:tcPr>
            <w:tcW w:w="16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38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-608330</wp:posOffset>
            </wp:positionV>
            <wp:extent cx="475107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4751070" cy="3175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51070" cy="317500"/>
                    </a:xfrm>
                    <a:prstGeom prst="rect">
                      <a:avLst/>
                    </a:prstGeom>
                    <a:noFill/>
                  </pic:spPr>
                </pic:pic>
              </a:graphicData>
            </a:graphic>
          </wp:anchor>
        </w:drawing>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17" w:lineRule="exact"/>
        <w:rPr>
          <w:sz w:val="20"/>
          <w:szCs w:val="20"/>
          <w:color w:val="auto"/>
        </w:rPr>
      </w:pPr>
    </w:p>
    <w:p>
      <w:pPr>
        <w:ind w:left="60" w:right="659" w:firstLine="270"/>
        <w:spacing w:after="0" w:line="277" w:lineRule="auto"/>
        <w:rPr>
          <w:sz w:val="20"/>
          <w:szCs w:val="20"/>
          <w:color w:val="auto"/>
        </w:rPr>
      </w:pPr>
      <w:r>
        <w:rPr>
          <w:rFonts w:ascii="Arial" w:cs="Arial" w:eastAsia="Arial" w:hAnsi="Arial"/>
          <w:sz w:val="18"/>
          <w:szCs w:val="18"/>
          <w:color w:val="auto"/>
        </w:rPr>
        <w:t>On January 12, 2016, we invested in the subordinated debt and equity of Eastport Holdings, LLC. The subordinated debt has a cash rate of Libor + 13.0%, with a 0.5% floor.</w:t>
      </w:r>
    </w:p>
    <w:p>
      <w:pPr>
        <w:spacing w:after="0" w:line="62"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On January 26, 2016, we funded $2.8 million in the existing commitment for Community Choice Financial, Inc. senior secured revolving debt. The debt investment has a cash rate of Libor + 13.0% with a 1.0% floor.</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29, 2016, we sold our investment in Crowley Holdings, Inc. Series A Income Preferred Shares for $6.3 million.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received par value, plus accrued dividends.</w:t>
      </w:r>
    </w:p>
    <w:p>
      <w:pPr>
        <w:spacing w:after="0" w:line="200" w:lineRule="exact"/>
        <w:rPr>
          <w:sz w:val="20"/>
          <w:szCs w:val="20"/>
          <w:color w:val="auto"/>
        </w:rPr>
      </w:pPr>
    </w:p>
    <w:p>
      <w:pPr>
        <w:spacing w:after="0" w:line="3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8" w:name="page89"/>
    <w:bookmarkEnd w:id="8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80" w:right="539" w:firstLine="270"/>
        <w:spacing w:after="0" w:line="255"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Our investment income will generally not be affected by changes in various interest rates, including LIBOR, as assets and liabilities are fixed as of December 31, 2015. We may hedge against interest rate fluctuations by using standard hedging instruments such as futures, options and forward contracts subject to the requirements of the 1940 Act. For the year ended December 31, 2015, we did not engage in hedging activities.</w:t>
      </w:r>
    </w:p>
    <w:p>
      <w:pPr>
        <w:spacing w:after="0" w:line="85" w:lineRule="exact"/>
        <w:rPr>
          <w:sz w:val="20"/>
          <w:szCs w:val="20"/>
          <w:color w:val="auto"/>
        </w:rPr>
      </w:pPr>
    </w:p>
    <w:p>
      <w:pPr>
        <w:ind w:left="180" w:right="539" w:firstLine="270"/>
        <w:spacing w:after="0" w:line="271" w:lineRule="auto"/>
        <w:rPr>
          <w:sz w:val="20"/>
          <w:szCs w:val="20"/>
          <w:color w:val="auto"/>
        </w:rPr>
      </w:pPr>
      <w:r>
        <w:rPr>
          <w:rFonts w:ascii="Arial" w:cs="Arial" w:eastAsia="Arial" w:hAnsi="Arial"/>
          <w:sz w:val="17"/>
          <w:szCs w:val="17"/>
          <w:color w:val="auto"/>
        </w:rPr>
        <w:t>As of December 31, 2015, we held 19 securities bearing a variable rate of interest. Our variable rate investments represent approximately 34.5% of the fair market value of total interest earning investments. All variable rate securities are London Interbank Offered Rate (“LIBOR”) based and are subject to interest rate floors, with the exception of a $2.0 million investment that does not have a floor. As of December 31, 2015, all variable rate securities were yielding interest at a rate equal to the established interest rate floor, with the exception of a $2.0 million investment that does not have a floor. As of December 31, 2015, we had $70.0 million outstanding on its revolving credit facility which has a variable rate of interest at LIBOR + 300. As of December 31, 2015, all of our other interest paying liabilities, consisting of $184.2 million in SBA-guaranteed debentures and $113.4 million in notes payable, were bearing interest at a fixed rate.</w:t>
      </w:r>
    </w:p>
    <w:p>
      <w:pPr>
        <w:spacing w:after="0" w:line="71" w:lineRule="exact"/>
        <w:rPr>
          <w:sz w:val="20"/>
          <w:szCs w:val="20"/>
          <w:color w:val="auto"/>
        </w:rPr>
      </w:pPr>
    </w:p>
    <w:p>
      <w:pPr>
        <w:ind w:left="180" w:right="619" w:firstLine="270"/>
        <w:spacing w:after="0" w:line="259"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w:t>
      </w:r>
    </w:p>
    <w:p>
      <w:pPr>
        <w:spacing w:after="0" w:line="79" w:lineRule="exact"/>
        <w:rPr>
          <w:sz w:val="20"/>
          <w:szCs w:val="20"/>
          <w:color w:val="auto"/>
        </w:rPr>
      </w:pPr>
    </w:p>
    <w:p>
      <w:pPr>
        <w:jc w:val="both"/>
        <w:ind w:left="180" w:right="639" w:firstLine="270"/>
        <w:spacing w:after="0" w:line="312" w:lineRule="auto"/>
        <w:rPr>
          <w:sz w:val="20"/>
          <w:szCs w:val="20"/>
          <w:color w:val="auto"/>
        </w:rPr>
      </w:pPr>
      <w:r>
        <w:rPr>
          <w:rFonts w:ascii="Arial" w:cs="Arial" w:eastAsia="Arial" w:hAnsi="Arial"/>
          <w:sz w:val="16"/>
          <w:szCs w:val="16"/>
          <w:color w:val="auto"/>
        </w:rPr>
        <w:t>Based on our December 31, 2015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-8255</wp:posOffset>
            </wp:positionV>
            <wp:extent cx="47510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Increase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(decrease)</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(decrease)</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(decrease)</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 interest</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 interest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 net</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12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5"/>
              </w:rPr>
              <w:t>expense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income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1,778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2,482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1,701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781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293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 200 basis points</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2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89" w:name="page90"/>
    <w:bookmarkEnd w:id="89"/>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14"/>
                <w:szCs w:val="14"/>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660" w:type="dxa"/>
            <w:vAlign w:val="bottom"/>
            <w:gridSpan w:val="12"/>
            <w:shd w:val="clear" w:color="auto" w:fill="CCEEFF"/>
          </w:tcPr>
          <w:p>
            <w:pPr>
              <w:spacing w:after="0" w:line="170" w:lineRule="exact"/>
              <w:rPr>
                <w:rFonts w:ascii="Arial" w:cs="Arial" w:eastAsia="Arial" w:hAnsi="Arial"/>
                <w:sz w:val="18"/>
                <w:szCs w:val="18"/>
                <w:color w:val="0000EE"/>
              </w:rPr>
            </w:pPr>
            <w:hyperlink w:anchor="page91">
              <w:r>
                <w:rPr>
                  <w:rFonts w:ascii="Arial" w:cs="Arial" w:eastAsia="Arial" w:hAnsi="Arial"/>
                  <w:sz w:val="18"/>
                  <w:szCs w:val="18"/>
                  <w:color w:val="0000EE"/>
                </w:rPr>
                <w:t>Report of Independent Registered Public Accounting Firm</w:t>
              </w:r>
            </w:hyperlink>
          </w:p>
        </w:tc>
        <w:tc>
          <w:tcPr>
            <w:tcW w:w="14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60"/>
              <w:spacing w:after="0" w:line="170" w:lineRule="exact"/>
              <w:rPr>
                <w:rFonts w:ascii="Arial" w:cs="Arial" w:eastAsia="Arial" w:hAnsi="Arial"/>
                <w:sz w:val="18"/>
                <w:szCs w:val="18"/>
                <w:color w:val="0000EE"/>
              </w:rPr>
            </w:pPr>
            <w:hyperlink w:anchor="page91">
              <w:r>
                <w:rPr>
                  <w:rFonts w:ascii="Arial" w:cs="Arial" w:eastAsia="Arial" w:hAnsi="Arial"/>
                  <w:sz w:val="18"/>
                  <w:szCs w:val="18"/>
                  <w:color w:val="0000EE"/>
                </w:rPr>
                <w:t>F-1</w:t>
              </w:r>
            </w:hyperlink>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660" w:type="dxa"/>
            <w:vAlign w:val="bottom"/>
            <w:gridSpan w:val="12"/>
          </w:tcPr>
          <w:p>
            <w:pPr>
              <w:spacing w:after="0"/>
              <w:rPr>
                <w:sz w:val="20"/>
                <w:szCs w:val="20"/>
                <w:color w:val="auto"/>
              </w:rPr>
            </w:pPr>
            <w:r>
              <w:rPr>
                <w:rFonts w:ascii="Arial" w:cs="Arial" w:eastAsia="Arial" w:hAnsi="Arial"/>
                <w:sz w:val="18"/>
                <w:szCs w:val="18"/>
                <w:b w:val="1"/>
                <w:bCs w:val="1"/>
                <w:color w:val="auto"/>
              </w:rPr>
              <w:t>Audited Financial Statements: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Statements of Assets and Liabilities as of December 31, 2015 and December 31,</w:t>
              </w:r>
            </w:hyperlink>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540" w:type="dxa"/>
            <w:vAlign w:val="bottom"/>
            <w:tcBorders>
              <w:top w:val="single" w:sz="8" w:color="0000EE"/>
            </w:tcBorders>
            <w:gridSpan w:val="2"/>
            <w:shd w:val="clear" w:color="auto" w:fill="CCEEFF"/>
          </w:tcPr>
          <w:p>
            <w:pPr>
              <w:ind w:left="180"/>
              <w:spacing w:after="0" w:line="196" w:lineRule="exact"/>
              <w:rPr>
                <w:rFonts w:ascii="Arial" w:cs="Arial" w:eastAsia="Arial" w:hAnsi="Arial"/>
                <w:sz w:val="18"/>
                <w:szCs w:val="18"/>
                <w:color w:val="0000EE"/>
                <w:w w:val="84"/>
              </w:rPr>
            </w:pPr>
            <w:hyperlink w:anchor="page92">
              <w:r>
                <w:rPr>
                  <w:rFonts w:ascii="Arial" w:cs="Arial" w:eastAsia="Arial" w:hAnsi="Arial"/>
                  <w:sz w:val="18"/>
                  <w:szCs w:val="18"/>
                  <w:color w:val="0000EE"/>
                  <w:w w:val="84"/>
                </w:rPr>
                <w:t>2014</w:t>
              </w:r>
            </w:hyperlink>
          </w:p>
        </w:tc>
        <w:tc>
          <w:tcPr>
            <w:tcW w:w="136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1080" w:type="dxa"/>
            <w:vAlign w:val="bottom"/>
            <w:tcBorders>
              <w:top w:val="single" w:sz="8" w:color="0000EE"/>
            </w:tcBorders>
            <w:shd w:val="clear" w:color="auto" w:fill="CCEEFF"/>
          </w:tcPr>
          <w:p>
            <w:pPr>
              <w:spacing w:after="0"/>
              <w:rPr>
                <w:sz w:val="17"/>
                <w:szCs w:val="17"/>
                <w:color w:val="auto"/>
              </w:rPr>
            </w:pPr>
          </w:p>
        </w:tc>
        <w:tc>
          <w:tcPr>
            <w:tcW w:w="2220" w:type="dxa"/>
            <w:vAlign w:val="bottom"/>
            <w:tcBorders>
              <w:top w:val="single" w:sz="8" w:color="0000EE"/>
            </w:tcBorders>
            <w:shd w:val="clear" w:color="auto" w:fill="CCEEFF"/>
          </w:tcPr>
          <w:p>
            <w:pPr>
              <w:spacing w:after="0"/>
              <w:rPr>
                <w:sz w:val="17"/>
                <w:szCs w:val="17"/>
                <w:color w:val="auto"/>
              </w:rPr>
            </w:pPr>
          </w:p>
        </w:tc>
        <w:tc>
          <w:tcPr>
            <w:tcW w:w="340" w:type="dxa"/>
            <w:vAlign w:val="bottom"/>
            <w:tcBorders>
              <w:top w:val="single" w:sz="8" w:color="0000EE"/>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F-2</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Consolidated Statements of Operations for the years ended December 31, 2015, December 31,</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6780" w:type="dxa"/>
            <w:vAlign w:val="bottom"/>
            <w:tcBorders>
              <w:top w:val="single" w:sz="8" w:color="0000EE"/>
            </w:tcBorders>
            <w:gridSpan w:val="9"/>
          </w:tcPr>
          <w:p>
            <w:pPr>
              <w:ind w:left="180"/>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2014 and December 31, 2013</w:t>
              </w:r>
            </w:hyperlink>
          </w:p>
        </w:tc>
        <w:tc>
          <w:tcPr>
            <w:tcW w:w="8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F-3</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w w:val="92"/>
              </w:rPr>
            </w:pPr>
            <w:hyperlink w:anchor="page94">
              <w:r>
                <w:rPr>
                  <w:rFonts w:ascii="Arial" w:cs="Arial" w:eastAsia="Arial" w:hAnsi="Arial"/>
                  <w:sz w:val="18"/>
                  <w:szCs w:val="18"/>
                  <w:color w:val="0000EE"/>
                  <w:w w:val="92"/>
                </w:rPr>
                <w:t>Consolidated Statements of Changes in Net Assets for the years ended December 31, 2015, December</w:t>
              </w:r>
            </w:hyperlink>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7360" w:type="dxa"/>
            <w:vAlign w:val="bottom"/>
            <w:tcBorders>
              <w:top w:val="single" w:sz="8" w:color="0000EE"/>
            </w:tcBorders>
            <w:gridSpan w:val="11"/>
            <w:shd w:val="clear" w:color="auto" w:fill="CCEEFF"/>
          </w:tcPr>
          <w:p>
            <w:pPr>
              <w:ind w:left="180"/>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31, 2014 and December 31, 2013</w:t>
              </w:r>
            </w:hyperlink>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F-4</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w w:val="94"/>
              </w:rPr>
            </w:pPr>
            <w:hyperlink w:anchor="page95">
              <w:r>
                <w:rPr>
                  <w:rFonts w:ascii="Arial" w:cs="Arial" w:eastAsia="Arial" w:hAnsi="Arial"/>
                  <w:sz w:val="18"/>
                  <w:szCs w:val="18"/>
                  <w:color w:val="0000EE"/>
                  <w:w w:val="94"/>
                </w:rPr>
                <w:t>Consolidated Statements of Cash Flows for the years ended December 31, 2015, December 31, 2014</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240" w:type="dxa"/>
            <w:vAlign w:val="bottom"/>
            <w:tcBorders>
              <w:top w:val="single" w:sz="8" w:color="0000EE"/>
            </w:tcBorders>
            <w:gridSpan w:val="10"/>
          </w:tcPr>
          <w:p>
            <w:pPr>
              <w:ind w:left="18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and December 31, 2013</w:t>
              </w:r>
            </w:hyperlink>
          </w:p>
        </w:tc>
        <w:tc>
          <w:tcPr>
            <w:tcW w:w="4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6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F-5</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660" w:type="dxa"/>
            <w:vAlign w:val="bottom"/>
            <w:gridSpan w:val="12"/>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Schedules of Investments as of December 31, 2015 and December 31, 2014</w:t>
              </w:r>
            </w:hyperlink>
          </w:p>
        </w:tc>
        <w:tc>
          <w:tcPr>
            <w:tcW w:w="140" w:type="dxa"/>
            <w:vAlign w:val="bottom"/>
            <w:shd w:val="clear" w:color="auto" w:fill="CCEEFF"/>
          </w:tcPr>
          <w:p>
            <w:pPr>
              <w:spacing w:after="0"/>
              <w:rPr>
                <w:sz w:val="15"/>
                <w:szCs w:val="15"/>
                <w:color w:val="auto"/>
              </w:rPr>
            </w:pPr>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F-6</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660" w:type="dxa"/>
            <w:vAlign w:val="bottom"/>
            <w:gridSpan w:val="12"/>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Notes to Consolidated Financial Statements</w:t>
              </w:r>
            </w:hyperlink>
          </w:p>
        </w:tc>
        <w:tc>
          <w:tcPr>
            <w:tcW w:w="140" w:type="dxa"/>
            <w:vAlign w:val="bottom"/>
          </w:tcPr>
          <w:p>
            <w:pPr>
              <w:spacing w:after="0"/>
              <w:rPr>
                <w:sz w:val="15"/>
                <w:szCs w:val="15"/>
                <w:color w:val="auto"/>
              </w:rPr>
            </w:pPr>
          </w:p>
        </w:tc>
        <w:tc>
          <w:tcPr>
            <w:tcW w:w="400" w:type="dxa"/>
            <w:vAlign w:val="bottom"/>
            <w:gridSpan w:val="2"/>
          </w:tcPr>
          <w:p>
            <w:pPr>
              <w:jc w:val="right"/>
              <w:ind w:right="60"/>
              <w:spacing w:after="0" w:line="176"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F-19</w:t>
              </w:r>
            </w:hyperlink>
          </w:p>
        </w:tc>
        <w:tc>
          <w:tcPr>
            <w:tcW w:w="1260" w:type="dxa"/>
            <w:vAlign w:val="bottom"/>
          </w:tcPr>
          <w:p>
            <w:pPr>
              <w:spacing w:after="0"/>
              <w:rPr>
                <w:sz w:val="15"/>
                <w:szCs w:val="15"/>
                <w:color w:val="auto"/>
              </w:rPr>
            </w:pPr>
          </w:p>
        </w:tc>
      </w:tr>
      <w:tr>
        <w:trPr>
          <w:trHeight w:val="804"/>
        </w:trPr>
        <w:tc>
          <w:tcPr>
            <w:tcW w:w="140" w:type="dxa"/>
            <w:vAlign w:val="bottom"/>
          </w:tcPr>
          <w:p>
            <w:pPr>
              <w:spacing w:after="0"/>
              <w:rPr>
                <w:sz w:val="24"/>
                <w:szCs w:val="24"/>
                <w:color w:val="auto"/>
              </w:rPr>
            </w:pPr>
          </w:p>
        </w:tc>
        <w:tc>
          <w:tcPr>
            <w:tcW w:w="3140" w:type="dxa"/>
            <w:vAlign w:val="bottom"/>
            <w:tcBorders>
              <w:top w:val="single" w:sz="8" w:color="0000EE"/>
            </w:tcBorders>
            <w:gridSpan w:val="6"/>
          </w:tcPr>
          <w:p>
            <w:pPr>
              <w:spacing w:after="0"/>
              <w:rPr>
                <w:sz w:val="24"/>
                <w:szCs w:val="24"/>
                <w:color w:val="auto"/>
              </w:rPr>
            </w:pPr>
          </w:p>
        </w:tc>
        <w:tc>
          <w:tcPr>
            <w:tcW w:w="3300" w:type="dxa"/>
            <w:vAlign w:val="bottom"/>
            <w:gridSpan w:val="2"/>
          </w:tcPr>
          <w:p>
            <w:pPr>
              <w:jc w:val="right"/>
              <w:ind w:right="1700"/>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0" w:right="3059" w:firstLine="2474"/>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Capitala Finance Corp.</w:t>
      </w:r>
    </w:p>
    <w:p>
      <w:pPr>
        <w:ind w:left="40" w:right="579"/>
        <w:spacing w:after="0" w:line="297" w:lineRule="auto"/>
        <w:rPr>
          <w:sz w:val="20"/>
          <w:szCs w:val="20"/>
          <w:color w:val="auto"/>
        </w:rPr>
      </w:pPr>
      <w:r>
        <w:rPr>
          <w:rFonts w:ascii="Arial" w:cs="Arial" w:eastAsia="Arial" w:hAnsi="Arial"/>
          <w:sz w:val="16"/>
          <w:szCs w:val="16"/>
          <w:color w:val="auto"/>
        </w:rPr>
        <w:t>We have audited the accompanying consolidated statements of assets and liabilities of Capitala Finance Corp. (the Company), including the consolidated schedules of investments, as of December 31, 2015 and 2014, and the related consolidated statements of operations, changes in net assets, and cash flows and the financial highlights for each of the three years in the period ended December 31, 2015. These financial statements and financial highlights are the responsibility of the Company's management. Our responsibility is to express an opinion on these financial statements and financial highlights based on our audits.</w:t>
      </w:r>
    </w:p>
    <w:p>
      <w:pPr>
        <w:spacing w:after="0" w:line="50" w:lineRule="exact"/>
        <w:rPr>
          <w:sz w:val="20"/>
          <w:szCs w:val="20"/>
          <w:color w:val="auto"/>
        </w:rPr>
      </w:pPr>
    </w:p>
    <w:p>
      <w:pPr>
        <w:ind w:left="40" w:right="619"/>
        <w:spacing w:after="0" w:line="28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and financial highlights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and financial highlights. An audit also includes assessing the accounting principles used and significant estimates made by management, as well as evaluating the overall financial statement presentation. Our procedures included confirmation of securities owned as of December 31, 2015 and 2014 by correspondence with the custodian and directly with management or designees of the portfolio companies, as applicable. We believe that our audits provide a reasonable basis for our opinion.</w:t>
      </w:r>
    </w:p>
    <w:p>
      <w:pPr>
        <w:spacing w:after="0" w:line="65" w:lineRule="exact"/>
        <w:rPr>
          <w:sz w:val="20"/>
          <w:szCs w:val="20"/>
          <w:color w:val="auto"/>
        </w:rPr>
      </w:pPr>
    </w:p>
    <w:p>
      <w:pPr>
        <w:ind w:left="40" w:right="1079"/>
        <w:spacing w:after="0" w:line="279" w:lineRule="auto"/>
        <w:rPr>
          <w:sz w:val="20"/>
          <w:szCs w:val="20"/>
          <w:color w:val="auto"/>
        </w:rPr>
      </w:pPr>
      <w:r>
        <w:rPr>
          <w:rFonts w:ascii="Arial" w:cs="Arial" w:eastAsia="Arial" w:hAnsi="Arial"/>
          <w:sz w:val="17"/>
          <w:szCs w:val="17"/>
          <w:color w:val="auto"/>
        </w:rPr>
        <w:t>In our opinion, the financial statements and financial highlights referred to above present fairly, in all material respects, the consolidated financial position of Capitala Finance Corp. at December 31, 2015 and 2014, and the consolidated results of its operations, changes in its net assets, its cash flows and its financial highlights for each of the three years in the period ended December 31, 2015, in conformity with U.S. generally accepted accounting principles.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8, 2016</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Charlotte, North Carolina</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8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8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200"/>
              <w:spacing w:after="0" w:line="201" w:lineRule="exact"/>
              <w:rPr>
                <w:sz w:val="20"/>
                <w:szCs w:val="20"/>
                <w:color w:val="auto"/>
              </w:rPr>
            </w:pPr>
            <w:r>
              <w:rPr>
                <w:rFonts w:ascii="Arial" w:cs="Arial" w:eastAsia="Arial" w:hAnsi="Arial"/>
                <w:sz w:val="18"/>
                <w:szCs w:val="18"/>
                <w:color w:val="auto"/>
              </w:rPr>
              <w:t>Non-control/non-affiliate investments (amortized cost of $391,031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80"/>
              <w:spacing w:after="0"/>
              <w:rPr>
                <w:sz w:val="20"/>
                <w:szCs w:val="20"/>
                <w:color w:val="auto"/>
              </w:rPr>
            </w:pPr>
            <w:r>
              <w:rPr>
                <w:rFonts w:ascii="Arial" w:cs="Arial" w:eastAsia="Arial" w:hAnsi="Arial"/>
                <w:sz w:val="18"/>
                <w:szCs w:val="18"/>
                <w:color w:val="auto"/>
              </w:rPr>
              <w:t>$219,163,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404,513</w:t>
            </w: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236,804</w:t>
            </w: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Affiliate investments (amortized cost of $99,290 and $154,552,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117,350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171,471</w:t>
            </w: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Control investments (amortized cost of $79,866 and $67,440, respectively)</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70,593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72,062</w:t>
            </w:r>
          </w:p>
        </w:tc>
        <w:tc>
          <w:tcPr>
            <w:tcW w:w="0" w:type="dxa"/>
            <w:vAlign w:val="bottom"/>
          </w:tcPr>
          <w:p>
            <w:pPr>
              <w:spacing w:after="0"/>
              <w:rPr>
                <w:sz w:val="1"/>
                <w:szCs w:val="1"/>
                <w:color w:val="auto"/>
              </w:rPr>
            </w:pPr>
          </w:p>
        </w:tc>
      </w:tr>
      <w:tr>
        <w:trPr>
          <w:trHeight w:val="195"/>
        </w:trPr>
        <w:tc>
          <w:tcPr>
            <w:tcW w:w="620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Total investments at fair value (amortized cost of $570,187 and $441,155,</w:t>
            </w: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592,456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480,337</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34,105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55,107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dividend receivable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Due from related parties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632,818</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539,864</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SBA debentures (net of deferred financing costs of $3,537 and $4,192,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2"/>
              </w:rPr>
              <w:t>180,663</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188,008</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Notes (net of deferred financing costs of $3,583 and $4,101, respectively)</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109,855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109,337</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Credit Facility (net of deferred financing costs of $1,649 and $1,709, respectively)</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68,351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Due to related parties</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incentive fee payable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Interest and financing fees payable</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2,987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364,016</w:t>
            </w: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299,027</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2)</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stock, par value $.01, 100,000,000 common shares authorized,</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15,777,345 and 12,974,420 common shares issued and outstanding,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158</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w w:val="92"/>
              </w:rPr>
              <w:t>239,104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188,408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undistributed net investment income</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8,570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Accumulated undistributed net realized gain/(loss) from investments</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unrealized appreciation on investments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39,182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200"/>
              <w:spacing w:after="0"/>
              <w:rPr>
                <w:sz w:val="20"/>
                <w:szCs w:val="20"/>
                <w:color w:val="auto"/>
              </w:rPr>
            </w:pPr>
            <w:r>
              <w:rPr>
                <w:rFonts w:ascii="Arial" w:cs="Arial" w:eastAsia="Arial" w:hAnsi="Arial"/>
                <w:sz w:val="18"/>
                <w:szCs w:val="18"/>
                <w:color w:val="auto"/>
              </w:rPr>
              <w:t>Total net assets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268,802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240,837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632,818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539,864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200" w:type="dxa"/>
            <w:vAlign w:val="bottom"/>
          </w:tcPr>
          <w:p>
            <w:pPr>
              <w:ind w:left="20"/>
              <w:spacing w:after="0"/>
              <w:rPr>
                <w:sz w:val="20"/>
                <w:szCs w:val="20"/>
                <w:color w:val="auto"/>
              </w:rPr>
            </w:pPr>
            <w:r>
              <w:rPr>
                <w:rFonts w:ascii="Arial" w:cs="Arial" w:eastAsia="Arial" w:hAnsi="Arial"/>
                <w:sz w:val="18"/>
                <w:szCs w:val="18"/>
                <w:color w:val="auto"/>
              </w:rPr>
              <w:t>Net asset value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17.04</w:t>
            </w: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-2992755</wp:posOffset>
            </wp:positionV>
            <wp:extent cx="5213985"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-1723390</wp:posOffset>
            </wp:positionV>
            <wp:extent cx="5213985"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-471805</wp:posOffset>
            </wp:positionV>
            <wp:extent cx="5213985"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2" w:name="page93"/>
    <w:bookmarkEnd w:id="9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96"/>
        </w:trPr>
        <w:tc>
          <w:tcPr>
            <w:tcW w:w="4960" w:type="dxa"/>
            <w:vAlign w:val="bottom"/>
            <w:vMerge w:val="restart"/>
          </w:tcPr>
          <w:p>
            <w:pPr>
              <w:ind w:left="20"/>
              <w:spacing w:after="0"/>
              <w:rPr>
                <w:sz w:val="20"/>
                <w:szCs w:val="20"/>
                <w:color w:val="auto"/>
              </w:rPr>
            </w:pPr>
            <w:r>
              <w:rPr>
                <w:rFonts w:ascii="Arial" w:cs="Arial" w:eastAsia="Arial" w:hAnsi="Arial"/>
                <w:sz w:val="18"/>
                <w:szCs w:val="18"/>
                <w:color w:val="auto"/>
              </w:rPr>
              <w:t>INVESTMENT INCOME</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fee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39,535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12,688</w:t>
            </w: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Control investments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interest and fee income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25,777</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Payment-in-kind interest and dividend income:</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Affiliate investments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Total payment-in-kind interest and dividend income</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income:</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Control investments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dividend income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cash and cash equivalents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Total investment income</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63,976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35,433</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Interest and financing expenses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management fee</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Incentive fees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Expenses before fee waivers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39,707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16,282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Incentive fee waiver (See Note 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Management fee waiver (See Note 7)</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expenses, net of fee waivers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15,949</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25,327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19,966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19,484</w:t>
            </w:r>
          </w:p>
        </w:tc>
        <w:tc>
          <w:tcPr>
            <w:tcW w:w="0" w:type="dxa"/>
            <w:vAlign w:val="bottom"/>
          </w:tcPr>
          <w:p>
            <w:pPr>
              <w:spacing w:after="0"/>
              <w:rPr>
                <w:sz w:val="1"/>
                <w:szCs w:val="1"/>
                <w:color w:val="auto"/>
              </w:rPr>
            </w:pPr>
          </w:p>
        </w:tc>
      </w:tr>
      <w:tr>
        <w:trPr>
          <w:trHeight w:val="195"/>
        </w:trPr>
        <w:tc>
          <w:tcPr>
            <w:tcW w:w="49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REALIZED AND UNREALIZED GAIN (LOSS) ON</w:t>
            </w: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8"/>
                <w:szCs w:val="18"/>
                <w:color w:val="auto"/>
              </w:rPr>
              <w:t>Net realized gain (loss) from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Affiliate investments</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Total realized gain from investments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appreciation/(depreciation) on investments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ind w:left="200"/>
              <w:spacing w:after="0"/>
              <w:rPr>
                <w:sz w:val="20"/>
                <w:szCs w:val="20"/>
                <w:color w:val="auto"/>
              </w:rPr>
            </w:pPr>
            <w:r>
              <w:rPr>
                <w:rFonts w:ascii="Arial" w:cs="Arial" w:eastAsia="Arial" w:hAnsi="Arial"/>
                <w:sz w:val="18"/>
                <w:szCs w:val="18"/>
                <w:color w:val="auto"/>
              </w:rPr>
              <w:t>Net gain (loss) on investments</w:t>
            </w: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195"/>
        </w:trPr>
        <w:tc>
          <w:tcPr>
            <w:tcW w:w="49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8"/>
              </w:rPr>
              <w:t>NET INCREASE (DECREASE) IN NET ASSETS RESULTING</w:t>
            </w: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28,858</w:t>
            </w:r>
          </w:p>
        </w:tc>
        <w:tc>
          <w:tcPr>
            <w:tcW w:w="0" w:type="dxa"/>
            <w:vAlign w:val="bottom"/>
          </w:tcPr>
          <w:p>
            <w:pPr>
              <w:spacing w:after="0"/>
              <w:rPr>
                <w:sz w:val="1"/>
                <w:szCs w:val="1"/>
                <w:color w:val="auto"/>
              </w:rPr>
            </w:pPr>
          </w:p>
        </w:tc>
      </w:tr>
      <w:tr>
        <w:trPr>
          <w:trHeight w:val="195"/>
        </w:trPr>
        <w:tc>
          <w:tcPr>
            <w:tcW w:w="496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8"/>
              </w:rPr>
              <w:t>NET INCREASE (DECREASE) IN NET ASSETS PER SHARE</w:t>
            </w: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RESULTING FROM OPERATIONS – BASIC AND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WEIGHTED AVERAGE COMMON STOCK OUTSTANDING –</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15,210,577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12,974,420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12,974,420</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DISTRIBUTIONS PAID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-5659755</wp:posOffset>
            </wp:positionV>
            <wp:extent cx="5213985"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-5102225</wp:posOffset>
            </wp:positionV>
            <wp:extent cx="521398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-4253230</wp:posOffset>
            </wp:positionV>
            <wp:extent cx="521398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-3961765</wp:posOffset>
            </wp:positionV>
            <wp:extent cx="521398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-3121660</wp:posOffset>
            </wp:positionV>
            <wp:extent cx="5213985"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-2555240</wp:posOffset>
            </wp:positionV>
            <wp:extent cx="5213985"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-1577975</wp:posOffset>
            </wp:positionV>
            <wp:extent cx="5213985"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-1294765</wp:posOffset>
            </wp:positionV>
            <wp:extent cx="5213985"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-866140</wp:posOffset>
            </wp:positionV>
            <wp:extent cx="5213985" cy="4457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3985" cy="4457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3" w:name="page94"/>
    <w:bookmarkEnd w:id="9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062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629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062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5"/>
            <w:vMerge w:val="restart"/>
          </w:tcPr>
          <w:p>
            <w:pPr>
              <w:jc w:val="right"/>
              <w:ind w:right="24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tcBorders>
              <w:bottom w:val="single" w:sz="8" w:color="auto"/>
            </w:tcBorders>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940" w:type="dxa"/>
            <w:vAlign w:val="bottom"/>
            <w:gridSpan w:val="2"/>
          </w:tcPr>
          <w:p>
            <w:pPr>
              <w:jc w:val="center"/>
              <w:ind w:right="140"/>
              <w:spacing w:after="0" w:line="115" w:lineRule="exact"/>
              <w:rPr>
                <w:sz w:val="20"/>
                <w:szCs w:val="20"/>
                <w:color w:val="auto"/>
              </w:rPr>
            </w:pPr>
            <w:r>
              <w:rPr>
                <w:rFonts w:ascii="Arial" w:cs="Arial" w:eastAsia="Arial" w:hAnsi="Arial"/>
                <w:sz w:val="13"/>
                <w:szCs w:val="13"/>
                <w:b w:val="1"/>
                <w:bCs w:val="1"/>
                <w:color w:val="auto"/>
                <w:w w:val="89"/>
              </w:rPr>
              <w:t>Undistributed</w:t>
            </w:r>
          </w:p>
        </w:tc>
        <w:tc>
          <w:tcPr>
            <w:tcW w:w="80" w:type="dxa"/>
            <w:vAlign w:val="bottom"/>
          </w:tcPr>
          <w:p>
            <w:pPr>
              <w:spacing w:after="0"/>
              <w:rPr>
                <w:sz w:val="10"/>
                <w:szCs w:val="10"/>
                <w:color w:val="auto"/>
              </w:rPr>
            </w:pPr>
          </w:p>
        </w:tc>
        <w:tc>
          <w:tcPr>
            <w:tcW w:w="96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88"/>
              </w:rPr>
              <w:t>Net Unrealized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Undistributed</w:t>
            </w:r>
          </w:p>
        </w:tc>
        <w:tc>
          <w:tcPr>
            <w:tcW w:w="100" w:type="dxa"/>
            <w:vAlign w:val="bottom"/>
          </w:tcPr>
          <w:p>
            <w:pPr>
              <w:spacing w:after="0"/>
              <w:rPr>
                <w:sz w:val="11"/>
                <w:szCs w:val="11"/>
                <w:color w:val="auto"/>
              </w:rPr>
            </w:pP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Net Realized</w:t>
            </w:r>
          </w:p>
        </w:tc>
        <w:tc>
          <w:tcPr>
            <w:tcW w:w="8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Appreciation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600" w:type="dxa"/>
            <w:vAlign w:val="bottom"/>
            <w:gridSpan w:val="3"/>
          </w:tcPr>
          <w:p>
            <w:pPr>
              <w:jc w:val="right"/>
              <w:ind w:right="100"/>
              <w:spacing w:after="0" w:line="135" w:lineRule="exact"/>
              <w:rPr>
                <w:sz w:val="20"/>
                <w:szCs w:val="20"/>
                <w:color w:val="auto"/>
              </w:rPr>
            </w:pPr>
            <w:r>
              <w:rPr>
                <w:rFonts w:ascii="Arial" w:cs="Arial" w:eastAsia="Arial" w:hAnsi="Arial"/>
                <w:sz w:val="13"/>
                <w:szCs w:val="13"/>
                <w:b w:val="1"/>
                <w:bCs w:val="1"/>
                <w:color w:val="auto"/>
                <w:w w:val="99"/>
              </w:rPr>
              <w:t>General</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99"/>
              </w:rPr>
              <w:t>Limited</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1"/>
                <w:szCs w:val="11"/>
                <w:color w:val="auto"/>
              </w:rPr>
            </w:pPr>
          </w:p>
        </w:tc>
        <w:tc>
          <w:tcPr>
            <w:tcW w:w="40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Paid in</w:t>
            </w:r>
          </w:p>
        </w:tc>
        <w:tc>
          <w:tcPr>
            <w:tcW w:w="8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Net Investment</w:t>
            </w:r>
          </w:p>
        </w:tc>
        <w:tc>
          <w:tcPr>
            <w:tcW w:w="100" w:type="dxa"/>
            <w:vAlign w:val="bottom"/>
          </w:tcPr>
          <w:p>
            <w:pPr>
              <w:spacing w:after="0"/>
              <w:rPr>
                <w:sz w:val="11"/>
                <w:szCs w:val="11"/>
                <w:color w:val="auto"/>
              </w:rPr>
            </w:pP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Gains</w:t>
            </w:r>
          </w:p>
        </w:tc>
        <w:tc>
          <w:tcPr>
            <w:tcW w:w="8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(Depreciation)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BALANCE, December 31, 2012</w:t>
            </w:r>
          </w:p>
        </w:tc>
        <w:tc>
          <w:tcPr>
            <w:tcW w:w="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Partner</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w w:val="90"/>
              </w:rPr>
              <w:t>Partners</w:t>
            </w: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80"/>
              </w:rPr>
              <w:t>Value</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2"/>
              </w:rPr>
              <w:t>(Losses)</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3"/>
              </w:rPr>
              <w:t>on Investments</w:t>
            </w:r>
          </w:p>
        </w:tc>
        <w:tc>
          <w:tcPr>
            <w:tcW w:w="6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400" w:type="dxa"/>
            <w:vAlign w:val="bottom"/>
            <w:vMerge w:val="continue"/>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282</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77,358</w:t>
            </w: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8,560</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56,233</w:t>
            </w: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2"/>
              </w:rPr>
              <w:t>$142,433</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Partners’ capital contributions</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24,852</w:t>
            </w:r>
          </w:p>
        </w:tc>
        <w:tc>
          <w:tcPr>
            <w:tcW w:w="8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24,852</w:t>
            </w: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Distribution to partners</w:t>
            </w:r>
          </w:p>
        </w:tc>
        <w:tc>
          <w:tcPr>
            <w:tcW w:w="12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(5,186)</w:t>
            </w:r>
          </w:p>
        </w:tc>
        <w:tc>
          <w:tcPr>
            <w:tcW w:w="1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(2,235)</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Formation transactions</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(282)</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(102,210)</w:t>
            </w:r>
          </w:p>
        </w:tc>
        <w:tc>
          <w:tcPr>
            <w:tcW w:w="8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8,974,420</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114,198</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11,796</w:t>
            </w: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Public offering of common stock</w:t>
            </w:r>
          </w:p>
        </w:tc>
        <w:tc>
          <w:tcPr>
            <w:tcW w:w="12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4,000,000</w:t>
            </w:r>
          </w:p>
        </w:tc>
        <w:tc>
          <w:tcPr>
            <w:tcW w:w="8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74,210</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74,250</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19,484</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19,484</w:t>
            </w:r>
          </w:p>
        </w:tc>
        <w:tc>
          <w:tcPr>
            <w:tcW w:w="0" w:type="dxa"/>
            <w:vAlign w:val="bottom"/>
          </w:tcPr>
          <w:p>
            <w:pPr>
              <w:spacing w:after="0"/>
              <w:rPr>
                <w:sz w:val="1"/>
                <w:szCs w:val="1"/>
                <w:color w:val="auto"/>
              </w:rPr>
            </w:pPr>
          </w:p>
        </w:tc>
      </w:tr>
      <w:tr>
        <w:trPr>
          <w:trHeight w:val="130"/>
        </w:trPr>
        <w:tc>
          <w:tcPr>
            <w:tcW w:w="2400" w:type="dxa"/>
            <w:vAlign w:val="bottom"/>
          </w:tcPr>
          <w:p>
            <w:pPr>
              <w:ind w:left="200"/>
              <w:spacing w:after="0" w:line="130" w:lineRule="exact"/>
              <w:rPr>
                <w:sz w:val="20"/>
                <w:szCs w:val="20"/>
                <w:color w:val="auto"/>
              </w:rPr>
            </w:pPr>
            <w:r>
              <w:rPr>
                <w:rFonts w:ascii="Arial" w:cs="Arial" w:eastAsia="Arial" w:hAnsi="Arial"/>
                <w:sz w:val="14"/>
                <w:szCs w:val="14"/>
                <w:color w:val="auto"/>
              </w:rPr>
              <w:t>Net realized gain from</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380"/>
              <w:spacing w:after="0"/>
              <w:rPr>
                <w:sz w:val="20"/>
                <w:szCs w:val="20"/>
                <w:color w:val="auto"/>
              </w:rPr>
            </w:pPr>
            <w:r>
              <w:rPr>
                <w:rFonts w:ascii="Arial" w:cs="Arial" w:eastAsia="Arial" w:hAnsi="Arial"/>
                <w:sz w:val="14"/>
                <w:szCs w:val="14"/>
                <w:color w:val="auto"/>
              </w:rPr>
              <w:t>investments</w:t>
            </w:r>
          </w:p>
        </w:tc>
        <w:tc>
          <w:tcPr>
            <w:tcW w:w="1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2,187</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130"/>
        </w:trPr>
        <w:tc>
          <w:tcPr>
            <w:tcW w:w="24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change in unrealized</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appreciation/(depreciation) on</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portfolio investments</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7,187</w:t>
            </w: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Distributions declared</w:t>
            </w:r>
          </w:p>
        </w:tc>
        <w:tc>
          <w:tcPr>
            <w:tcW w:w="12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(6,098)</w:t>
            </w: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(6,098)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2013</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6"/>
              </w:rPr>
              <w:t>12,974,420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4"/>
              </w:rPr>
              <w:t>130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188,408</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16,760</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63,420</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2"/>
              </w:rPr>
              <w:t>$268,670</w:t>
            </w: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19,966</w:t>
            </w: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19,966</w:t>
            </w:r>
          </w:p>
        </w:tc>
        <w:tc>
          <w:tcPr>
            <w:tcW w:w="0" w:type="dxa"/>
            <w:vAlign w:val="bottom"/>
          </w:tcPr>
          <w:p>
            <w:pPr>
              <w:spacing w:after="0"/>
              <w:rPr>
                <w:sz w:val="1"/>
                <w:szCs w:val="1"/>
                <w:color w:val="auto"/>
              </w:rPr>
            </w:pPr>
          </w:p>
        </w:tc>
      </w:tr>
      <w:tr>
        <w:trPr>
          <w:trHeight w:val="130"/>
        </w:trPr>
        <w:tc>
          <w:tcPr>
            <w:tcW w:w="24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realized gain from</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832</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30"/>
        </w:trPr>
        <w:tc>
          <w:tcPr>
            <w:tcW w:w="2400" w:type="dxa"/>
            <w:vAlign w:val="bottom"/>
          </w:tcPr>
          <w:p>
            <w:pPr>
              <w:ind w:left="200"/>
              <w:spacing w:after="0" w:line="130" w:lineRule="exact"/>
              <w:rPr>
                <w:sz w:val="20"/>
                <w:szCs w:val="20"/>
                <w:color w:val="auto"/>
              </w:rPr>
            </w:pPr>
            <w:r>
              <w:rPr>
                <w:rFonts w:ascii="Arial" w:cs="Arial" w:eastAsia="Arial" w:hAnsi="Arial"/>
                <w:sz w:val="14"/>
                <w:szCs w:val="14"/>
                <w:color w:val="auto"/>
              </w:rPr>
              <w:t>Net change in unrealized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380"/>
              <w:spacing w:after="0" w:line="149" w:lineRule="exact"/>
              <w:rPr>
                <w:sz w:val="20"/>
                <w:szCs w:val="20"/>
                <w:color w:val="auto"/>
              </w:rPr>
            </w:pPr>
            <w:r>
              <w:rPr>
                <w:rFonts w:ascii="Arial" w:cs="Arial" w:eastAsia="Arial" w:hAnsi="Arial"/>
                <w:sz w:val="14"/>
                <w:szCs w:val="14"/>
                <w:color w:val="auto"/>
              </w:rPr>
              <w:t>appreciation/(depreciation) on</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380"/>
              <w:spacing w:after="0"/>
              <w:rPr>
                <w:sz w:val="20"/>
                <w:szCs w:val="20"/>
                <w:color w:val="auto"/>
              </w:rPr>
            </w:pPr>
            <w:r>
              <w:rPr>
                <w:rFonts w:ascii="Arial" w:cs="Arial" w:eastAsia="Arial" w:hAnsi="Arial"/>
                <w:sz w:val="14"/>
                <w:szCs w:val="14"/>
                <w:color w:val="auto"/>
              </w:rPr>
              <w:t>portfolio investments</w:t>
            </w:r>
          </w:p>
        </w:tc>
        <w:tc>
          <w:tcPr>
            <w:tcW w:w="1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(24,238)</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(24,238)</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declared</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(24,393)</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(24,393)</w:t>
            </w:r>
          </w:p>
        </w:tc>
        <w:tc>
          <w:tcPr>
            <w:tcW w:w="0" w:type="dxa"/>
            <w:vAlign w:val="bottom"/>
          </w:tcPr>
          <w:p>
            <w:pPr>
              <w:spacing w:after="0"/>
              <w:rPr>
                <w:sz w:val="1"/>
                <w:szCs w:val="1"/>
                <w:color w:val="auto"/>
              </w:rPr>
            </w:pPr>
          </w:p>
        </w:tc>
      </w:tr>
      <w:tr>
        <w:trPr>
          <w:trHeight w:val="130"/>
        </w:trPr>
        <w:tc>
          <w:tcPr>
            <w:tcW w:w="2400" w:type="dxa"/>
            <w:vAlign w:val="bottom"/>
          </w:tcPr>
          <w:p>
            <w:pPr>
              <w:ind w:left="200"/>
              <w:spacing w:after="0" w:line="130" w:lineRule="exact"/>
              <w:rPr>
                <w:sz w:val="20"/>
                <w:szCs w:val="20"/>
                <w:color w:val="auto"/>
              </w:rPr>
            </w:pPr>
            <w:r>
              <w:rPr>
                <w:rFonts w:ascii="Arial" w:cs="Arial" w:eastAsia="Arial" w:hAnsi="Arial"/>
                <w:sz w:val="14"/>
                <w:szCs w:val="14"/>
                <w:color w:val="auto"/>
                <w:w w:val="98"/>
              </w:rPr>
              <w:t>Tax reclassification of stockholders’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380"/>
              <w:spacing w:after="0" w:line="149" w:lineRule="exact"/>
              <w:rPr>
                <w:sz w:val="20"/>
                <w:szCs w:val="20"/>
                <w:color w:val="auto"/>
              </w:rPr>
            </w:pPr>
            <w:r>
              <w:rPr>
                <w:rFonts w:ascii="Arial" w:cs="Arial" w:eastAsia="Arial" w:hAnsi="Arial"/>
                <w:sz w:val="14"/>
                <w:szCs w:val="14"/>
                <w:color w:val="auto"/>
              </w:rPr>
              <w:t>equity in accordance with</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380"/>
              <w:spacing w:after="0" w:line="149" w:lineRule="exact"/>
              <w:rPr>
                <w:sz w:val="20"/>
                <w:szCs w:val="20"/>
                <w:color w:val="auto"/>
              </w:rPr>
            </w:pPr>
            <w:r>
              <w:rPr>
                <w:rFonts w:ascii="Arial" w:cs="Arial" w:eastAsia="Arial" w:hAnsi="Arial"/>
                <w:sz w:val="14"/>
                <w:szCs w:val="14"/>
                <w:color w:val="auto"/>
              </w:rPr>
              <w:t>generally accepted accounting</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380"/>
              <w:spacing w:after="0"/>
              <w:rPr>
                <w:sz w:val="20"/>
                <w:szCs w:val="20"/>
                <w:color w:val="auto"/>
              </w:rPr>
            </w:pPr>
            <w:r>
              <w:rPr>
                <w:rFonts w:ascii="Arial" w:cs="Arial" w:eastAsia="Arial" w:hAnsi="Arial"/>
                <w:sz w:val="14"/>
                <w:szCs w:val="14"/>
                <w:color w:val="auto"/>
              </w:rPr>
              <w:t>principles</w:t>
            </w:r>
          </w:p>
        </w:tc>
        <w:tc>
          <w:tcPr>
            <w:tcW w:w="1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2014</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6"/>
              </w:rPr>
              <w:t>12,974,420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4"/>
              </w:rPr>
              <w:t>130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188,408</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12,314</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803</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39,182</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2"/>
              </w:rPr>
              <w:t>$240,837</w:t>
            </w:r>
          </w:p>
        </w:tc>
        <w:tc>
          <w:tcPr>
            <w:tcW w:w="0" w:type="dxa"/>
            <w:vAlign w:val="bottom"/>
          </w:tcPr>
          <w:p>
            <w:pPr>
              <w:spacing w:after="0"/>
              <w:rPr>
                <w:sz w:val="1"/>
                <w:szCs w:val="1"/>
                <w:color w:val="auto"/>
              </w:rPr>
            </w:pPr>
          </w:p>
        </w:tc>
      </w:tr>
      <w:tr>
        <w:trPr>
          <w:trHeight w:val="149"/>
        </w:trPr>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25,327</w:t>
            </w: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25,327</w:t>
            </w:r>
          </w:p>
        </w:tc>
        <w:tc>
          <w:tcPr>
            <w:tcW w:w="0" w:type="dxa"/>
            <w:vAlign w:val="bottom"/>
          </w:tcPr>
          <w:p>
            <w:pPr>
              <w:spacing w:after="0"/>
              <w:rPr>
                <w:sz w:val="1"/>
                <w:szCs w:val="1"/>
                <w:color w:val="auto"/>
              </w:rPr>
            </w:pPr>
          </w:p>
        </w:tc>
      </w:tr>
      <w:tr>
        <w:trPr>
          <w:trHeight w:val="130"/>
        </w:trPr>
        <w:tc>
          <w:tcPr>
            <w:tcW w:w="24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realized gain from</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investments</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5,436</w:t>
            </w:r>
          </w:p>
        </w:tc>
        <w:tc>
          <w:tcPr>
            <w:tcW w:w="80" w:type="dxa"/>
            <w:vAlign w:val="bottom"/>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5,436</w:t>
            </w:r>
          </w:p>
        </w:tc>
        <w:tc>
          <w:tcPr>
            <w:tcW w:w="0" w:type="dxa"/>
            <w:vAlign w:val="bottom"/>
          </w:tcPr>
          <w:p>
            <w:pPr>
              <w:spacing w:after="0"/>
              <w:rPr>
                <w:sz w:val="1"/>
                <w:szCs w:val="1"/>
                <w:color w:val="auto"/>
              </w:rPr>
            </w:pPr>
          </w:p>
        </w:tc>
      </w:tr>
      <w:tr>
        <w:trPr>
          <w:trHeight w:val="130"/>
        </w:trPr>
        <w:tc>
          <w:tcPr>
            <w:tcW w:w="2400" w:type="dxa"/>
            <w:vAlign w:val="bottom"/>
          </w:tcPr>
          <w:p>
            <w:pPr>
              <w:ind w:left="200"/>
              <w:spacing w:after="0" w:line="130" w:lineRule="exact"/>
              <w:rPr>
                <w:sz w:val="20"/>
                <w:szCs w:val="20"/>
                <w:color w:val="auto"/>
              </w:rPr>
            </w:pPr>
            <w:r>
              <w:rPr>
                <w:rFonts w:ascii="Arial" w:cs="Arial" w:eastAsia="Arial" w:hAnsi="Arial"/>
                <w:sz w:val="14"/>
                <w:szCs w:val="14"/>
                <w:color w:val="auto"/>
              </w:rPr>
              <w:t>Net change in unrealized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380"/>
              <w:spacing w:after="0" w:line="149" w:lineRule="exact"/>
              <w:rPr>
                <w:sz w:val="20"/>
                <w:szCs w:val="20"/>
                <w:color w:val="auto"/>
              </w:rPr>
            </w:pPr>
            <w:r>
              <w:rPr>
                <w:rFonts w:ascii="Arial" w:cs="Arial" w:eastAsia="Arial" w:hAnsi="Arial"/>
                <w:sz w:val="14"/>
                <w:szCs w:val="14"/>
                <w:color w:val="auto"/>
              </w:rPr>
              <w:t>appreciation/(depreciation) on</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380"/>
              <w:spacing w:after="0"/>
              <w:rPr>
                <w:sz w:val="20"/>
                <w:szCs w:val="20"/>
                <w:color w:val="auto"/>
              </w:rPr>
            </w:pPr>
            <w:r>
              <w:rPr>
                <w:rFonts w:ascii="Arial" w:cs="Arial" w:eastAsia="Arial" w:hAnsi="Arial"/>
                <w:sz w:val="14"/>
                <w:szCs w:val="14"/>
                <w:color w:val="auto"/>
              </w:rPr>
              <w:t>portfolio investments</w:t>
            </w:r>
          </w:p>
        </w:tc>
        <w:tc>
          <w:tcPr>
            <w:tcW w:w="1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(16,913)</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(16,913)</w:t>
            </w:r>
          </w:p>
        </w:tc>
        <w:tc>
          <w:tcPr>
            <w:tcW w:w="0" w:type="dxa"/>
            <w:vAlign w:val="bottom"/>
          </w:tcPr>
          <w:p>
            <w:pPr>
              <w:spacing w:after="0"/>
              <w:rPr>
                <w:sz w:val="1"/>
                <w:szCs w:val="1"/>
                <w:color w:val="auto"/>
              </w:rPr>
            </w:pPr>
          </w:p>
        </w:tc>
      </w:tr>
      <w:tr>
        <w:trPr>
          <w:trHeight w:val="130"/>
        </w:trPr>
        <w:tc>
          <w:tcPr>
            <w:tcW w:w="24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Issuance of common stock, net</w:t>
            </w: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of offering and underwriting</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costs</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3,500,000</w:t>
            </w:r>
          </w:p>
        </w:tc>
        <w:tc>
          <w:tcPr>
            <w:tcW w:w="8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61,665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61,700</w:t>
            </w:r>
          </w:p>
        </w:tc>
        <w:tc>
          <w:tcPr>
            <w:tcW w:w="0" w:type="dxa"/>
            <w:vAlign w:val="bottom"/>
          </w:tcPr>
          <w:p>
            <w:pPr>
              <w:spacing w:after="0"/>
              <w:rPr>
                <w:sz w:val="1"/>
                <w:szCs w:val="1"/>
                <w:color w:val="auto"/>
              </w:rPr>
            </w:pPr>
          </w:p>
        </w:tc>
      </w:tr>
      <w:tr>
        <w:trPr>
          <w:trHeight w:val="130"/>
        </w:trPr>
        <w:tc>
          <w:tcPr>
            <w:tcW w:w="2400" w:type="dxa"/>
            <w:vAlign w:val="bottom"/>
          </w:tcPr>
          <w:p>
            <w:pPr>
              <w:ind w:left="200"/>
              <w:spacing w:after="0" w:line="130" w:lineRule="exact"/>
              <w:rPr>
                <w:sz w:val="20"/>
                <w:szCs w:val="20"/>
                <w:color w:val="auto"/>
              </w:rPr>
            </w:pPr>
            <w:r>
              <w:rPr>
                <w:rFonts w:ascii="Arial" w:cs="Arial" w:eastAsia="Arial" w:hAnsi="Arial"/>
                <w:sz w:val="14"/>
                <w:szCs w:val="14"/>
                <w:color w:val="auto"/>
              </w:rPr>
              <w:t>Repurchase and retirement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380"/>
              <w:spacing w:after="0" w:line="149" w:lineRule="exact"/>
              <w:rPr>
                <w:sz w:val="20"/>
                <w:szCs w:val="20"/>
                <w:color w:val="auto"/>
              </w:rPr>
            </w:pPr>
            <w:r>
              <w:rPr>
                <w:rFonts w:ascii="Arial" w:cs="Arial" w:eastAsia="Arial" w:hAnsi="Arial"/>
                <w:sz w:val="14"/>
                <w:szCs w:val="14"/>
                <w:color w:val="auto"/>
              </w:rPr>
              <w:t>common stock under stock</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380"/>
              <w:spacing w:after="0"/>
              <w:rPr>
                <w:sz w:val="20"/>
                <w:szCs w:val="20"/>
                <w:color w:val="auto"/>
              </w:rPr>
            </w:pPr>
            <w:r>
              <w:rPr>
                <w:rFonts w:ascii="Arial" w:cs="Arial" w:eastAsia="Arial" w:hAnsi="Arial"/>
                <w:sz w:val="14"/>
                <w:szCs w:val="14"/>
                <w:color w:val="auto"/>
              </w:rPr>
              <w:t>repurchase program</w:t>
            </w:r>
          </w:p>
        </w:tc>
        <w:tc>
          <w:tcPr>
            <w:tcW w:w="1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(774,858)</w:t>
            </w:r>
          </w:p>
        </w:tc>
        <w:tc>
          <w:tcPr>
            <w:tcW w:w="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(11,992)</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to shareholders:</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00" w:type="dxa"/>
            <w:vAlign w:val="bottom"/>
          </w:tcPr>
          <w:p>
            <w:pPr>
              <w:ind w:left="380"/>
              <w:spacing w:after="0" w:line="130" w:lineRule="exact"/>
              <w:rPr>
                <w:sz w:val="20"/>
                <w:szCs w:val="20"/>
                <w:color w:val="auto"/>
              </w:rPr>
            </w:pPr>
            <w:r>
              <w:rPr>
                <w:rFonts w:ascii="Arial" w:cs="Arial" w:eastAsia="Arial" w:hAnsi="Arial"/>
                <w:sz w:val="14"/>
                <w:szCs w:val="14"/>
                <w:color w:val="auto"/>
              </w:rPr>
              <w:t>Stock issued under dividend</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560"/>
              <w:spacing w:after="0"/>
              <w:rPr>
                <w:sz w:val="20"/>
                <w:szCs w:val="20"/>
                <w:color w:val="auto"/>
              </w:rPr>
            </w:pPr>
            <w:r>
              <w:rPr>
                <w:rFonts w:ascii="Arial" w:cs="Arial" w:eastAsia="Arial" w:hAnsi="Arial"/>
                <w:sz w:val="14"/>
                <w:szCs w:val="14"/>
                <w:color w:val="auto"/>
              </w:rPr>
              <w:t>reinvestment plan</w:t>
            </w:r>
          </w:p>
        </w:tc>
        <w:tc>
          <w:tcPr>
            <w:tcW w:w="1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77,783</w:t>
            </w:r>
          </w:p>
        </w:tc>
        <w:tc>
          <w:tcPr>
            <w:tcW w:w="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1,023</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Distributions declared</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(25,673)</w:t>
            </w:r>
          </w:p>
        </w:tc>
        <w:tc>
          <w:tcPr>
            <w:tcW w:w="1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(10,936)</w:t>
            </w:r>
          </w:p>
        </w:tc>
        <w:tc>
          <w:tcPr>
            <w:tcW w:w="80" w:type="dxa"/>
            <w:vAlign w:val="bottom"/>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(36,609)</w:t>
            </w:r>
          </w:p>
        </w:tc>
        <w:tc>
          <w:tcPr>
            <w:tcW w:w="0" w:type="dxa"/>
            <w:vAlign w:val="bottom"/>
          </w:tcPr>
          <w:p>
            <w:pPr>
              <w:spacing w:after="0"/>
              <w:rPr>
                <w:sz w:val="1"/>
                <w:szCs w:val="1"/>
                <w:color w:val="auto"/>
              </w:rPr>
            </w:pPr>
          </w:p>
        </w:tc>
      </w:tr>
      <w:tr>
        <w:trPr>
          <w:trHeight w:val="130"/>
        </w:trPr>
        <w:tc>
          <w:tcPr>
            <w:tcW w:w="2400" w:type="dxa"/>
            <w:vAlign w:val="bottom"/>
          </w:tcPr>
          <w:p>
            <w:pPr>
              <w:ind w:left="200"/>
              <w:spacing w:after="0" w:line="130" w:lineRule="exact"/>
              <w:rPr>
                <w:sz w:val="20"/>
                <w:szCs w:val="20"/>
                <w:color w:val="auto"/>
              </w:rPr>
            </w:pPr>
            <w:r>
              <w:rPr>
                <w:rFonts w:ascii="Arial" w:cs="Arial" w:eastAsia="Arial" w:hAnsi="Arial"/>
                <w:sz w:val="14"/>
                <w:szCs w:val="14"/>
                <w:color w:val="auto"/>
                <w:w w:val="98"/>
              </w:rPr>
              <w:t>Tax reclassification of stockholders’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380"/>
              <w:spacing w:after="0" w:line="149" w:lineRule="exact"/>
              <w:rPr>
                <w:sz w:val="20"/>
                <w:szCs w:val="20"/>
                <w:color w:val="auto"/>
              </w:rPr>
            </w:pPr>
            <w:r>
              <w:rPr>
                <w:rFonts w:ascii="Arial" w:cs="Arial" w:eastAsia="Arial" w:hAnsi="Arial"/>
                <w:sz w:val="14"/>
                <w:szCs w:val="14"/>
                <w:color w:val="auto"/>
              </w:rPr>
              <w:t>equity in accordance with</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380"/>
              <w:spacing w:after="0" w:line="149" w:lineRule="exact"/>
              <w:rPr>
                <w:sz w:val="20"/>
                <w:szCs w:val="20"/>
                <w:color w:val="auto"/>
              </w:rPr>
            </w:pPr>
            <w:r>
              <w:rPr>
                <w:rFonts w:ascii="Arial" w:cs="Arial" w:eastAsia="Arial" w:hAnsi="Arial"/>
                <w:sz w:val="14"/>
                <w:szCs w:val="14"/>
                <w:color w:val="auto"/>
              </w:rPr>
              <w:t>generally accepted accounting</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tcPr>
          <w:p>
            <w:pPr>
              <w:ind w:left="380"/>
              <w:spacing w:after="0"/>
              <w:rPr>
                <w:sz w:val="20"/>
                <w:szCs w:val="20"/>
                <w:color w:val="auto"/>
              </w:rPr>
            </w:pPr>
            <w:r>
              <w:rPr>
                <w:rFonts w:ascii="Arial" w:cs="Arial" w:eastAsia="Arial" w:hAnsi="Arial"/>
                <w:sz w:val="14"/>
                <w:szCs w:val="14"/>
                <w:color w:val="auto"/>
              </w:rPr>
              <w:t>principles</w:t>
            </w:r>
          </w:p>
        </w:tc>
        <w:tc>
          <w:tcPr>
            <w:tcW w:w="1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(3,398)</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3,398</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December 31, 2015</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6"/>
              </w:rPr>
              <w:t>15,777,345</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4"/>
              </w:rPr>
              <w:t>158</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239,104</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8,570</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(1,299)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22,269</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268,802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607187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71870"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4" w:name="page95"/>
    <w:bookmarkEnd w:id="9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96"/>
        </w:trPr>
        <w:tc>
          <w:tcPr>
            <w:tcW w:w="5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28,858</w:t>
            </w:r>
          </w:p>
        </w:tc>
        <w:tc>
          <w:tcPr>
            <w:tcW w:w="0" w:type="dxa"/>
            <w:vAlign w:val="bottom"/>
          </w:tcPr>
          <w:p>
            <w:pPr>
              <w:spacing w:after="0"/>
              <w:rPr>
                <w:sz w:val="1"/>
                <w:szCs w:val="1"/>
                <w:color w:val="auto"/>
              </w:rPr>
            </w:pPr>
          </w:p>
        </w:tc>
      </w:tr>
      <w:tr>
        <w:trPr>
          <w:trHeight w:val="202"/>
        </w:trPr>
        <w:tc>
          <w:tcPr>
            <w:tcW w:w="5440" w:type="dxa"/>
            <w:vAlign w:val="bottom"/>
          </w:tcPr>
          <w:p>
            <w:pPr>
              <w:ind w:left="200"/>
              <w:spacing w:after="0" w:line="201" w:lineRule="exact"/>
              <w:rPr>
                <w:sz w:val="20"/>
                <w:szCs w:val="20"/>
                <w:color w:val="auto"/>
              </w:rPr>
            </w:pPr>
            <w:r>
              <w:rPr>
                <w:rFonts w:ascii="Arial" w:cs="Arial" w:eastAsia="Arial" w:hAnsi="Arial"/>
                <w:sz w:val="18"/>
                <w:szCs w:val="18"/>
                <w:color w:val="auto"/>
                <w:w w:val="91"/>
              </w:rPr>
              <w:t>Adjustments to reconcile net increase (decrease) in net assets resulting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80"/>
              <w:spacing w:after="0"/>
              <w:rPr>
                <w:sz w:val="20"/>
                <w:szCs w:val="20"/>
                <w:color w:val="auto"/>
              </w:rPr>
            </w:pPr>
            <w:r>
              <w:rPr>
                <w:rFonts w:ascii="Arial" w:cs="Arial" w:eastAsia="Arial" w:hAnsi="Arial"/>
                <w:sz w:val="18"/>
                <w:szCs w:val="18"/>
                <w:color w:val="auto"/>
              </w:rPr>
              <w:t>from operations to net cash used in operating activities: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 of portfolio investments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(260,640)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(216,276)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(110,929)</w:t>
            </w:r>
          </w:p>
        </w:tc>
        <w:tc>
          <w:tcPr>
            <w:tcW w:w="0" w:type="dxa"/>
            <w:vAlign w:val="bottom"/>
          </w:tcPr>
          <w:p>
            <w:pPr>
              <w:spacing w:after="0"/>
              <w:rPr>
                <w:sz w:val="1"/>
                <w:szCs w:val="1"/>
                <w:color w:val="auto"/>
              </w:rPr>
            </w:pPr>
          </w:p>
        </w:tc>
      </w:tr>
      <w:tr>
        <w:trPr>
          <w:trHeight w:val="216"/>
        </w:trPr>
        <w:tc>
          <w:tcPr>
            <w:tcW w:w="5440" w:type="dxa"/>
            <w:vAlign w:val="bottom"/>
          </w:tcPr>
          <w:p>
            <w:pPr>
              <w:ind w:left="380"/>
              <w:spacing w:after="0"/>
              <w:rPr>
                <w:sz w:val="20"/>
                <w:szCs w:val="20"/>
                <w:color w:val="auto"/>
              </w:rPr>
            </w:pPr>
            <w:r>
              <w:rPr>
                <w:rFonts w:ascii="Arial" w:cs="Arial" w:eastAsia="Arial" w:hAnsi="Arial"/>
                <w:sz w:val="18"/>
                <w:szCs w:val="18"/>
                <w:color w:val="auto"/>
              </w:rPr>
              <w:t>Repayments of portfolio investments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142,713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80,197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52,755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realized gain on portfolio investments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02"/>
        </w:trPr>
        <w:tc>
          <w:tcPr>
            <w:tcW w:w="5440" w:type="dxa"/>
            <w:vAlign w:val="bottom"/>
          </w:tcPr>
          <w:p>
            <w:pPr>
              <w:ind w:left="380"/>
              <w:spacing w:after="0" w:line="201" w:lineRule="exact"/>
              <w:rPr>
                <w:sz w:val="20"/>
                <w:szCs w:val="20"/>
                <w:color w:val="auto"/>
              </w:rPr>
            </w:pPr>
            <w:r>
              <w:rPr>
                <w:rFonts w:ascii="Arial" w:cs="Arial" w:eastAsia="Arial" w:hAnsi="Arial"/>
                <w:sz w:val="18"/>
                <w:szCs w:val="18"/>
                <w:color w:val="auto"/>
              </w:rPr>
              <w:t>Net unrealized (appreciation)/depreciation on portfolio</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16,913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24,238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(7,187)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Payment-in-kind interest and dividends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5440" w:type="dxa"/>
            <w:vAlign w:val="bottom"/>
          </w:tcPr>
          <w:p>
            <w:pPr>
              <w:ind w:left="380"/>
              <w:spacing w:after="0"/>
              <w:rPr>
                <w:sz w:val="20"/>
                <w:szCs w:val="20"/>
                <w:color w:val="auto"/>
              </w:rPr>
            </w:pPr>
            <w:r>
              <w:rPr>
                <w:rFonts w:ascii="Arial" w:cs="Arial" w:eastAsia="Arial" w:hAnsi="Arial"/>
                <w:sz w:val="18"/>
                <w:szCs w:val="18"/>
                <w:color w:val="auto"/>
              </w:rPr>
              <w:t>Accretion of original issue discount on portfolio investments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54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and dividend receivable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40" w:type="dxa"/>
            <w:vAlign w:val="bottom"/>
          </w:tcPr>
          <w:p>
            <w:pPr>
              <w:ind w:left="56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5440" w:type="dxa"/>
            <w:vAlign w:val="bottom"/>
          </w:tcPr>
          <w:p>
            <w:pPr>
              <w:ind w:left="5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Due to related parties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5440" w:type="dxa"/>
            <w:vAlign w:val="bottom"/>
          </w:tcPr>
          <w:p>
            <w:pPr>
              <w:ind w:left="560"/>
              <w:spacing w:after="0"/>
              <w:rPr>
                <w:sz w:val="20"/>
                <w:szCs w:val="20"/>
                <w:color w:val="auto"/>
              </w:rPr>
            </w:pPr>
            <w:r>
              <w:rPr>
                <w:rFonts w:ascii="Arial" w:cs="Arial" w:eastAsia="Arial" w:hAnsi="Arial"/>
                <w:sz w:val="18"/>
                <w:szCs w:val="18"/>
                <w:color w:val="auto"/>
              </w:rPr>
              <w:t>Management and incentive fee payable</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and financing fees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5440" w:type="dxa"/>
            <w:vAlign w:val="bottom"/>
          </w:tcPr>
          <w:p>
            <w:pPr>
              <w:ind w:left="5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(119,356)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(38,822)</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SBA debentures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Partners’ capital contributions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24,852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IPO, net of underwriting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74,250</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Paydowns on SBA debentures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Credit Facility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Payments to Credit Facility</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Notes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113,438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Issuance of common stock, net of offering and underwriting costs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general and limited partners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Distributions paid to shareholders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 under stock repurchase program</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Deferred financing fees paid</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109,977</w:t>
            </w:r>
          </w:p>
        </w:tc>
        <w:tc>
          <w:tcPr>
            <w:tcW w:w="0" w:type="dxa"/>
            <w:vAlign w:val="bottom"/>
          </w:tcPr>
          <w:p>
            <w:pPr>
              <w:spacing w:after="0"/>
              <w:rPr>
                <w:sz w:val="1"/>
                <w:szCs w:val="1"/>
                <w:color w:val="auto"/>
              </w:rPr>
            </w:pPr>
          </w:p>
        </w:tc>
      </w:tr>
      <w:tr>
        <w:trPr>
          <w:trHeight w:val="195"/>
        </w:trPr>
        <w:tc>
          <w:tcPr>
            <w:tcW w:w="544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NET INCREASE/(DECREASE) IN CASH AND CASH</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(21,002)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(46,515)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71,155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101,622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30,467</w:t>
            </w:r>
          </w:p>
        </w:tc>
        <w:tc>
          <w:tcPr>
            <w:tcW w:w="0" w:type="dxa"/>
            <w:vAlign w:val="bottom"/>
          </w:tcPr>
          <w:p>
            <w:pPr>
              <w:spacing w:after="0"/>
              <w:rPr>
                <w:sz w:val="1"/>
                <w:szCs w:val="1"/>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34,105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55,107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101,622</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12,120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SUPPLEMENTAL DISCLOSURE OF NON-CASH INVESTING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 TRANSACTIONS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In-kind contribution of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 paid through DRIP share issuances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-3335655</wp:posOffset>
            </wp:positionV>
            <wp:extent cx="5213985"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-1397000</wp:posOffset>
            </wp:positionV>
            <wp:extent cx="5213985" cy="2832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-977265</wp:posOffset>
            </wp:positionV>
            <wp:extent cx="521398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5" w:name="page96"/>
    <w:bookmarkEnd w:id="9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40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400" w:type="dxa"/>
            <w:vAlign w:val="bottom"/>
          </w:tcPr>
          <w:p>
            <w:pPr>
              <w:ind w:left="20"/>
              <w:spacing w:after="0" w:line="123" w:lineRule="exact"/>
              <w:rPr>
                <w:sz w:val="20"/>
                <w:szCs w:val="20"/>
                <w:color w:val="auto"/>
              </w:rPr>
            </w:pPr>
            <w:r>
              <w:rPr>
                <w:rFonts w:ascii="Arial" w:cs="Arial" w:eastAsia="Arial" w:hAnsi="Arial"/>
                <w:sz w:val="14"/>
                <w:szCs w:val="14"/>
                <w:b w:val="1"/>
                <w:bCs w:val="1"/>
                <w:color w:val="auto"/>
                <w:w w:val="91"/>
              </w:rPr>
              <w:t>Non-control/Non-affiliated investments</w:t>
            </w:r>
          </w:p>
        </w:tc>
        <w:tc>
          <w:tcPr>
            <w:tcW w:w="40" w:type="dxa"/>
            <w:vAlign w:val="bottom"/>
          </w:tcPr>
          <w:p>
            <w:pPr>
              <w:spacing w:after="0"/>
              <w:rPr>
                <w:sz w:val="10"/>
                <w:szCs w:val="10"/>
                <w:color w:val="auto"/>
              </w:rPr>
            </w:pPr>
          </w:p>
        </w:tc>
        <w:tc>
          <w:tcPr>
            <w:tcW w:w="2220" w:type="dxa"/>
            <w:vAlign w:val="bottom"/>
          </w:tcPr>
          <w:p>
            <w:pPr>
              <w:spacing w:after="0" w:line="123" w:lineRule="exact"/>
              <w:rPr>
                <w:sz w:val="20"/>
                <w:szCs w:val="20"/>
                <w:color w:val="auto"/>
              </w:rPr>
            </w:pPr>
            <w:r>
              <w:rPr>
                <w:rFonts w:ascii="Arial" w:cs="Arial" w:eastAsia="Arial" w:hAnsi="Arial"/>
                <w:sz w:val="14"/>
                <w:szCs w:val="14"/>
                <w:b w:val="1"/>
                <w:bCs w:val="1"/>
                <w:color w:val="auto"/>
              </w:rPr>
              <w:t>– 150.5%</w:t>
            </w:r>
          </w:p>
        </w:tc>
        <w:tc>
          <w:tcPr>
            <w:tcW w:w="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00" w:type="dxa"/>
            <w:vAlign w:val="bottom"/>
          </w:tcPr>
          <w:p>
            <w:pPr>
              <w:ind w:left="20"/>
              <w:spacing w:after="0" w:line="15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(12% Cash, Due 3/31/18)</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11,000</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11,000</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  11,000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400" w:type="dxa"/>
            <w:vAlign w:val="bottom"/>
          </w:tcPr>
          <w:p>
            <w:pPr>
              <w:ind w:left="20"/>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(14%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2,181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American Clinical Solutions,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Senior Secured Debt (L+9.5%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Healthcare</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Cash, 1% Floor, Due 6/11/20)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9,750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9,750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9,750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American Exteriors,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9,750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4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w w:val="95"/>
              </w:rPr>
              <w:t>Replacement Window Manufacturer</w:t>
            </w:r>
          </w:p>
        </w:tc>
        <w:tc>
          <w:tcPr>
            <w:tcW w:w="40" w:type="dxa"/>
            <w:vAlign w:val="bottom"/>
          </w:tcPr>
          <w:p>
            <w:pPr>
              <w:spacing w:after="0"/>
              <w:rPr>
                <w:sz w:val="15"/>
                <w:szCs w:val="15"/>
                <w:color w:val="auto"/>
              </w:rPr>
            </w:pPr>
          </w:p>
        </w:tc>
        <w:tc>
          <w:tcPr>
            <w:tcW w:w="2180" w:type="dxa"/>
            <w:vAlign w:val="bottom"/>
          </w:tcPr>
          <w:p>
            <w:pPr>
              <w:ind w:left="100"/>
              <w:spacing w:after="0" w:line="179" w:lineRule="exact"/>
              <w:rPr>
                <w:sz w:val="20"/>
                <w:szCs w:val="20"/>
                <w:color w:val="auto"/>
              </w:rPr>
            </w:pPr>
            <w:r>
              <w:rPr>
                <w:rFonts w:ascii="Arial" w:cs="Arial" w:eastAsia="Arial" w:hAnsi="Arial"/>
                <w:sz w:val="13"/>
                <w:szCs w:val="13"/>
                <w:color w:val="auto"/>
              </w:rPr>
              <w:t>(14% Cash, Due 1/15/16)</w:t>
            </w:r>
            <w:r>
              <w:rPr>
                <w:rFonts w:ascii="Arial" w:cs="Arial" w:eastAsia="Arial" w:hAnsi="Arial"/>
                <w:sz w:val="20"/>
                <w:szCs w:val="20"/>
                <w:color w:val="auto"/>
                <w:vertAlign w:val="superscript"/>
              </w:rPr>
              <w:t>(1)(2)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4,879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3,679</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3,196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400" w:type="dxa"/>
            <w:vAlign w:val="bottom"/>
          </w:tcPr>
          <w:p>
            <w:pPr>
              <w:ind w:left="20"/>
              <w:spacing w:after="0" w:line="149" w:lineRule="exact"/>
              <w:rPr>
                <w:sz w:val="20"/>
                <w:szCs w:val="20"/>
                <w:color w:val="auto"/>
              </w:rPr>
            </w:pPr>
            <w:r>
              <w:rPr>
                <w:rFonts w:ascii="Arial" w:cs="Arial" w:eastAsia="Arial" w:hAnsi="Arial"/>
                <w:sz w:val="14"/>
                <w:szCs w:val="14"/>
                <w:color w:val="auto"/>
              </w:rPr>
              <w:t>American Exteriors,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w w:val="95"/>
              </w:rPr>
              <w:t>Replacement Window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(15%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B&amp;W Quality Growers,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3,196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Farming</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(14% Cash, Due 7/23/20)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9,992</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400" w:type="dxa"/>
            <w:vAlign w:val="bottom"/>
          </w:tcPr>
          <w:p>
            <w:pPr>
              <w:ind w:left="20"/>
              <w:spacing w:after="0" w:line="149" w:lineRule="exact"/>
              <w:rPr>
                <w:sz w:val="20"/>
                <w:szCs w:val="20"/>
                <w:color w:val="auto"/>
              </w:rPr>
            </w:pPr>
            <w:r>
              <w:rPr>
                <w:rFonts w:ascii="Arial" w:cs="Arial" w:eastAsia="Arial" w:hAnsi="Arial"/>
                <w:sz w:val="14"/>
                <w:szCs w:val="14"/>
                <w:color w:val="auto"/>
              </w:rPr>
              <w:t>B&amp;W Quality Growers,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Farming</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(91,739 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5,408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Bluestem Brands,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10,012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15,408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(L+7.5% Cash,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Online Merchandise Retailer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Due 11/7/20)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4,529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4,382</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4,382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Boot Barn Holdings,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w w:val="95"/>
              </w:rPr>
              <w:t>Common Stock (95,252 shares)</w:t>
            </w:r>
            <w:r>
              <w:rPr>
                <w:rFonts w:ascii="Arial" w:cs="Arial" w:eastAsia="Arial" w:hAnsi="Arial"/>
                <w:sz w:val="23"/>
                <w:szCs w:val="23"/>
                <w:color w:val="auto"/>
                <w:w w:val="95"/>
                <w:vertAlign w:val="superscript"/>
              </w:rPr>
              <w:t>(8)</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3"/>
        </w:trPr>
        <w:tc>
          <w:tcPr>
            <w:tcW w:w="24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Western Wear Retail</w:t>
            </w:r>
          </w:p>
        </w:tc>
        <w:tc>
          <w:tcPr>
            <w:tcW w:w="4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381</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1,171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Brock Holdings III,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 (L+8.25%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Industrial Specialty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Cash, 1.75% Floor, Due 3/16/18)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4,881</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4,881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Brunswick Bowling Products,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4,881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4,881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(L+6.0% Cash, 2%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Bowling Products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Due 5/22/20)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400" w:type="dxa"/>
            <w:vAlign w:val="bottom"/>
          </w:tcPr>
          <w:p>
            <w:pPr>
              <w:ind w:left="20"/>
              <w:spacing w:after="0" w:line="149" w:lineRule="exact"/>
              <w:rPr>
                <w:sz w:val="20"/>
                <w:szCs w:val="20"/>
                <w:color w:val="auto"/>
              </w:rPr>
            </w:pPr>
            <w:r>
              <w:rPr>
                <w:rFonts w:ascii="Arial" w:cs="Arial" w:eastAsia="Arial" w:hAnsi="Arial"/>
                <w:sz w:val="14"/>
                <w:szCs w:val="14"/>
                <w:color w:val="auto"/>
              </w:rPr>
              <w:t>Brunswick Bowling Products,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 (L+14.25%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Bowling Products</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Cash, 2% Floor, Due 5/22/20)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6,983</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6,983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8"/>
        </w:trPr>
        <w:tc>
          <w:tcPr>
            <w:tcW w:w="2400" w:type="dxa"/>
            <w:vAlign w:val="bottom"/>
          </w:tcPr>
          <w:p>
            <w:pPr>
              <w:ind w:left="20"/>
              <w:spacing w:after="0" w:line="159" w:lineRule="exact"/>
              <w:rPr>
                <w:sz w:val="20"/>
                <w:szCs w:val="20"/>
                <w:color w:val="auto"/>
              </w:rPr>
            </w:pPr>
            <w:r>
              <w:rPr>
                <w:rFonts w:ascii="Arial" w:cs="Arial" w:eastAsia="Arial" w:hAnsi="Arial"/>
                <w:sz w:val="14"/>
                <w:szCs w:val="14"/>
                <w:color w:val="auto"/>
              </w:rPr>
              <w:t>Brunswick Bowling Products, Inc.</w:t>
            </w: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Preferred Shares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Bowling Products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(2,966 shares, 8% PIK)</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3,118</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3,141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Burke America Parts Group,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Home Repair Parts Manufacturer</w:t>
            </w:r>
          </w:p>
        </w:tc>
        <w:tc>
          <w:tcPr>
            <w:tcW w:w="40" w:type="dxa"/>
            <w:vAlign w:val="bottom"/>
          </w:tcPr>
          <w:p>
            <w:pPr>
              <w:spacing w:after="0"/>
              <w:rPr>
                <w:sz w:val="12"/>
                <w:szCs w:val="12"/>
                <w:color w:val="auto"/>
              </w:rPr>
            </w:pPr>
          </w:p>
        </w:tc>
        <w:tc>
          <w:tcPr>
            <w:tcW w:w="2180" w:type="dxa"/>
            <w:vAlign w:val="bottom"/>
          </w:tcPr>
          <w:p>
            <w:pPr>
              <w:ind w:left="100"/>
              <w:spacing w:after="0" w:line="149" w:lineRule="exact"/>
              <w:rPr>
                <w:sz w:val="20"/>
                <w:szCs w:val="20"/>
                <w:color w:val="auto"/>
              </w:rPr>
            </w:pPr>
            <w:r>
              <w:rPr>
                <w:rFonts w:ascii="Arial" w:cs="Arial" w:eastAsia="Arial" w:hAnsi="Arial"/>
                <w:sz w:val="14"/>
                <w:szCs w:val="14"/>
                <w:color w:val="auto"/>
              </w:rPr>
              <w:t>(9.5% Cash, Due 4/30/20)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4,868</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4,868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7"/>
        </w:trPr>
        <w:tc>
          <w:tcPr>
            <w:tcW w:w="2400" w:type="dxa"/>
            <w:vAlign w:val="bottom"/>
          </w:tcPr>
          <w:p>
            <w:pPr>
              <w:ind w:left="20"/>
              <w:spacing w:after="0"/>
              <w:rPr>
                <w:sz w:val="20"/>
                <w:szCs w:val="20"/>
                <w:color w:val="auto"/>
              </w:rPr>
            </w:pPr>
            <w:r>
              <w:rPr>
                <w:rFonts w:ascii="Arial" w:cs="Arial" w:eastAsia="Arial" w:hAnsi="Arial"/>
                <w:sz w:val="14"/>
                <w:szCs w:val="14"/>
                <w:color w:val="auto"/>
              </w:rPr>
              <w:t>Burke America Parts Group, LLC</w:t>
            </w: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Home Repair Parts Manufacturer</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Membership Units (14 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533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Caregiver Services, Inc.</w:t>
            </w:r>
          </w:p>
        </w:tc>
        <w:tc>
          <w:tcPr>
            <w:tcW w:w="40" w:type="dxa"/>
            <w:vAlign w:val="bottom"/>
          </w:tcPr>
          <w:p>
            <w:pPr>
              <w:spacing w:after="0"/>
              <w:rPr>
                <w:sz w:val="12"/>
                <w:szCs w:val="12"/>
                <w:color w:val="auto"/>
              </w:rPr>
            </w:pPr>
          </w:p>
        </w:tc>
        <w:tc>
          <w:tcPr>
            <w:tcW w:w="2220" w:type="dxa"/>
            <w:vAlign w:val="bottom"/>
            <w:vMerge w:val="restart"/>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Common Stock (293,186 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5,401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3" w:lineRule="exact"/>
              <w:rPr>
                <w:sz w:val="20"/>
                <w:szCs w:val="20"/>
                <w:color w:val="auto"/>
              </w:rPr>
            </w:pPr>
            <w:r>
              <w:rPr>
                <w:rFonts w:ascii="Arial" w:cs="Arial" w:eastAsia="Arial" w:hAnsi="Arial"/>
                <w:sz w:val="14"/>
                <w:szCs w:val="14"/>
                <w:color w:val="auto"/>
              </w:rPr>
              <w:t>258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223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8"/>
              <w:spacing w:after="0" w:line="12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2400" w:type="dxa"/>
            <w:vAlign w:val="bottom"/>
          </w:tcPr>
          <w:p>
            <w:pPr>
              <w:ind w:left="20"/>
              <w:spacing w:after="0" w:line="159" w:lineRule="exact"/>
              <w:rPr>
                <w:sz w:val="20"/>
                <w:szCs w:val="20"/>
                <w:color w:val="auto"/>
              </w:rPr>
            </w:pPr>
            <w:r>
              <w:rPr>
                <w:rFonts w:ascii="Arial" w:cs="Arial" w:eastAsia="Arial" w:hAnsi="Arial"/>
                <w:sz w:val="14"/>
                <w:szCs w:val="14"/>
                <w:color w:val="auto"/>
              </w:rPr>
              <w:t>Caregiver Services, Inc.</w:t>
            </w: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(655,908 units)</w:t>
            </w:r>
            <w:r>
              <w:rPr>
                <w:rFonts w:ascii="Arial" w:cs="Arial" w:eastAsia="Arial" w:hAnsi="Arial"/>
                <w:sz w:val="22"/>
                <w:szCs w:val="22"/>
                <w:color w:val="auto"/>
                <w:vertAlign w:val="superscript"/>
              </w:rPr>
              <w:t>(7)</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264</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498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Cedar Electronics Holding Corp.</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Consumer Electronics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(12% Cash, Matures 12/26/20)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28,300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28,300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28,300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Community Choice Financial,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Senior Secured Revolving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80" w:type="dxa"/>
            <w:vAlign w:val="bottom"/>
          </w:tcPr>
          <w:p>
            <w:pPr>
              <w:ind w:left="100"/>
              <w:spacing w:after="0" w:line="159" w:lineRule="exact"/>
              <w:rPr>
                <w:sz w:val="20"/>
                <w:szCs w:val="20"/>
                <w:color w:val="auto"/>
              </w:rPr>
            </w:pPr>
            <w:r>
              <w:rPr>
                <w:rFonts w:ascii="Arial" w:cs="Arial" w:eastAsia="Arial" w:hAnsi="Arial"/>
                <w:sz w:val="14"/>
                <w:szCs w:val="14"/>
                <w:color w:val="auto"/>
              </w:rPr>
              <w:t>(L+13.0% Cash, 1% Floor,</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40" w:type="dxa"/>
            <w:vAlign w:val="bottom"/>
          </w:tcPr>
          <w:p>
            <w:pPr>
              <w:spacing w:after="0"/>
              <w:rPr>
                <w:sz w:val="17"/>
                <w:szCs w:val="17"/>
                <w:color w:val="auto"/>
              </w:rPr>
            </w:pPr>
          </w:p>
        </w:tc>
        <w:tc>
          <w:tcPr>
            <w:tcW w:w="2180" w:type="dxa"/>
            <w:vAlign w:val="bottom"/>
          </w:tcPr>
          <w:p>
            <w:pPr>
              <w:ind w:left="100"/>
              <w:spacing w:after="0" w:line="198" w:lineRule="exact"/>
              <w:rPr>
                <w:sz w:val="20"/>
                <w:szCs w:val="20"/>
                <w:color w:val="auto"/>
              </w:rPr>
            </w:pPr>
            <w:r>
              <w:rPr>
                <w:rFonts w:ascii="Arial" w:cs="Arial" w:eastAsia="Arial" w:hAnsi="Arial"/>
                <w:sz w:val="14"/>
                <w:szCs w:val="14"/>
                <w:color w:val="auto"/>
              </w:rPr>
              <w:t>Due 3/27/17)</w:t>
            </w:r>
            <w:r>
              <w:rPr>
                <w:rFonts w:ascii="Arial" w:cs="Arial" w:eastAsia="Arial" w:hAnsi="Arial"/>
                <w:sz w:val="22"/>
                <w:szCs w:val="22"/>
                <w:color w:val="auto"/>
                <w:vertAlign w:val="superscript"/>
              </w:rPr>
              <w:t>(8)(11)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17,161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17,161</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17,161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Construction Partners,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vMerge w:val="restart"/>
          </w:tcPr>
          <w:p>
            <w:pPr>
              <w:ind w:left="10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17,161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Construction Services</w:t>
            </w:r>
          </w:p>
        </w:tc>
        <w:tc>
          <w:tcPr>
            <w:tcW w:w="40" w:type="dxa"/>
            <w:vAlign w:val="bottom"/>
          </w:tcPr>
          <w:p>
            <w:pPr>
              <w:spacing w:after="0"/>
              <w:rPr>
                <w:sz w:val="14"/>
                <w:szCs w:val="14"/>
                <w:color w:val="auto"/>
              </w:rPr>
            </w:pPr>
          </w:p>
        </w:tc>
        <w:tc>
          <w:tcPr>
            <w:tcW w:w="2180" w:type="dxa"/>
            <w:vAlign w:val="bottom"/>
          </w:tcPr>
          <w:p>
            <w:pPr>
              <w:ind w:left="100"/>
              <w:spacing w:after="0"/>
              <w:rPr>
                <w:sz w:val="20"/>
                <w:szCs w:val="20"/>
                <w:color w:val="auto"/>
              </w:rPr>
            </w:pPr>
            <w:r>
              <w:rPr>
                <w:rFonts w:ascii="Arial" w:cs="Arial" w:eastAsia="Arial" w:hAnsi="Arial"/>
                <w:sz w:val="14"/>
                <w:szCs w:val="14"/>
                <w:color w:val="auto"/>
              </w:rPr>
              <w:t>(11.5% Cash, Due 6/12/20)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12,500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12,500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12,500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6" w:name="page97"/>
    <w:bookmarkEnd w:id="9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46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12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460" w:type="dxa"/>
            <w:vAlign w:val="bottom"/>
          </w:tcPr>
          <w:p>
            <w:pPr>
              <w:ind w:left="20"/>
              <w:spacing w:after="0" w:line="123" w:lineRule="exact"/>
              <w:rPr>
                <w:sz w:val="20"/>
                <w:szCs w:val="20"/>
                <w:color w:val="auto"/>
              </w:rPr>
            </w:pPr>
            <w:r>
              <w:rPr>
                <w:rFonts w:ascii="Arial" w:cs="Arial" w:eastAsia="Arial" w:hAnsi="Arial"/>
                <w:sz w:val="14"/>
                <w:szCs w:val="14"/>
                <w:color w:val="auto"/>
              </w:rPr>
              <w:t>Corporate Visions, Inc.</w:t>
            </w: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tcPr>
          <w:p>
            <w:pPr>
              <w:ind w:left="80"/>
              <w:spacing w:after="0" w:line="123" w:lineRule="exact"/>
              <w:rPr>
                <w:sz w:val="20"/>
                <w:szCs w:val="20"/>
                <w:color w:val="auto"/>
              </w:rPr>
            </w:pPr>
            <w:r>
              <w:rPr>
                <w:rFonts w:ascii="Arial" w:cs="Arial" w:eastAsia="Arial" w:hAnsi="Arial"/>
                <w:sz w:val="14"/>
                <w:szCs w:val="14"/>
                <w:color w:val="auto"/>
              </w:rPr>
              <w:t>Subordinated Debt (9% Cash,</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Arial" w:cs="Arial" w:eastAsia="Arial" w:hAnsi="Arial"/>
                <w:sz w:val="14"/>
                <w:szCs w:val="14"/>
                <w:color w:val="auto"/>
              </w:rPr>
              <w:t>2% PIK, Due 11/29/21)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15,941</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15,941</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  15,941</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7"/>
        </w:trPr>
        <w:tc>
          <w:tcPr>
            <w:tcW w:w="2460" w:type="dxa"/>
            <w:vAlign w:val="bottom"/>
          </w:tcPr>
          <w:p>
            <w:pPr>
              <w:ind w:left="20"/>
              <w:spacing w:after="0"/>
              <w:rPr>
                <w:sz w:val="20"/>
                <w:szCs w:val="20"/>
                <w:color w:val="auto"/>
              </w:rPr>
            </w:pPr>
            <w:r>
              <w:rPr>
                <w:rFonts w:ascii="Arial" w:cs="Arial" w:eastAsia="Arial" w:hAnsi="Arial"/>
                <w:sz w:val="14"/>
                <w:szCs w:val="14"/>
                <w:color w:val="auto"/>
              </w:rPr>
              <w:t>Corporate Visions, Inc.</w:t>
            </w: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Sales &amp; Marketing Services</w:t>
            </w:r>
          </w:p>
        </w:tc>
        <w:tc>
          <w:tcPr>
            <w:tcW w:w="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Common Stock (15,750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1,575</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1,917</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Crowley Holdings,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w w:val="94"/>
              </w:rPr>
              <w:t>Series A Income Preferred 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17,858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tcPr>
          <w:p>
            <w:pPr>
              <w:ind w:left="80"/>
              <w:spacing w:after="0" w:line="159" w:lineRule="exact"/>
              <w:rPr>
                <w:sz w:val="20"/>
                <w:szCs w:val="20"/>
                <w:color w:val="auto"/>
              </w:rPr>
            </w:pPr>
            <w:r>
              <w:rPr>
                <w:rFonts w:ascii="Arial" w:cs="Arial" w:eastAsia="Arial" w:hAnsi="Arial"/>
                <w:sz w:val="14"/>
                <w:szCs w:val="14"/>
                <w:color w:val="auto"/>
                <w:w w:val="95"/>
              </w:rPr>
              <w:t>(6,000 shares, 10% Cash, 2% PIK</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7"/>
                <w:szCs w:val="17"/>
                <w:color w:val="auto"/>
              </w:rPr>
            </w:pPr>
          </w:p>
        </w:tc>
        <w:tc>
          <w:tcPr>
            <w:tcW w:w="2120" w:type="dxa"/>
            <w:vAlign w:val="bottom"/>
          </w:tcPr>
          <w:p>
            <w:pPr>
              <w:ind w:left="80"/>
              <w:spacing w:after="0" w:line="198" w:lineRule="exact"/>
              <w:rPr>
                <w:sz w:val="20"/>
                <w:szCs w:val="20"/>
                <w:color w:val="auto"/>
              </w:rPr>
            </w:pPr>
            <w:r>
              <w:rPr>
                <w:rFonts w:ascii="Arial" w:cs="Arial" w:eastAsia="Arial" w:hAnsi="Arial"/>
                <w:sz w:val="14"/>
                <w:szCs w:val="14"/>
                <w:color w:val="auto"/>
              </w:rPr>
              <w:t>dividend)</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6,271</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6,271</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CSM Bakery Solutions,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Subordinated Debt (L+7.75%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6,271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6,271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Bakery Supplies Distributor</w:t>
            </w:r>
          </w:p>
        </w:tc>
        <w:tc>
          <w:tcPr>
            <w:tcW w:w="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Cash, 1% Floor, Due 8/7/22)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16,687</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16,146</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DSW Homes,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Subordinated Debt (L+12%</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16,146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Disaster Recovery Homebuilding</w:t>
            </w:r>
          </w:p>
        </w:tc>
        <w:tc>
          <w:tcPr>
            <w:tcW w:w="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Cash, Due 9/24/18)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2,000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w w:val="94"/>
              </w:rPr>
              <w:t>Emerging Markets Communications,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Subordinated Debt (L+9.625%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0.7</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Satellite Communications</w:t>
            </w:r>
          </w:p>
        </w:tc>
        <w:tc>
          <w:tcPr>
            <w:tcW w:w="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Cash, 1% Floor, Due 7/1/22)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4,932</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4,932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Flavors Holdings,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Arial" w:cs="Arial" w:eastAsia="Arial" w:hAnsi="Arial"/>
                <w:sz w:val="14"/>
                <w:szCs w:val="14"/>
                <w:color w:val="auto"/>
              </w:rPr>
              <w:t>(L+5.75% Cash,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Arial" w:cs="Arial" w:eastAsia="Arial" w:hAnsi="Arial"/>
                <w:sz w:val="14"/>
                <w:szCs w:val="14"/>
                <w:color w:val="auto"/>
              </w:rPr>
              <w:t>Due 4/3/20)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7,265</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6,917</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line="149" w:lineRule="exact"/>
              <w:rPr>
                <w:sz w:val="20"/>
                <w:szCs w:val="20"/>
                <w:color w:val="auto"/>
              </w:rPr>
            </w:pPr>
            <w:r>
              <w:rPr>
                <w:rFonts w:ascii="Arial" w:cs="Arial" w:eastAsia="Arial" w:hAnsi="Arial"/>
                <w:sz w:val="14"/>
                <w:szCs w:val="14"/>
                <w:color w:val="auto"/>
              </w:rPr>
              <w:t>Flavors Holdings,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(L+10%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Cash, 1% Floor, Due 10/3/21)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11,601</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10,519</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Group Cirque du Soleil,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Subordinated Debt (L+8.25%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18,866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Entertainment</w:t>
            </w:r>
          </w:p>
        </w:tc>
        <w:tc>
          <w:tcPr>
            <w:tcW w:w="40" w:type="dxa"/>
            <w:vAlign w:val="bottom"/>
          </w:tcPr>
          <w:p>
            <w:pPr>
              <w:spacing w:after="0"/>
              <w:rPr>
                <w:sz w:val="17"/>
                <w:szCs w:val="17"/>
                <w:color w:val="auto"/>
              </w:rPr>
            </w:pPr>
          </w:p>
        </w:tc>
        <w:tc>
          <w:tcPr>
            <w:tcW w:w="2120" w:type="dxa"/>
            <w:vAlign w:val="bottom"/>
          </w:tcPr>
          <w:p>
            <w:pPr>
              <w:ind w:left="80"/>
              <w:spacing w:after="0" w:line="198" w:lineRule="exact"/>
              <w:rPr>
                <w:sz w:val="20"/>
                <w:szCs w:val="20"/>
                <w:color w:val="auto"/>
              </w:rPr>
            </w:pPr>
            <w:r>
              <w:rPr>
                <w:rFonts w:ascii="Arial" w:cs="Arial" w:eastAsia="Arial" w:hAnsi="Arial"/>
                <w:sz w:val="14"/>
                <w:szCs w:val="14"/>
                <w:color w:val="auto"/>
              </w:rPr>
              <w:t>Cash, 1% Floor, Due 7/8/23)</w:t>
            </w:r>
            <w:r>
              <w:rPr>
                <w:rFonts w:ascii="Arial" w:cs="Arial" w:eastAsia="Arial" w:hAnsi="Arial"/>
                <w:sz w:val="22"/>
                <w:szCs w:val="22"/>
                <w:color w:val="auto"/>
                <w:vertAlign w:val="superscript"/>
              </w:rPr>
              <w:t>(8)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986</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986</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w w:val="95"/>
              </w:rPr>
              <w:t>Immersive Media Tactical Solutions,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Specialty Defense Contractor</w:t>
            </w:r>
          </w:p>
        </w:tc>
        <w:tc>
          <w:tcPr>
            <w:tcW w:w="40" w:type="dxa"/>
            <w:vAlign w:val="bottom"/>
          </w:tcPr>
          <w:p>
            <w:pPr>
              <w:spacing w:after="0"/>
              <w:rPr>
                <w:sz w:val="17"/>
                <w:szCs w:val="17"/>
                <w:color w:val="auto"/>
              </w:rPr>
            </w:pPr>
          </w:p>
        </w:tc>
        <w:tc>
          <w:tcPr>
            <w:tcW w:w="2120" w:type="dxa"/>
            <w:vAlign w:val="bottom"/>
          </w:tcPr>
          <w:p>
            <w:pPr>
              <w:ind w:left="80"/>
              <w:spacing w:after="0" w:line="198" w:lineRule="exact"/>
              <w:rPr>
                <w:sz w:val="20"/>
                <w:szCs w:val="20"/>
                <w:color w:val="auto"/>
              </w:rPr>
            </w:pPr>
            <w:r>
              <w:rPr>
                <w:rFonts w:ascii="Arial" w:cs="Arial" w:eastAsia="Arial" w:hAnsi="Arial"/>
                <w:sz w:val="14"/>
                <w:szCs w:val="14"/>
                <w:color w:val="auto"/>
              </w:rPr>
              <w:t>(Due 12/9/19)</w:t>
            </w:r>
            <w:r>
              <w:rPr>
                <w:rFonts w:ascii="Arial" w:cs="Arial" w:eastAsia="Arial" w:hAnsi="Arial"/>
                <w:sz w:val="22"/>
                <w:szCs w:val="22"/>
                <w:color w:val="auto"/>
                <w:vertAlign w:val="superscript"/>
              </w:rPr>
              <w:t>(14)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2,400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7"/>
                <w:szCs w:val="17"/>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1,800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Kelle’s Transport Service,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0.7</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ind w:left="80"/>
              <w:spacing w:after="0" w:line="149" w:lineRule="exact"/>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Arial" w:cs="Arial" w:eastAsia="Arial" w:hAnsi="Arial"/>
                <w:sz w:val="14"/>
                <w:szCs w:val="14"/>
                <w:color w:val="auto"/>
              </w:rPr>
              <w:t>(14% Cash, Due 3/31/19)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14,562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14,551</w:t>
            </w:r>
          </w:p>
        </w:tc>
        <w:tc>
          <w:tcPr>
            <w:tcW w:w="60" w:type="dxa"/>
            <w:vAlign w:val="bottom"/>
          </w:tcPr>
          <w:p>
            <w:pPr>
              <w:spacing w:after="0"/>
              <w:rPr>
                <w:sz w:val="12"/>
                <w:szCs w:val="12"/>
                <w:color w:val="auto"/>
              </w:rPr>
            </w:pP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14,562</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8"/>
        </w:trPr>
        <w:tc>
          <w:tcPr>
            <w:tcW w:w="2460" w:type="dxa"/>
            <w:vAlign w:val="bottom"/>
          </w:tcPr>
          <w:p>
            <w:pPr>
              <w:ind w:left="20"/>
              <w:spacing w:after="0" w:line="159" w:lineRule="exact"/>
              <w:rPr>
                <w:sz w:val="20"/>
                <w:szCs w:val="20"/>
                <w:color w:val="auto"/>
              </w:rPr>
            </w:pPr>
            <w:r>
              <w:rPr>
                <w:rFonts w:ascii="Arial" w:cs="Arial" w:eastAsia="Arial" w:hAnsi="Arial"/>
                <w:sz w:val="14"/>
                <w:szCs w:val="14"/>
                <w:color w:val="auto"/>
              </w:rPr>
              <w:t>Kelle’s Transport Service, LLC</w:t>
            </w:r>
          </w:p>
        </w:tc>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tcPr>
          <w:p>
            <w:pPr>
              <w:ind w:left="80"/>
              <w:spacing w:after="0" w:line="159" w:lineRule="exact"/>
              <w:rPr>
                <w:sz w:val="20"/>
                <w:szCs w:val="20"/>
                <w:color w:val="auto"/>
              </w:rPr>
            </w:pPr>
            <w:r>
              <w:rPr>
                <w:rFonts w:ascii="Arial" w:cs="Arial" w:eastAsia="Arial" w:hAnsi="Arial"/>
                <w:sz w:val="14"/>
                <w:szCs w:val="14"/>
                <w:color w:val="auto"/>
              </w:rPr>
              <w:t>Preferred Units (1,000 units,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5"/>
                <w:szCs w:val="15"/>
                <w:color w:val="auto"/>
              </w:rPr>
            </w:pPr>
          </w:p>
        </w:tc>
        <w:tc>
          <w:tcPr>
            <w:tcW w:w="2120" w:type="dxa"/>
            <w:vAlign w:val="bottom"/>
          </w:tcPr>
          <w:p>
            <w:pPr>
              <w:ind w:left="80"/>
              <w:spacing w:after="0" w:line="179" w:lineRule="exact"/>
              <w:rPr>
                <w:sz w:val="20"/>
                <w:szCs w:val="20"/>
                <w:color w:val="auto"/>
              </w:rPr>
            </w:pPr>
            <w:r>
              <w:rPr>
                <w:rFonts w:ascii="Arial" w:cs="Arial" w:eastAsia="Arial" w:hAnsi="Arial"/>
                <w:sz w:val="13"/>
                <w:szCs w:val="13"/>
                <w:color w:val="auto"/>
              </w:rPr>
              <w:t>10% 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3,101</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3,101</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line="149" w:lineRule="exact"/>
              <w:rPr>
                <w:sz w:val="20"/>
                <w:szCs w:val="20"/>
                <w:color w:val="auto"/>
              </w:rPr>
            </w:pPr>
            <w:r>
              <w:rPr>
                <w:rFonts w:ascii="Arial" w:cs="Arial" w:eastAsia="Arial" w:hAnsi="Arial"/>
                <w:sz w:val="14"/>
                <w:szCs w:val="14"/>
                <w:color w:val="auto"/>
              </w:rPr>
              <w:t>Kelle’s Transport Service,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(15%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3,310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Maxim Crane Works, L.P.</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Subordinated Debt (L+9.25%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17,674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Crane Rental and Sales</w:t>
            </w:r>
          </w:p>
        </w:tc>
        <w:tc>
          <w:tcPr>
            <w:tcW w:w="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Cash, 1% Floor, Due 11/26/18)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5,032</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5,032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Medical Depot,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5,032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120" w:type="dxa"/>
            <w:vAlign w:val="bottom"/>
          </w:tcPr>
          <w:p>
            <w:pPr>
              <w:ind w:left="80"/>
              <w:spacing w:after="0" w:line="179" w:lineRule="exact"/>
              <w:rPr>
                <w:sz w:val="20"/>
                <w:szCs w:val="20"/>
                <w:color w:val="auto"/>
              </w:rPr>
            </w:pPr>
            <w:r>
              <w:rPr>
                <w:rFonts w:ascii="Arial" w:cs="Arial" w:eastAsia="Arial" w:hAnsi="Arial"/>
                <w:sz w:val="13"/>
                <w:szCs w:val="13"/>
                <w:color w:val="auto"/>
              </w:rPr>
              <w:t>(14% Cash, Due 9/27/20)</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14,667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14,667</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14,667</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line="149" w:lineRule="exact"/>
              <w:rPr>
                <w:sz w:val="20"/>
                <w:szCs w:val="20"/>
                <w:color w:val="auto"/>
              </w:rPr>
            </w:pPr>
            <w:r>
              <w:rPr>
                <w:rFonts w:ascii="Arial" w:cs="Arial" w:eastAsia="Arial" w:hAnsi="Arial"/>
                <w:sz w:val="14"/>
                <w:szCs w:val="14"/>
                <w:color w:val="auto"/>
              </w:rPr>
              <w:t>Medical Depot,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Arial" w:cs="Arial" w:eastAsia="Arial" w:hAnsi="Arial"/>
                <w:sz w:val="14"/>
                <w:szCs w:val="14"/>
                <w:color w:val="auto"/>
              </w:rPr>
              <w:t>Series C Convertible Preferred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Stock (740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1,333</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8,345</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Merlin International,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23,012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IT Government Contracting</w:t>
            </w:r>
          </w:p>
        </w:tc>
        <w:tc>
          <w:tcPr>
            <w:tcW w:w="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(12.5% Cash, Due 12/16/19)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20,000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Nielsen &amp; Bainbridge, LLC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Subordinated Debt (L+9.25%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Home Décor Manufacturer</w:t>
            </w:r>
          </w:p>
        </w:tc>
        <w:tc>
          <w:tcPr>
            <w:tcW w:w="4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Cash, 1% Floor, Due 8/15/21)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14,816</w:t>
            </w:r>
          </w:p>
        </w:tc>
        <w:tc>
          <w:tcPr>
            <w:tcW w:w="6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14,614</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color w:val="auto"/>
              </w:rPr>
              <w:t>Senior Secured Debt (L+7%</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tcPr>
          <w:p>
            <w:pPr>
              <w:ind w:left="80"/>
              <w:spacing w:after="0" w:line="149" w:lineRule="exact"/>
              <w:rPr>
                <w:sz w:val="20"/>
                <w:szCs w:val="20"/>
                <w:color w:val="auto"/>
              </w:rPr>
            </w:pPr>
            <w:r>
              <w:rPr>
                <w:rFonts w:ascii="Arial" w:cs="Arial" w:eastAsia="Arial" w:hAnsi="Arial"/>
                <w:sz w:val="14"/>
                <w:szCs w:val="14"/>
                <w:color w:val="auto"/>
              </w:rPr>
              <w:t>Cash. 1% Floor, 1% PIK,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40" w:type="dxa"/>
            <w:vAlign w:val="bottom"/>
          </w:tcPr>
          <w:p>
            <w:pPr>
              <w:spacing w:after="0"/>
              <w:rPr>
                <w:sz w:val="15"/>
                <w:szCs w:val="15"/>
                <w:color w:val="auto"/>
              </w:rPr>
            </w:pPr>
          </w:p>
        </w:tc>
        <w:tc>
          <w:tcPr>
            <w:tcW w:w="2120" w:type="dxa"/>
            <w:vAlign w:val="bottom"/>
          </w:tcPr>
          <w:p>
            <w:pPr>
              <w:ind w:left="80"/>
              <w:spacing w:after="0"/>
              <w:rPr>
                <w:sz w:val="20"/>
                <w:szCs w:val="20"/>
                <w:color w:val="auto"/>
              </w:rPr>
            </w:pPr>
            <w:r>
              <w:rPr>
                <w:rFonts w:ascii="Arial" w:cs="Arial" w:eastAsia="Arial" w:hAnsi="Arial"/>
                <w:sz w:val="14"/>
                <w:szCs w:val="14"/>
                <w:color w:val="auto"/>
              </w:rPr>
              <w:t>due 12/14/2020)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12,256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12,256</w:t>
            </w:r>
          </w:p>
        </w:tc>
        <w:tc>
          <w:tcPr>
            <w:tcW w:w="60" w:type="dxa"/>
            <w:vAlign w:val="bottom"/>
          </w:tcPr>
          <w:p>
            <w:pPr>
              <w:spacing w:after="0"/>
              <w:rPr>
                <w:sz w:val="15"/>
                <w:szCs w:val="15"/>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4"/>
                <w:szCs w:val="14"/>
                <w:color w:val="auto"/>
              </w:rPr>
              <w:t>12,256</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7" w:name="page98"/>
    <w:bookmarkEnd w:id="9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5"/>
          <w:szCs w:val="15"/>
          <w:b w:val="1"/>
          <w:bCs w:val="1"/>
          <w:color w:val="auto"/>
        </w:rPr>
        <w:t>Consolidated Schedule of Investments – (continued)</w:t>
      </w:r>
    </w:p>
    <w:p>
      <w:pPr>
        <w:spacing w:after="0" w:line="6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9"/>
                <w:szCs w:val="19"/>
                <w:color w:val="auto"/>
              </w:rPr>
            </w:pPr>
          </w:p>
        </w:tc>
        <w:tc>
          <w:tcPr>
            <w:tcW w:w="222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Industry</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500" w:type="dxa"/>
            <w:vAlign w:val="bottom"/>
            <w:vMerge w:val="restart"/>
          </w:tcPr>
          <w:p>
            <w:pPr>
              <w:ind w:left="20"/>
              <w:spacing w:after="0"/>
              <w:rPr>
                <w:sz w:val="20"/>
                <w:szCs w:val="20"/>
                <w:color w:val="auto"/>
              </w:rPr>
            </w:pPr>
            <w:r>
              <w:rPr>
                <w:rFonts w:ascii="Arial" w:cs="Arial" w:eastAsia="Arial" w:hAnsi="Arial"/>
                <w:sz w:val="14"/>
                <w:szCs w:val="14"/>
                <w:color w:val="auto"/>
              </w:rPr>
              <w:t>Nth Degree, Inc.</w:t>
            </w:r>
          </w:p>
        </w:tc>
        <w:tc>
          <w:tcPr>
            <w:tcW w:w="40" w:type="dxa"/>
            <w:vAlign w:val="bottom"/>
          </w:tcPr>
          <w:p>
            <w:pPr>
              <w:spacing w:after="0"/>
              <w:rPr>
                <w:sz w:val="24"/>
                <w:szCs w:val="2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149"/>
        </w:trPr>
        <w:tc>
          <w:tcPr>
            <w:tcW w:w="2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Business Services</w:t>
            </w:r>
          </w:p>
        </w:tc>
        <w:tc>
          <w:tcPr>
            <w:tcW w:w="0" w:type="dxa"/>
            <w:vAlign w:val="bottom"/>
          </w:tcPr>
          <w:p>
            <w:pPr>
              <w:spacing w:after="0"/>
              <w:rPr>
                <w:sz w:val="1"/>
                <w:szCs w:val="1"/>
                <w:color w:val="auto"/>
              </w:rPr>
            </w:pPr>
          </w:p>
        </w:tc>
      </w:tr>
      <w:tr>
        <w:trPr>
          <w:trHeight w:val="290"/>
        </w:trPr>
        <w:tc>
          <w:tcPr>
            <w:tcW w:w="2500" w:type="dxa"/>
            <w:vAlign w:val="bottom"/>
          </w:tcPr>
          <w:p>
            <w:pPr>
              <w:ind w:left="20"/>
              <w:spacing w:after="0"/>
              <w:rPr>
                <w:sz w:val="20"/>
                <w:szCs w:val="20"/>
                <w:color w:val="auto"/>
              </w:rPr>
            </w:pPr>
            <w:r>
              <w:rPr>
                <w:rFonts w:ascii="Arial" w:cs="Arial" w:eastAsia="Arial" w:hAnsi="Arial"/>
                <w:sz w:val="14"/>
                <w:szCs w:val="14"/>
                <w:color w:val="auto"/>
              </w:rPr>
              <w:t>Portrait Innovations, Inc.</w:t>
            </w:r>
          </w:p>
        </w:tc>
        <w:tc>
          <w:tcPr>
            <w:tcW w:w="40" w:type="dxa"/>
            <w:vAlign w:val="bottom"/>
          </w:tcPr>
          <w:p>
            <w:pPr>
              <w:spacing w:after="0"/>
              <w:rPr>
                <w:sz w:val="24"/>
                <w:szCs w:val="2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Professional and Personal Digital</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Imaging</w:t>
            </w:r>
          </w:p>
        </w:tc>
        <w:tc>
          <w:tcPr>
            <w:tcW w:w="0" w:type="dxa"/>
            <w:vAlign w:val="bottom"/>
          </w:tcPr>
          <w:p>
            <w:pPr>
              <w:spacing w:after="0"/>
              <w:rPr>
                <w:sz w:val="1"/>
                <w:szCs w:val="1"/>
                <w:color w:val="auto"/>
              </w:rPr>
            </w:pPr>
          </w:p>
        </w:tc>
      </w:tr>
      <w:tr>
        <w:trPr>
          <w:trHeight w:val="324"/>
        </w:trPr>
        <w:tc>
          <w:tcPr>
            <w:tcW w:w="2500" w:type="dxa"/>
            <w:vAlign w:val="bottom"/>
          </w:tcPr>
          <w:p>
            <w:pPr>
              <w:ind w:left="20"/>
              <w:spacing w:after="0"/>
              <w:rPr>
                <w:sz w:val="20"/>
                <w:szCs w:val="20"/>
                <w:color w:val="auto"/>
              </w:rPr>
            </w:pPr>
            <w:r>
              <w:rPr>
                <w:rFonts w:ascii="Arial" w:cs="Arial" w:eastAsia="Arial" w:hAnsi="Arial"/>
                <w:sz w:val="14"/>
                <w:szCs w:val="14"/>
                <w:color w:val="auto"/>
              </w:rPr>
              <w:t>Sequoia Healthcare Management, LLC</w:t>
            </w:r>
          </w:p>
        </w:tc>
        <w:tc>
          <w:tcPr>
            <w:tcW w:w="40" w:type="dxa"/>
            <w:vAlign w:val="bottom"/>
          </w:tcPr>
          <w:p>
            <w:pPr>
              <w:spacing w:after="0"/>
              <w:rPr>
                <w:sz w:val="24"/>
                <w:szCs w:val="24"/>
                <w:color w:val="auto"/>
              </w:rPr>
            </w:pPr>
          </w:p>
        </w:tc>
        <w:tc>
          <w:tcPr>
            <w:tcW w:w="2220" w:type="dxa"/>
            <w:vAlign w:val="bottom"/>
            <w:vMerge w:val="restart"/>
          </w:tcPr>
          <w:p>
            <w:pPr>
              <w:ind w:left="80"/>
              <w:spacing w:after="0"/>
              <w:rPr>
                <w:sz w:val="20"/>
                <w:szCs w:val="20"/>
                <w:color w:val="auto"/>
              </w:rPr>
            </w:pPr>
            <w:r>
              <w:rPr>
                <w:rFonts w:ascii="Arial" w:cs="Arial" w:eastAsia="Arial" w:hAnsi="Arial"/>
                <w:sz w:val="14"/>
                <w:szCs w:val="14"/>
                <w:color w:val="auto"/>
              </w:rPr>
              <w:t>Healthcare Management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500" w:type="dxa"/>
            <w:vAlign w:val="bottom"/>
          </w:tcPr>
          <w:p>
            <w:pPr>
              <w:ind w:left="20"/>
              <w:spacing w:after="0"/>
              <w:rPr>
                <w:sz w:val="20"/>
                <w:szCs w:val="20"/>
                <w:color w:val="auto"/>
              </w:rPr>
            </w:pPr>
            <w:r>
              <w:rPr>
                <w:rFonts w:ascii="Arial" w:cs="Arial" w:eastAsia="Arial" w:hAnsi="Arial"/>
                <w:sz w:val="14"/>
                <w:szCs w:val="14"/>
                <w:color w:val="auto"/>
              </w:rPr>
              <w:t>Sierra Hamilton, LLC</w:t>
            </w:r>
          </w:p>
        </w:tc>
        <w:tc>
          <w:tcPr>
            <w:tcW w:w="40" w:type="dxa"/>
            <w:vAlign w:val="bottom"/>
          </w:tcPr>
          <w:p>
            <w:pPr>
              <w:spacing w:after="0"/>
              <w:rPr>
                <w:sz w:val="24"/>
                <w:szCs w:val="24"/>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Oil &amp; Gas Engineering and</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Consulting Services</w:t>
            </w:r>
          </w:p>
        </w:tc>
        <w:tc>
          <w:tcPr>
            <w:tcW w:w="0" w:type="dxa"/>
            <w:vAlign w:val="bottom"/>
          </w:tcPr>
          <w:p>
            <w:pPr>
              <w:spacing w:after="0"/>
              <w:rPr>
                <w:sz w:val="1"/>
                <w:szCs w:val="1"/>
                <w:color w:val="auto"/>
              </w:rPr>
            </w:pPr>
          </w:p>
        </w:tc>
      </w:tr>
      <w:tr>
        <w:trPr>
          <w:trHeight w:val="324"/>
        </w:trPr>
        <w:tc>
          <w:tcPr>
            <w:tcW w:w="2500" w:type="dxa"/>
            <w:vAlign w:val="bottom"/>
          </w:tcPr>
          <w:p>
            <w:pPr>
              <w:ind w:left="20"/>
              <w:spacing w:after="0"/>
              <w:rPr>
                <w:sz w:val="20"/>
                <w:szCs w:val="20"/>
                <w:color w:val="auto"/>
              </w:rPr>
            </w:pPr>
            <w:r>
              <w:rPr>
                <w:rFonts w:ascii="Arial" w:cs="Arial" w:eastAsia="Arial" w:hAnsi="Arial"/>
                <w:sz w:val="14"/>
                <w:szCs w:val="14"/>
                <w:color w:val="auto"/>
              </w:rPr>
              <w:t>Sparus Holdings, Inc.</w:t>
            </w: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00" w:type="dxa"/>
            <w:vAlign w:val="bottom"/>
            <w:vMerge w:val="restart"/>
          </w:tcPr>
          <w:p>
            <w:pPr>
              <w:ind w:left="20"/>
              <w:spacing w:after="0"/>
              <w:rPr>
                <w:sz w:val="20"/>
                <w:szCs w:val="20"/>
                <w:color w:val="auto"/>
              </w:rPr>
            </w:pPr>
            <w:r>
              <w:rPr>
                <w:rFonts w:ascii="Arial" w:cs="Arial" w:eastAsia="Arial" w:hAnsi="Arial"/>
                <w:sz w:val="14"/>
                <w:szCs w:val="14"/>
                <w:color w:val="auto"/>
              </w:rPr>
              <w:t>Sparus Holdings, Inc.</w:t>
            </w:r>
          </w:p>
        </w:tc>
        <w:tc>
          <w:tcPr>
            <w:tcW w:w="40" w:type="dxa"/>
            <w:vAlign w:val="bottom"/>
          </w:tcPr>
          <w:p>
            <w:pPr>
              <w:spacing w:after="0"/>
              <w:rPr>
                <w:sz w:val="16"/>
                <w:szCs w:val="16"/>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Energy Services</w:t>
            </w:r>
          </w:p>
        </w:tc>
        <w:tc>
          <w:tcPr>
            <w:tcW w:w="0" w:type="dxa"/>
            <w:vAlign w:val="bottom"/>
          </w:tcPr>
          <w:p>
            <w:pPr>
              <w:spacing w:after="0"/>
              <w:rPr>
                <w:sz w:val="1"/>
                <w:szCs w:val="1"/>
                <w:color w:val="auto"/>
              </w:rPr>
            </w:pPr>
          </w:p>
        </w:tc>
      </w:tr>
      <w:tr>
        <w:trPr>
          <w:trHeight w:val="149"/>
        </w:trPr>
        <w:tc>
          <w:tcPr>
            <w:tcW w:w="25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Energy Services</w:t>
            </w:r>
          </w:p>
        </w:tc>
        <w:tc>
          <w:tcPr>
            <w:tcW w:w="0" w:type="dxa"/>
            <w:vAlign w:val="bottom"/>
          </w:tcPr>
          <w:p>
            <w:pPr>
              <w:spacing w:after="0"/>
              <w:rPr>
                <w:sz w:val="1"/>
                <w:szCs w:val="1"/>
                <w:color w:val="auto"/>
              </w:rPr>
            </w:pPr>
          </w:p>
        </w:tc>
      </w:tr>
      <w:tr>
        <w:trPr>
          <w:trHeight w:val="324"/>
        </w:trPr>
        <w:tc>
          <w:tcPr>
            <w:tcW w:w="2500" w:type="dxa"/>
            <w:vAlign w:val="bottom"/>
          </w:tcPr>
          <w:p>
            <w:pPr>
              <w:ind w:left="20"/>
              <w:spacing w:after="0"/>
              <w:rPr>
                <w:sz w:val="20"/>
                <w:szCs w:val="20"/>
                <w:color w:val="auto"/>
              </w:rPr>
            </w:pPr>
            <w:r>
              <w:rPr>
                <w:rFonts w:ascii="Arial" w:cs="Arial" w:eastAsia="Arial" w:hAnsi="Arial"/>
                <w:sz w:val="14"/>
                <w:szCs w:val="14"/>
                <w:color w:val="auto"/>
              </w:rPr>
              <w:t>Taylor Precision Products, Inc.</w:t>
            </w:r>
          </w:p>
        </w:tc>
        <w:tc>
          <w:tcPr>
            <w:tcW w:w="40" w:type="dxa"/>
            <w:vAlign w:val="bottom"/>
          </w:tcPr>
          <w:p>
            <w:pPr>
              <w:spacing w:after="0"/>
              <w:rPr>
                <w:sz w:val="24"/>
                <w:szCs w:val="24"/>
                <w:color w:val="auto"/>
              </w:rPr>
            </w:pPr>
          </w:p>
        </w:tc>
        <w:tc>
          <w:tcPr>
            <w:tcW w:w="2220" w:type="dxa"/>
            <w:vAlign w:val="bottom"/>
            <w:vMerge w:val="restart"/>
          </w:tcPr>
          <w:p>
            <w:pPr>
              <w:ind w:left="80"/>
              <w:spacing w:after="0"/>
              <w:rPr>
                <w:sz w:val="20"/>
                <w:szCs w:val="20"/>
                <w:color w:val="auto"/>
              </w:rPr>
            </w:pPr>
            <w:r>
              <w:rPr>
                <w:rFonts w:ascii="Arial" w:cs="Arial" w:eastAsia="Arial" w:hAnsi="Arial"/>
                <w:sz w:val="14"/>
                <w:szCs w:val="14"/>
                <w:color w:val="auto"/>
              </w:rPr>
              <w:t>Household Product Manufacturer</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500" w:type="dxa"/>
            <w:vAlign w:val="bottom"/>
          </w:tcPr>
          <w:p>
            <w:pPr>
              <w:ind w:left="20"/>
              <w:spacing w:after="0"/>
              <w:rPr>
                <w:sz w:val="20"/>
                <w:szCs w:val="20"/>
                <w:color w:val="auto"/>
              </w:rPr>
            </w:pPr>
            <w:r>
              <w:rPr>
                <w:rFonts w:ascii="Arial" w:cs="Arial" w:eastAsia="Arial" w:hAnsi="Arial"/>
                <w:sz w:val="14"/>
                <w:szCs w:val="14"/>
                <w:color w:val="auto"/>
              </w:rPr>
              <w:t>Tenere, Inc.</w:t>
            </w: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Industrial Manufacturing</w:t>
            </w:r>
          </w:p>
        </w:tc>
        <w:tc>
          <w:tcPr>
            <w:tcW w:w="0" w:type="dxa"/>
            <w:vAlign w:val="bottom"/>
          </w:tcPr>
          <w:p>
            <w:pPr>
              <w:spacing w:after="0"/>
              <w:rPr>
                <w:sz w:val="1"/>
                <w:szCs w:val="1"/>
                <w:color w:val="auto"/>
              </w:rPr>
            </w:pPr>
          </w:p>
        </w:tc>
      </w:tr>
      <w:tr>
        <w:trPr>
          <w:trHeight w:val="324"/>
        </w:trPr>
        <w:tc>
          <w:tcPr>
            <w:tcW w:w="2500" w:type="dxa"/>
            <w:vAlign w:val="bottom"/>
          </w:tcPr>
          <w:p>
            <w:pPr>
              <w:ind w:left="20"/>
              <w:spacing w:after="0"/>
              <w:rPr>
                <w:sz w:val="20"/>
                <w:szCs w:val="20"/>
                <w:color w:val="auto"/>
              </w:rPr>
            </w:pPr>
            <w:r>
              <w:rPr>
                <w:rFonts w:ascii="Arial" w:cs="Arial" w:eastAsia="Arial" w:hAnsi="Arial"/>
                <w:sz w:val="14"/>
                <w:szCs w:val="14"/>
                <w:color w:val="auto"/>
              </w:rPr>
              <w:t>U.S. Well Services, LLC</w:t>
            </w:r>
          </w:p>
        </w:tc>
        <w:tc>
          <w:tcPr>
            <w:tcW w:w="40" w:type="dxa"/>
            <w:vAlign w:val="bottom"/>
          </w:tcPr>
          <w:p>
            <w:pPr>
              <w:spacing w:after="0"/>
              <w:rPr>
                <w:sz w:val="24"/>
                <w:szCs w:val="24"/>
                <w:color w:val="auto"/>
              </w:rPr>
            </w:pPr>
          </w:p>
        </w:tc>
        <w:tc>
          <w:tcPr>
            <w:tcW w:w="2220" w:type="dxa"/>
            <w:vAlign w:val="bottom"/>
            <w:vMerge w:val="restart"/>
          </w:tcPr>
          <w:p>
            <w:pPr>
              <w:ind w:left="80"/>
              <w:spacing w:after="0"/>
              <w:rPr>
                <w:sz w:val="20"/>
                <w:szCs w:val="20"/>
                <w:color w:val="auto"/>
              </w:rPr>
            </w:pPr>
            <w:r>
              <w:rPr>
                <w:rFonts w:ascii="Arial" w:cs="Arial" w:eastAsia="Arial" w:hAnsi="Arial"/>
                <w:sz w:val="14"/>
                <w:szCs w:val="14"/>
                <w:color w:val="auto"/>
              </w:rPr>
              <w:t>Oil &amp; Gas Services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500" w:type="dxa"/>
            <w:vAlign w:val="bottom"/>
          </w:tcPr>
          <w:p>
            <w:pPr>
              <w:ind w:left="20"/>
              <w:spacing w:after="0"/>
              <w:rPr>
                <w:sz w:val="20"/>
                <w:szCs w:val="20"/>
                <w:color w:val="auto"/>
              </w:rPr>
            </w:pPr>
            <w:r>
              <w:rPr>
                <w:rFonts w:ascii="Arial" w:cs="Arial" w:eastAsia="Arial" w:hAnsi="Arial"/>
                <w:sz w:val="14"/>
                <w:szCs w:val="14"/>
                <w:color w:val="auto"/>
              </w:rPr>
              <w:t>Velum Global Credit Management, LLC</w:t>
            </w: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Financial Services</w:t>
            </w:r>
          </w:p>
        </w:tc>
        <w:tc>
          <w:tcPr>
            <w:tcW w:w="0" w:type="dxa"/>
            <w:vAlign w:val="bottom"/>
          </w:tcPr>
          <w:p>
            <w:pPr>
              <w:spacing w:after="0"/>
              <w:rPr>
                <w:sz w:val="1"/>
                <w:szCs w:val="1"/>
                <w:color w:val="auto"/>
              </w:rPr>
            </w:pPr>
          </w:p>
        </w:tc>
      </w:tr>
      <w:tr>
        <w:trPr>
          <w:trHeight w:val="324"/>
        </w:trPr>
        <w:tc>
          <w:tcPr>
            <w:tcW w:w="2500" w:type="dxa"/>
            <w:vAlign w:val="bottom"/>
          </w:tcPr>
          <w:p>
            <w:pPr>
              <w:ind w:left="20"/>
              <w:spacing w:after="0"/>
              <w:rPr>
                <w:sz w:val="20"/>
                <w:szCs w:val="20"/>
                <w:color w:val="auto"/>
              </w:rPr>
            </w:pPr>
            <w:r>
              <w:rPr>
                <w:rFonts w:ascii="Arial" w:cs="Arial" w:eastAsia="Arial" w:hAnsi="Arial"/>
                <w:sz w:val="14"/>
                <w:szCs w:val="14"/>
                <w:color w:val="auto"/>
              </w:rPr>
              <w:t>Vology, Inc.</w:t>
            </w:r>
          </w:p>
        </w:tc>
        <w:tc>
          <w:tcPr>
            <w:tcW w:w="40" w:type="dxa"/>
            <w:vAlign w:val="bottom"/>
          </w:tcPr>
          <w:p>
            <w:pPr>
              <w:spacing w:after="0"/>
              <w:rPr>
                <w:sz w:val="24"/>
                <w:szCs w:val="24"/>
                <w:color w:val="auto"/>
              </w:rPr>
            </w:pPr>
          </w:p>
        </w:tc>
        <w:tc>
          <w:tcPr>
            <w:tcW w:w="2220" w:type="dxa"/>
            <w:vAlign w:val="bottom"/>
            <w:vMerge w:val="restart"/>
          </w:tcPr>
          <w:p>
            <w:pPr>
              <w:ind w:left="80"/>
              <w:spacing w:after="0"/>
              <w:rPr>
                <w:sz w:val="20"/>
                <w:szCs w:val="20"/>
                <w:color w:val="auto"/>
              </w:rPr>
            </w:pPr>
            <w:r>
              <w:rPr>
                <w:rFonts w:ascii="Arial" w:cs="Arial" w:eastAsia="Arial" w:hAnsi="Arial"/>
                <w:sz w:val="14"/>
                <w:szCs w:val="14"/>
                <w:color w:val="auto"/>
              </w:rPr>
              <w:t>Information Technology</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500" w:type="dxa"/>
            <w:vAlign w:val="bottom"/>
          </w:tcPr>
          <w:p>
            <w:pPr>
              <w:ind w:left="20"/>
              <w:spacing w:after="0"/>
              <w:rPr>
                <w:sz w:val="20"/>
                <w:szCs w:val="20"/>
                <w:color w:val="auto"/>
              </w:rPr>
            </w:pPr>
            <w:r>
              <w:rPr>
                <w:rFonts w:ascii="Arial" w:cs="Arial" w:eastAsia="Arial" w:hAnsi="Arial"/>
                <w:sz w:val="14"/>
                <w:szCs w:val="14"/>
                <w:color w:val="auto"/>
              </w:rPr>
              <w:t>Western Windows Systems, LLC</w:t>
            </w: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20" w:type="dxa"/>
            <w:vAlign w:val="bottom"/>
          </w:tcPr>
          <w:p>
            <w:pPr>
              <w:ind w:left="80"/>
              <w:spacing w:after="0" w:line="155" w:lineRule="exact"/>
              <w:rPr>
                <w:sz w:val="20"/>
                <w:szCs w:val="20"/>
                <w:color w:val="auto"/>
              </w:rPr>
            </w:pPr>
            <w:r>
              <w:rPr>
                <w:rFonts w:ascii="Arial" w:cs="Arial" w:eastAsia="Arial" w:hAnsi="Arial"/>
                <w:sz w:val="14"/>
                <w:szCs w:val="14"/>
                <w:color w:val="auto"/>
              </w:rPr>
              <w:t>Building Products</w:t>
            </w:r>
          </w:p>
        </w:tc>
        <w:tc>
          <w:tcPr>
            <w:tcW w:w="0" w:type="dxa"/>
            <w:vAlign w:val="bottom"/>
          </w:tcPr>
          <w:p>
            <w:pPr>
              <w:spacing w:after="0"/>
              <w:rPr>
                <w:sz w:val="1"/>
                <w:szCs w:val="1"/>
                <w:color w:val="auto"/>
              </w:rPr>
            </w:pPr>
          </w:p>
        </w:tc>
      </w:tr>
      <w:tr>
        <w:trPr>
          <w:trHeight w:val="182"/>
        </w:trPr>
        <w:tc>
          <w:tcPr>
            <w:tcW w:w="2500" w:type="dxa"/>
            <w:vAlign w:val="bottom"/>
          </w:tcPr>
          <w:p>
            <w:pPr>
              <w:ind w:left="20"/>
              <w:spacing w:after="0"/>
              <w:rPr>
                <w:sz w:val="20"/>
                <w:szCs w:val="20"/>
                <w:color w:val="auto"/>
              </w:rPr>
            </w:pPr>
            <w:r>
              <w:rPr>
                <w:rFonts w:ascii="Arial" w:cs="Arial" w:eastAsia="Arial" w:hAnsi="Arial"/>
                <w:sz w:val="14"/>
                <w:szCs w:val="14"/>
                <w:color w:val="auto"/>
              </w:rPr>
              <w:t>Western Windows Systems, LLC</w:t>
            </w:r>
          </w:p>
        </w:tc>
        <w:tc>
          <w:tcPr>
            <w:tcW w:w="40" w:type="dxa"/>
            <w:vAlign w:val="bottom"/>
          </w:tcPr>
          <w:p>
            <w:pPr>
              <w:spacing w:after="0"/>
              <w:rPr>
                <w:sz w:val="15"/>
                <w:szCs w:val="15"/>
                <w:color w:val="auto"/>
              </w:rPr>
            </w:pPr>
          </w:p>
        </w:tc>
        <w:tc>
          <w:tcPr>
            <w:tcW w:w="222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Sub Total Non-control/Non-affiliated investments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Affiliate investments – 43.6%</w:t>
      </w:r>
    </w:p>
    <w:p>
      <w:pPr>
        <w:ind w:left="20"/>
        <w:spacing w:after="0" w:line="226" w:lineRule="auto"/>
        <w:rPr>
          <w:sz w:val="20"/>
          <w:szCs w:val="20"/>
          <w:color w:val="auto"/>
        </w:rPr>
      </w:pPr>
      <w:r>
        <w:rPr>
          <w:rFonts w:ascii="Arial" w:cs="Arial" w:eastAsia="Arial" w:hAnsi="Arial"/>
          <w:sz w:val="14"/>
          <w:szCs w:val="14"/>
          <w:color w:val="auto"/>
        </w:rPr>
        <w:t>Burgaflex Holdings, LLC</w:t>
      </w:r>
    </w:p>
    <w:p>
      <w:pPr>
        <w:ind w:left="2620"/>
        <w:spacing w:after="0" w:line="222" w:lineRule="auto"/>
        <w:rPr>
          <w:sz w:val="20"/>
          <w:szCs w:val="20"/>
          <w:color w:val="auto"/>
        </w:rPr>
      </w:pPr>
      <w:r>
        <w:rPr>
          <w:rFonts w:ascii="Arial" w:cs="Arial" w:eastAsia="Arial" w:hAnsi="Arial"/>
          <w:sz w:val="14"/>
          <w:szCs w:val="14"/>
          <w:color w:val="auto"/>
        </w:rPr>
        <w:t>Automobile Part Manufacturer</w:t>
      </w:r>
    </w:p>
    <w:p>
      <w:pPr>
        <w:ind w:left="20"/>
        <w:spacing w:after="0" w:line="221" w:lineRule="auto"/>
        <w:rPr>
          <w:sz w:val="20"/>
          <w:szCs w:val="20"/>
          <w:color w:val="auto"/>
        </w:rPr>
      </w:pPr>
      <w:r>
        <w:rPr>
          <w:rFonts w:ascii="Arial" w:cs="Arial" w:eastAsia="Arial" w:hAnsi="Arial"/>
          <w:sz w:val="14"/>
          <w:szCs w:val="14"/>
          <w:color w:val="auto"/>
        </w:rPr>
        <w:t>Burgaflex Holdings, LLC</w:t>
      </w:r>
    </w:p>
    <w:p>
      <w:pPr>
        <w:ind w:left="2620"/>
        <w:spacing w:after="0" w:line="222" w:lineRule="auto"/>
        <w:rPr>
          <w:sz w:val="20"/>
          <w:szCs w:val="20"/>
          <w:color w:val="auto"/>
        </w:rPr>
      </w:pPr>
      <w:r>
        <w:rPr>
          <w:rFonts w:ascii="Arial" w:cs="Arial" w:eastAsia="Arial" w:hAnsi="Arial"/>
          <w:sz w:val="14"/>
          <w:szCs w:val="14"/>
          <w:color w:val="auto"/>
        </w:rPr>
        <w:t>Automobile Part Manufacturer</w:t>
      </w:r>
    </w:p>
    <w:p>
      <w:pPr>
        <w:ind w:left="20"/>
        <w:spacing w:after="0" w:line="221" w:lineRule="auto"/>
        <w:rPr>
          <w:sz w:val="20"/>
          <w:szCs w:val="20"/>
          <w:color w:val="auto"/>
        </w:rPr>
      </w:pPr>
      <w:r>
        <w:rPr>
          <w:rFonts w:ascii="Arial" w:cs="Arial" w:eastAsia="Arial" w:hAnsi="Arial"/>
          <w:sz w:val="14"/>
          <w:szCs w:val="14"/>
          <w:color w:val="auto"/>
        </w:rPr>
        <w:t>Burgaflex Holdings, LLC</w:t>
      </w:r>
    </w:p>
    <w:p>
      <w:pPr>
        <w:ind w:left="2620"/>
        <w:spacing w:after="0"/>
        <w:rPr>
          <w:sz w:val="20"/>
          <w:szCs w:val="20"/>
          <w:color w:val="auto"/>
        </w:rPr>
      </w:pPr>
      <w:r>
        <w:rPr>
          <w:rFonts w:ascii="Arial" w:cs="Arial" w:eastAsia="Arial" w:hAnsi="Arial"/>
          <w:sz w:val="14"/>
          <w:szCs w:val="14"/>
          <w:color w:val="auto"/>
        </w:rPr>
        <w:t>Automobile Part Manufacturer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City Gear, LLC</w:t>
      </w:r>
    </w:p>
    <w:p>
      <w:pPr>
        <w:spacing w:after="0" w:line="28"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Footwear Retail</w:t>
      </w:r>
    </w:p>
    <w:p>
      <w:pPr>
        <w:ind w:left="20"/>
        <w:spacing w:after="0"/>
        <w:rPr>
          <w:sz w:val="20"/>
          <w:szCs w:val="20"/>
          <w:color w:val="auto"/>
        </w:rPr>
      </w:pPr>
      <w:r>
        <w:rPr>
          <w:rFonts w:ascii="Arial" w:cs="Arial" w:eastAsia="Arial" w:hAnsi="Arial"/>
          <w:sz w:val="14"/>
          <w:szCs w:val="14"/>
          <w:color w:val="auto"/>
        </w:rPr>
        <w:t>City Gear, LLC</w:t>
      </w: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Footwear Retail</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9"/>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8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080" w:type="dxa"/>
            <w:vAlign w:val="bottom"/>
          </w:tcPr>
          <w:p>
            <w:pPr>
              <w:ind w:left="80"/>
              <w:spacing w:after="0" w:line="123" w:lineRule="exact"/>
              <w:rPr>
                <w:sz w:val="20"/>
                <w:szCs w:val="20"/>
                <w:color w:val="auto"/>
              </w:rPr>
            </w:pPr>
            <w:r>
              <w:rPr>
                <w:rFonts w:ascii="Arial" w:cs="Arial" w:eastAsia="Arial" w:hAnsi="Arial"/>
                <w:sz w:val="14"/>
                <w:szCs w:val="14"/>
                <w:color w:val="auto"/>
              </w:rPr>
              <w:t>Senior Secured Debt (L+11.5%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Cash, 1% Floor, 2%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due 12/14/2020)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9,009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9,009</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9,009</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2080" w:type="dxa"/>
            <w:vAlign w:val="bottom"/>
          </w:tcPr>
          <w:p>
            <w:pPr>
              <w:ind w:left="80"/>
              <w:spacing w:after="0" w:line="159" w:lineRule="exact"/>
              <w:rPr>
                <w:sz w:val="20"/>
                <w:szCs w:val="20"/>
                <w:color w:val="auto"/>
              </w:rPr>
            </w:pPr>
            <w:r>
              <w:rPr>
                <w:rFonts w:ascii="Arial" w:cs="Arial" w:eastAsia="Arial" w:hAnsi="Arial"/>
                <w:sz w:val="14"/>
                <w:szCs w:val="14"/>
                <w:color w:val="auto"/>
              </w:rPr>
              <w:t>Preferred 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80"/>
              <w:spacing w:after="0" w:line="198" w:lineRule="exact"/>
              <w:rPr>
                <w:sz w:val="20"/>
                <w:szCs w:val="20"/>
                <w:color w:val="auto"/>
              </w:rPr>
            </w:pPr>
            <w:r>
              <w:rPr>
                <w:rFonts w:ascii="Arial" w:cs="Arial" w:eastAsia="Arial" w:hAnsi="Arial"/>
                <w:sz w:val="14"/>
                <w:szCs w:val="14"/>
                <w:color w:val="auto"/>
              </w:rPr>
              <w:t>(10% PIK dividend)</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3,015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3,015</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w w:val="97"/>
              </w:rPr>
              <w:t>Senior Secured Term Debt (12%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24,280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24,280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80"/>
              <w:spacing w:after="0"/>
              <w:rPr>
                <w:sz w:val="20"/>
                <w:szCs w:val="20"/>
                <w:color w:val="auto"/>
              </w:rPr>
            </w:pPr>
            <w:r>
              <w:rPr>
                <w:rFonts w:ascii="Arial" w:cs="Arial" w:eastAsia="Arial" w:hAnsi="Arial"/>
                <w:sz w:val="14"/>
                <w:szCs w:val="14"/>
                <w:color w:val="auto"/>
              </w:rPr>
              <w:t>Cash, Due 2/26/20)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15,000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w w:val="97"/>
              </w:rPr>
              <w:t>Senior Secured Term Debt (12%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80"/>
              <w:spacing w:after="0"/>
              <w:rPr>
                <w:sz w:val="20"/>
                <w:szCs w:val="20"/>
                <w:color w:val="auto"/>
              </w:rPr>
            </w:pPr>
            <w:r>
              <w:rPr>
                <w:rFonts w:ascii="Arial" w:cs="Arial" w:eastAsia="Arial" w:hAnsi="Arial"/>
                <w:sz w:val="14"/>
                <w:szCs w:val="14"/>
                <w:color w:val="auto"/>
              </w:rPr>
              <w:t>Cash, 4% PIK, due 7/17/19)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11,525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11,370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11,525</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11,370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80"/>
              <w:spacing w:after="0"/>
              <w:rPr>
                <w:sz w:val="20"/>
                <w:szCs w:val="20"/>
                <w:color w:val="auto"/>
              </w:rPr>
            </w:pPr>
            <w:r>
              <w:rPr>
                <w:rFonts w:ascii="Arial" w:cs="Arial" w:eastAsia="Arial" w:hAnsi="Arial"/>
                <w:sz w:val="14"/>
                <w:szCs w:val="14"/>
                <w:color w:val="auto"/>
              </w:rPr>
              <w:t>(12.25% Cash, Due 12/15/18)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10,075</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10,075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80" w:type="dxa"/>
            <w:vAlign w:val="bottom"/>
          </w:tcPr>
          <w:p>
            <w:pPr>
              <w:ind w:left="80"/>
              <w:spacing w:after="0" w:line="179" w:lineRule="exact"/>
              <w:rPr>
                <w:sz w:val="20"/>
                <w:szCs w:val="20"/>
                <w:color w:val="auto"/>
              </w:rPr>
            </w:pPr>
            <w:r>
              <w:rPr>
                <w:rFonts w:ascii="Arial" w:cs="Arial" w:eastAsia="Arial" w:hAnsi="Arial"/>
                <w:sz w:val="13"/>
                <w:szCs w:val="13"/>
                <w:color w:val="auto"/>
              </w:rPr>
              <w:t>(12% Cash, Due 9/30/16)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5,120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5,120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8"/>
        </w:trPr>
        <w:tc>
          <w:tcPr>
            <w:tcW w:w="2080" w:type="dxa"/>
            <w:vAlign w:val="bottom"/>
          </w:tcPr>
          <w:p>
            <w:pPr>
              <w:ind w:left="80"/>
              <w:spacing w:after="0" w:line="159" w:lineRule="exact"/>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80"/>
              <w:spacing w:after="0" w:line="198" w:lineRule="exact"/>
              <w:rPr>
                <w:sz w:val="20"/>
                <w:szCs w:val="20"/>
                <w:color w:val="auto"/>
              </w:rPr>
            </w:pPr>
            <w:r>
              <w:rPr>
                <w:rFonts w:ascii="Arial" w:cs="Arial" w:eastAsia="Arial" w:hAnsi="Arial"/>
                <w:sz w:val="14"/>
                <w:szCs w:val="14"/>
                <w:color w:val="auto"/>
              </w:rPr>
              <w:t>(12% Cash, Due 9/30/16)</w:t>
            </w:r>
            <w:r>
              <w:rPr>
                <w:rFonts w:ascii="Arial" w:cs="Arial" w:eastAsia="Arial" w:hAnsi="Arial"/>
                <w:sz w:val="22"/>
                <w:szCs w:val="22"/>
                <w:color w:val="auto"/>
                <w:vertAlign w:val="superscript"/>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5,380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5,380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5,380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rPr>
              <w:t>Series C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80"/>
              <w:spacing w:after="0"/>
              <w:rPr>
                <w:sz w:val="20"/>
                <w:szCs w:val="20"/>
                <w:color w:val="auto"/>
              </w:rPr>
            </w:pPr>
            <w:r>
              <w:rPr>
                <w:rFonts w:ascii="Arial" w:cs="Arial" w:eastAsia="Arial" w:hAnsi="Arial"/>
                <w:sz w:val="14"/>
                <w:szCs w:val="14"/>
                <w:color w:val="auto"/>
              </w:rPr>
              <w:t>(379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758</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w w:val="97"/>
              </w:rPr>
              <w:t>Senior Secured Term Debt (11%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80"/>
              <w:spacing w:after="0" w:line="198" w:lineRule="exact"/>
              <w:rPr>
                <w:sz w:val="20"/>
                <w:szCs w:val="20"/>
                <w:color w:val="auto"/>
              </w:rPr>
            </w:pPr>
            <w:r>
              <w:rPr>
                <w:rFonts w:ascii="Arial" w:cs="Arial" w:eastAsia="Arial" w:hAnsi="Arial"/>
                <w:sz w:val="14"/>
                <w:szCs w:val="14"/>
                <w:color w:val="auto"/>
                <w:w w:val="98"/>
              </w:rPr>
              <w:t>Cash, 2% PIK, Due 12/15/17)</w:t>
            </w:r>
            <w:r>
              <w:rPr>
                <w:rFonts w:ascii="Arial" w:cs="Arial" w:eastAsia="Arial" w:hAnsi="Arial"/>
                <w:sz w:val="22"/>
                <w:szCs w:val="22"/>
                <w:color w:val="auto"/>
                <w:w w:val="98"/>
                <w:vertAlign w:val="superscript"/>
              </w:rPr>
              <w:t>(9)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3,582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3,582</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rPr>
              <w:t>Senior Secured Debt (L+11.5%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80"/>
              <w:spacing w:after="0"/>
              <w:rPr>
                <w:sz w:val="20"/>
                <w:szCs w:val="20"/>
                <w:color w:val="auto"/>
              </w:rPr>
            </w:pPr>
            <w:r>
              <w:rPr>
                <w:rFonts w:ascii="Arial" w:cs="Arial" w:eastAsia="Arial" w:hAnsi="Arial"/>
                <w:sz w:val="14"/>
                <w:szCs w:val="14"/>
                <w:color w:val="auto"/>
              </w:rPr>
              <w:t>Cash, 0.5% Floor, Due 5/2/19)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14,189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14,133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14,189</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14,133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14,189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80"/>
              <w:spacing w:after="0" w:line="198" w:lineRule="exact"/>
              <w:rPr>
                <w:sz w:val="20"/>
                <w:szCs w:val="20"/>
                <w:color w:val="auto"/>
              </w:rPr>
            </w:pPr>
            <w:r>
              <w:rPr>
                <w:rFonts w:ascii="Arial" w:cs="Arial" w:eastAsia="Arial" w:hAnsi="Arial"/>
                <w:sz w:val="14"/>
                <w:szCs w:val="14"/>
                <w:color w:val="auto"/>
              </w:rPr>
              <w:t>(15% PIK, Due 12/31/17)</w:t>
            </w:r>
            <w:r>
              <w:rPr>
                <w:rFonts w:ascii="Arial" w:cs="Arial" w:eastAsia="Arial" w:hAnsi="Arial"/>
                <w:sz w:val="22"/>
                <w:szCs w:val="22"/>
                <w:color w:val="auto"/>
                <w:vertAlign w:val="superscript"/>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9,069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9,069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9,069</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rPr>
              <w:t>Subordinated Debt (L+14%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80"/>
              <w:spacing w:after="0"/>
              <w:rPr>
                <w:sz w:val="20"/>
                <w:szCs w:val="20"/>
                <w:color w:val="auto"/>
              </w:rPr>
            </w:pPr>
            <w:r>
              <w:rPr>
                <w:rFonts w:ascii="Arial" w:cs="Arial" w:eastAsia="Arial" w:hAnsi="Arial"/>
                <w:sz w:val="14"/>
                <w:szCs w:val="14"/>
                <w:color w:val="auto"/>
              </w:rPr>
              <w:t>Cash, 1% Floor, Due 1/24/21)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80" w:type="dxa"/>
            <w:vAlign w:val="bottom"/>
          </w:tcPr>
          <w:p>
            <w:pPr>
              <w:ind w:left="80"/>
              <w:spacing w:after="0" w:line="179" w:lineRule="exact"/>
              <w:rPr>
                <w:sz w:val="20"/>
                <w:szCs w:val="20"/>
                <w:color w:val="auto"/>
              </w:rPr>
            </w:pPr>
            <w:r>
              <w:rPr>
                <w:rFonts w:ascii="Arial" w:cs="Arial" w:eastAsia="Arial" w:hAnsi="Arial"/>
                <w:sz w:val="13"/>
                <w:szCs w:val="13"/>
                <w:color w:val="auto"/>
              </w:rPr>
              <w:t>(12.2% Cash, Due 7/31/20)</w:t>
            </w:r>
            <w:r>
              <w:rPr>
                <w:rFonts w:ascii="Arial" w:cs="Arial" w:eastAsia="Arial" w:hAnsi="Arial"/>
                <w:sz w:val="20"/>
                <w:szCs w:val="20"/>
                <w:color w:val="auto"/>
                <w:vertAlign w:val="superscript"/>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7"/>
        </w:trPr>
        <w:tc>
          <w:tcPr>
            <w:tcW w:w="2080" w:type="dxa"/>
            <w:vAlign w:val="bottom"/>
          </w:tcPr>
          <w:p>
            <w:pPr>
              <w:ind w:left="80"/>
              <w:spacing w:after="0"/>
              <w:rPr>
                <w:sz w:val="20"/>
                <w:szCs w:val="20"/>
                <w:color w:val="auto"/>
              </w:rPr>
            </w:pPr>
            <w:r>
              <w:rPr>
                <w:rFonts w:ascii="Arial" w:cs="Arial" w:eastAsia="Arial" w:hAnsi="Arial"/>
                <w:sz w:val="14"/>
                <w:szCs w:val="14"/>
                <w:color w:val="auto"/>
                <w:w w:val="98"/>
              </w:rPr>
              <w:t>Common Equity (39,860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4,299</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18,299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391,031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404,513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150.5</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rPr>
              <w:t>Senior Subordinated Debt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208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(14% Cash, Due 8/9/19)</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Junior 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(12% Cash, Due 8/9/19)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5,828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5,828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5,828</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80"/>
              <w:spacing w:after="0"/>
              <w:rPr>
                <w:sz w:val="20"/>
                <w:szCs w:val="20"/>
                <w:color w:val="auto"/>
              </w:rPr>
            </w:pPr>
            <w:r>
              <w:rPr>
                <w:rFonts w:ascii="Arial" w:cs="Arial" w:eastAsia="Arial" w:hAnsi="Arial"/>
                <w:sz w:val="14"/>
                <w:szCs w:val="14"/>
                <w:color w:val="auto"/>
              </w:rPr>
              <w:t>(1,253,198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3,080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08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11,908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18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80" w:type="dxa"/>
            <w:vAlign w:val="bottom"/>
          </w:tcPr>
          <w:p>
            <w:pPr>
              <w:ind w:left="80"/>
              <w:spacing w:after="0" w:line="179" w:lineRule="exact"/>
              <w:rPr>
                <w:sz w:val="20"/>
                <w:szCs w:val="20"/>
                <w:color w:val="auto"/>
              </w:rPr>
            </w:pPr>
            <w:r>
              <w:rPr>
                <w:rFonts w:ascii="Arial" w:cs="Arial" w:eastAsia="Arial" w:hAnsi="Arial"/>
                <w:sz w:val="13"/>
                <w:szCs w:val="13"/>
                <w:color w:val="auto"/>
              </w:rPr>
              <w:t>(13% Cash, Due 9/28/17)</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8,231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8,231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8,231</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8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80" w:type="dxa"/>
            <w:vAlign w:val="bottom"/>
          </w:tcPr>
          <w:p>
            <w:pPr>
              <w:ind w:left="80"/>
              <w:spacing w:after="0" w:line="159" w:lineRule="exact"/>
              <w:rPr>
                <w:sz w:val="20"/>
                <w:szCs w:val="20"/>
                <w:color w:val="auto"/>
              </w:rPr>
            </w:pPr>
            <w:r>
              <w:rPr>
                <w:rFonts w:ascii="Arial" w:cs="Arial" w:eastAsia="Arial" w:hAnsi="Arial"/>
                <w:sz w:val="14"/>
                <w:szCs w:val="14"/>
                <w:color w:val="auto"/>
              </w:rPr>
              <w:t>(2.78% fully diluted, 9%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2080" w:type="dxa"/>
            <w:vAlign w:val="bottom"/>
          </w:tcPr>
          <w:p>
            <w:pPr>
              <w:ind w:left="80"/>
              <w:spacing w:after="0"/>
              <w:rPr>
                <w:sz w:val="20"/>
                <w:szCs w:val="20"/>
                <w:color w:val="auto"/>
              </w:rPr>
            </w:pPr>
            <w:r>
              <w:rPr>
                <w:rFonts w:ascii="Arial" w:cs="Arial" w:eastAsia="Arial" w:hAnsi="Arial"/>
                <w:sz w:val="14"/>
                <w:szCs w:val="14"/>
                <w:color w:val="auto"/>
              </w:rPr>
              <w:t>dividend)</w:t>
            </w:r>
            <w:r>
              <w:rPr>
                <w:rFonts w:ascii="Arial" w:cs="Arial" w:eastAsia="Arial" w:hAnsi="Arial"/>
                <w:sz w:val="23"/>
                <w:szCs w:val="23"/>
                <w:color w:val="auto"/>
                <w:vertAlign w:val="superscript"/>
              </w:rPr>
              <w:t>(6)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1,269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1,269</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760" w:space="40"/>
            <w:col w:w="5299"/>
          </w:cols>
          <w:pgMar w:left="360" w:top="792" w:right="1440" w:bottom="1440" w:gutter="0" w:footer="0" w:header="0"/>
          <w:type w:val="continuous"/>
        </w:sectPr>
      </w:pP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8" w:name="page99"/>
    <w:bookmarkEnd w:id="9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829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0"/>
              </w:rPr>
              <w:t>Principal</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Pr>
          <w:p>
            <w:pPr>
              <w:ind w:left="90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020" w:type="dxa"/>
            <w:vAlign w:val="bottom"/>
          </w:tcPr>
          <w:p>
            <w:pPr>
              <w:ind w:left="50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Amount</w:t>
            </w:r>
          </w:p>
        </w:tc>
        <w:tc>
          <w:tcPr>
            <w:tcW w:w="520" w:type="dxa"/>
            <w:vAlign w:val="bottom"/>
            <w:gridSpan w:val="3"/>
          </w:tcPr>
          <w:p>
            <w:pPr>
              <w:ind w:left="6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560" w:type="dxa"/>
            <w:vAlign w:val="bottom"/>
            <w:tcBorders>
              <w:top w:val="single" w:sz="8" w:color="auto"/>
            </w:tcBorders>
          </w:tcPr>
          <w:p>
            <w:pPr>
              <w:ind w:left="20"/>
              <w:spacing w:after="0" w:line="123" w:lineRule="exact"/>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Footwear Retail</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(11.38% fully diluted)</w:t>
            </w:r>
          </w:p>
        </w:tc>
        <w:tc>
          <w:tcPr>
            <w:tcW w:w="90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   9,182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GA Communications, Inc.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Series A-1 Preferred Stock</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9,500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18,682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w w:val="81"/>
              </w:rPr>
              <w:t>7.0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80"/>
              <w:spacing w:after="0" w:line="159" w:lineRule="exact"/>
              <w:rPr>
                <w:sz w:val="20"/>
                <w:szCs w:val="20"/>
                <w:color w:val="auto"/>
              </w:rPr>
            </w:pPr>
            <w:r>
              <w:rPr>
                <w:rFonts w:ascii="Arial" w:cs="Arial" w:eastAsia="Arial" w:hAnsi="Arial"/>
                <w:sz w:val="14"/>
                <w:szCs w:val="14"/>
                <w:color w:val="auto"/>
              </w:rPr>
              <w:t>(1,998 shares, 8% PIK</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5"/>
                <w:szCs w:val="15"/>
                <w:color w:val="auto"/>
              </w:rPr>
            </w:pPr>
          </w:p>
        </w:tc>
        <w:tc>
          <w:tcPr>
            <w:tcW w:w="2020" w:type="dxa"/>
            <w:vAlign w:val="bottom"/>
          </w:tcPr>
          <w:p>
            <w:pPr>
              <w:ind w:left="80"/>
              <w:spacing w:after="0" w:line="179" w:lineRule="exact"/>
              <w:rPr>
                <w:sz w:val="20"/>
                <w:szCs w:val="20"/>
                <w:color w:val="auto"/>
              </w:rPr>
            </w:pPr>
            <w:r>
              <w:rPr>
                <w:rFonts w:ascii="Arial" w:cs="Arial" w:eastAsia="Arial" w:hAnsi="Arial"/>
                <w:sz w:val="13"/>
                <w:szCs w:val="13"/>
                <w:color w:val="auto"/>
              </w:rPr>
              <w:t>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2,413</w:t>
            </w:r>
          </w:p>
        </w:tc>
        <w:tc>
          <w:tcPr>
            <w:tcW w:w="4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2,764</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GA Communications, Inc.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Series B-1 Common Stock</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Advertising &amp; Marketing Services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(200,000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1,162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2,415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3,926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w w:val="81"/>
              </w:rPr>
              <w:t>1.4</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5"/>
                <w:szCs w:val="15"/>
                <w:color w:val="auto"/>
              </w:rPr>
            </w:pPr>
          </w:p>
        </w:tc>
        <w:tc>
          <w:tcPr>
            <w:tcW w:w="2020" w:type="dxa"/>
            <w:vAlign w:val="bottom"/>
          </w:tcPr>
          <w:p>
            <w:pPr>
              <w:ind w:left="80"/>
              <w:spacing w:after="0" w:line="179" w:lineRule="exact"/>
              <w:rPr>
                <w:sz w:val="20"/>
                <w:szCs w:val="20"/>
                <w:color w:val="auto"/>
              </w:rPr>
            </w:pPr>
            <w:r>
              <w:rPr>
                <w:rFonts w:ascii="Arial" w:cs="Arial" w:eastAsia="Arial" w:hAnsi="Arial"/>
                <w:sz w:val="13"/>
                <w:szCs w:val="13"/>
                <w:color w:val="auto"/>
              </w:rPr>
              <w:t>(13% Cash, Due 7/16/18)</w:t>
            </w:r>
            <w:r>
              <w:rPr>
                <w:rFonts w:ascii="Arial" w:cs="Arial" w:eastAsia="Arial" w:hAnsi="Arial"/>
                <w:sz w:val="20"/>
                <w:szCs w:val="20"/>
                <w:color w:val="auto"/>
                <w:vertAlign w:val="superscript"/>
              </w:rPr>
              <w:t>(13)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5,182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5,182</w:t>
            </w:r>
          </w:p>
        </w:tc>
        <w:tc>
          <w:tcPr>
            <w:tcW w:w="4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5,182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Stock (8,182 shares)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J&amp;J Produce Holdings, Inc.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Produce Distribution</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(4,506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LJS Partners,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5,182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w w:val="81"/>
              </w:rPr>
              <w:t>1.9</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QSR Franchisor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(1,500,000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1,525</w:t>
            </w:r>
          </w:p>
        </w:tc>
        <w:tc>
          <w:tcPr>
            <w:tcW w:w="4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3,342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MJC Holdings,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1,525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3,342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w w:val="81"/>
              </w:rPr>
              <w:t>1.2</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Specialty Clothing</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4,696</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4,696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w w:val="81"/>
              </w:rPr>
              <w:t>1.7</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020" w:type="dxa"/>
            <w:vAlign w:val="bottom"/>
          </w:tcPr>
          <w:p>
            <w:pPr>
              <w:ind w:left="80"/>
              <w:spacing w:after="0" w:line="179" w:lineRule="exact"/>
              <w:rPr>
                <w:sz w:val="20"/>
                <w:szCs w:val="20"/>
                <w:color w:val="auto"/>
              </w:rPr>
            </w:pPr>
            <w:r>
              <w:rPr>
                <w:rFonts w:ascii="Arial" w:cs="Arial" w:eastAsia="Arial" w:hAnsi="Arial"/>
                <w:sz w:val="13"/>
                <w:szCs w:val="13"/>
                <w:color w:val="auto"/>
              </w:rPr>
              <w:t>(12% Cash, Due 1/31/17)</w:t>
            </w:r>
            <w:r>
              <w:rPr>
                <w:rFonts w:ascii="Arial" w:cs="Arial" w:eastAsia="Arial" w:hAnsi="Arial"/>
                <w:sz w:val="20"/>
                <w:szCs w:val="20"/>
                <w:color w:val="auto"/>
                <w:vertAlign w:val="superscript"/>
              </w:rPr>
              <w:t>(1)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2,600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2,600</w:t>
            </w:r>
          </w:p>
        </w:tc>
        <w:tc>
          <w:tcPr>
            <w:tcW w:w="4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2,600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80"/>
              <w:spacing w:after="0" w:line="159" w:lineRule="exact"/>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020" w:type="dxa"/>
            <w:vAlign w:val="bottom"/>
          </w:tcPr>
          <w:p>
            <w:pPr>
              <w:ind w:left="80"/>
              <w:spacing w:after="0" w:line="179" w:lineRule="exact"/>
              <w:rPr>
                <w:sz w:val="20"/>
                <w:szCs w:val="20"/>
                <w:color w:val="auto"/>
              </w:rPr>
            </w:pPr>
            <w:r>
              <w:rPr>
                <w:rFonts w:ascii="Arial" w:cs="Arial" w:eastAsia="Arial" w:hAnsi="Arial"/>
                <w:sz w:val="13"/>
                <w:szCs w:val="13"/>
                <w:color w:val="auto"/>
              </w:rPr>
              <w:t>(6% Cash, Due 1/31/17)</w:t>
            </w:r>
            <w:r>
              <w:rPr>
                <w:rFonts w:ascii="Arial" w:cs="Arial" w:eastAsia="Arial" w:hAnsi="Arial"/>
                <w:sz w:val="20"/>
                <w:szCs w:val="20"/>
                <w:color w:val="auto"/>
                <w:vertAlign w:val="superscript"/>
              </w:rPr>
              <w:t>(1)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388</w:t>
            </w:r>
          </w:p>
        </w:tc>
        <w:tc>
          <w:tcPr>
            <w:tcW w:w="4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400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80"/>
              <w:spacing w:after="0" w:line="159" w:lineRule="exact"/>
              <w:rPr>
                <w:sz w:val="20"/>
                <w:szCs w:val="20"/>
                <w:color w:val="auto"/>
              </w:rPr>
            </w:pPr>
            <w:r>
              <w:rPr>
                <w:rFonts w:ascii="Arial" w:cs="Arial" w:eastAsia="Arial" w:hAnsi="Arial"/>
                <w:sz w:val="14"/>
                <w:szCs w:val="14"/>
                <w:color w:val="auto"/>
              </w:rPr>
              <w:t>Preferred Units (1,000 units,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020" w:type="dxa"/>
            <w:vAlign w:val="bottom"/>
          </w:tcPr>
          <w:p>
            <w:pPr>
              <w:ind w:left="80"/>
              <w:spacing w:after="0" w:line="179" w:lineRule="exact"/>
              <w:rPr>
                <w:sz w:val="20"/>
                <w:szCs w:val="20"/>
                <w:color w:val="auto"/>
              </w:rPr>
            </w:pPr>
            <w:r>
              <w:rPr>
                <w:rFonts w:ascii="Arial" w:cs="Arial" w:eastAsia="Arial" w:hAnsi="Arial"/>
                <w:sz w:val="13"/>
                <w:szCs w:val="13"/>
                <w:color w:val="auto"/>
              </w:rPr>
              <w:t>6% 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1,216</w:t>
            </w:r>
          </w:p>
        </w:tc>
        <w:tc>
          <w:tcPr>
            <w:tcW w:w="4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1,350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Membership 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(45 units)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319</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4,204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w w:val="81"/>
              </w:rPr>
              <w:t>1.7</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(12% Cash, Due 11/1/18)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8,000</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4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13,917</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Capital ABUTEC,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21,917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w w:val="81"/>
              </w:rPr>
              <w:t>8.3</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80"/>
              <w:spacing w:after="0" w:line="159" w:lineRule="exact"/>
              <w:rPr>
                <w:sz w:val="20"/>
                <w:szCs w:val="20"/>
                <w:color w:val="auto"/>
              </w:rPr>
            </w:pPr>
            <w:r>
              <w:rPr>
                <w:rFonts w:ascii="Arial" w:cs="Arial" w:eastAsia="Arial" w:hAnsi="Arial"/>
                <w:sz w:val="14"/>
                <w:szCs w:val="14"/>
                <w:color w:val="auto"/>
              </w:rPr>
              <w:t>(12% Cash, 3% PIK,</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5"/>
                <w:szCs w:val="15"/>
                <w:color w:val="auto"/>
              </w:rPr>
            </w:pPr>
          </w:p>
        </w:tc>
        <w:tc>
          <w:tcPr>
            <w:tcW w:w="2020" w:type="dxa"/>
            <w:vAlign w:val="bottom"/>
          </w:tcPr>
          <w:p>
            <w:pPr>
              <w:ind w:left="80"/>
              <w:spacing w:after="0" w:line="179" w:lineRule="exact"/>
              <w:rPr>
                <w:sz w:val="20"/>
                <w:szCs w:val="20"/>
                <w:color w:val="auto"/>
              </w:rPr>
            </w:pPr>
            <w:r>
              <w:rPr>
                <w:rFonts w:ascii="Arial" w:cs="Arial" w:eastAsia="Arial" w:hAnsi="Arial"/>
                <w:sz w:val="13"/>
                <w:szCs w:val="13"/>
                <w:color w:val="auto"/>
              </w:rPr>
              <w:t>Due 12/28/17)</w:t>
            </w:r>
            <w:r>
              <w:rPr>
                <w:rFonts w:ascii="Arial" w:cs="Arial" w:eastAsia="Arial" w:hAnsi="Arial"/>
                <w:sz w:val="20"/>
                <w:szCs w:val="20"/>
                <w:color w:val="auto"/>
                <w:vertAlign w:val="superscript"/>
              </w:rPr>
              <w:t>(2)(12)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5,741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5,404</w:t>
            </w:r>
          </w:p>
        </w:tc>
        <w:tc>
          <w:tcPr>
            <w:tcW w:w="4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2,247</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ABUTEC,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(10.5% fully diluted)</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1,240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6,644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2,247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w w:val="81"/>
              </w:rPr>
              <w:t>0.8</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w w:val="97"/>
              </w:rPr>
              <w:t>Automotive Chemicals &amp; Lubricants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(13% Cash, Due 2/17/17)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w:t>
            </w:r>
          </w:p>
        </w:tc>
        <w:tc>
          <w:tcPr>
            <w:tcW w:w="4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2,500</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Pr>
          <w:p>
            <w:pPr>
              <w:ind w:left="80"/>
              <w:spacing w:after="0" w:line="149" w:lineRule="exact"/>
              <w:rPr>
                <w:sz w:val="20"/>
                <w:szCs w:val="20"/>
                <w:color w:val="auto"/>
              </w:rPr>
            </w:pPr>
            <w:r>
              <w:rPr>
                <w:rFonts w:ascii="Arial" w:cs="Arial" w:eastAsia="Arial" w:hAnsi="Arial"/>
                <w:sz w:val="14"/>
                <w:szCs w:val="14"/>
                <w:color w:val="auto"/>
                <w:w w:val="97"/>
              </w:rPr>
              <w:t>Automotive Chemicals &amp; Lubricants</w:t>
            </w: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(6.65% ownership)</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616</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w w:val="97"/>
              </w:rPr>
              <w:t>Automotive Chemicals &amp; Lubricants</w:t>
            </w:r>
          </w:p>
        </w:tc>
        <w:tc>
          <w:tcPr>
            <w:tcW w:w="40" w:type="dxa"/>
            <w:vAlign w:val="bottom"/>
          </w:tcPr>
          <w:p>
            <w:pPr>
              <w:spacing w:after="0"/>
              <w:rPr>
                <w:sz w:val="14"/>
                <w:szCs w:val="14"/>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(11.3% ownership)</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750</w:t>
            </w:r>
          </w:p>
        </w:tc>
        <w:tc>
          <w:tcPr>
            <w:tcW w:w="4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865</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Recycling, LLC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3,250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3,981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w w:val="81"/>
              </w:rPr>
              <w:t>1.4</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7"/>
                <w:szCs w:val="17"/>
                <w:color w:val="auto"/>
              </w:rPr>
            </w:pPr>
          </w:p>
        </w:tc>
        <w:tc>
          <w:tcPr>
            <w:tcW w:w="2020" w:type="dxa"/>
            <w:vAlign w:val="bottom"/>
          </w:tcPr>
          <w:p>
            <w:pPr>
              <w:ind w:left="80"/>
              <w:spacing w:after="0" w:line="198" w:lineRule="exact"/>
              <w:rPr>
                <w:sz w:val="20"/>
                <w:szCs w:val="20"/>
                <w:color w:val="auto"/>
              </w:rPr>
            </w:pPr>
            <w:r>
              <w:rPr>
                <w:rFonts w:ascii="Arial" w:cs="Arial" w:eastAsia="Arial" w:hAnsi="Arial"/>
                <w:sz w:val="14"/>
                <w:szCs w:val="14"/>
                <w:color w:val="auto"/>
              </w:rPr>
              <w:t>(13% Cash, Due 9/2/16)</w:t>
            </w:r>
            <w:r>
              <w:rPr>
                <w:rFonts w:ascii="Arial" w:cs="Arial" w:eastAsia="Arial" w:hAnsi="Arial"/>
                <w:sz w:val="22"/>
                <w:szCs w:val="22"/>
                <w:color w:val="auto"/>
                <w:vertAlign w:val="superscript"/>
              </w:rPr>
              <w:t>(2)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7"/>
                <w:szCs w:val="17"/>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3,106</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w w:val="92"/>
              </w:rPr>
              <w:t>STX Healthcare Management Services, Inc.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color w:val="auto"/>
                <w:w w:val="81"/>
              </w:rPr>
              <w:t>1.2</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5"/>
                <w:szCs w:val="15"/>
                <w:color w:val="auto"/>
              </w:rPr>
            </w:pPr>
          </w:p>
        </w:tc>
        <w:tc>
          <w:tcPr>
            <w:tcW w:w="2020" w:type="dxa"/>
            <w:vAlign w:val="bottom"/>
          </w:tcPr>
          <w:p>
            <w:pPr>
              <w:ind w:left="80"/>
              <w:spacing w:after="0" w:line="179" w:lineRule="exact"/>
              <w:rPr>
                <w:sz w:val="20"/>
                <w:szCs w:val="20"/>
                <w:color w:val="auto"/>
              </w:rPr>
            </w:pPr>
            <w:r>
              <w:rPr>
                <w:rFonts w:ascii="Arial" w:cs="Arial" w:eastAsia="Arial" w:hAnsi="Arial"/>
                <w:sz w:val="13"/>
                <w:szCs w:val="13"/>
                <w:color w:val="auto"/>
              </w:rPr>
              <w:t>(12.5% Cash, Due 7/31/18)</w:t>
            </w:r>
            <w:r>
              <w:rPr>
                <w:rFonts w:ascii="Arial" w:cs="Arial" w:eastAsia="Arial" w:hAnsi="Arial"/>
                <w:sz w:val="20"/>
                <w:szCs w:val="20"/>
                <w:color w:val="auto"/>
                <w:vertAlign w:val="superscript"/>
              </w:rPr>
              <w:t>(1)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6,425</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6,425</w:t>
            </w:r>
          </w:p>
        </w:tc>
        <w:tc>
          <w:tcPr>
            <w:tcW w:w="4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6,398</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w w:val="92"/>
              </w:rPr>
              <w:t>STX Healthcare Management Services, Inc.</w:t>
            </w:r>
          </w:p>
        </w:tc>
        <w:tc>
          <w:tcPr>
            <w:tcW w:w="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4"/>
                <w:szCs w:val="14"/>
                <w:color w:val="auto"/>
              </w:rPr>
              <w:t>(1,200,000 shares)</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1,200</w:t>
            </w:r>
          </w:p>
        </w:tc>
        <w:tc>
          <w:tcPr>
            <w:tcW w:w="4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1,047</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9" w:name="page100"/>
    <w:bookmarkEnd w:id="9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747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29"/>
              <w:spacing w:after="0"/>
              <w:rPr>
                <w:sz w:val="20"/>
                <w:szCs w:val="20"/>
                <w:color w:val="auto"/>
              </w:rPr>
            </w:pPr>
            <w:r>
              <w:rPr>
                <w:rFonts w:ascii="Arial" w:cs="Arial" w:eastAsia="Arial" w:hAnsi="Arial"/>
                <w:sz w:val="13"/>
                <w:szCs w:val="13"/>
                <w:b w:val="1"/>
                <w:bCs w:val="1"/>
                <w:color w:val="auto"/>
                <w:w w:val="87"/>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6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02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3"/>
        </w:trPr>
        <w:tc>
          <w:tcPr>
            <w:tcW w:w="2560" w:type="dxa"/>
            <w:vAlign w:val="bottom"/>
          </w:tcPr>
          <w:p>
            <w:pPr>
              <w:ind w:left="20"/>
              <w:spacing w:after="0" w:line="123" w:lineRule="exact"/>
              <w:rPr>
                <w:sz w:val="20"/>
                <w:szCs w:val="20"/>
                <w:color w:val="auto"/>
              </w:rPr>
            </w:pPr>
            <w:r>
              <w:rPr>
                <w:rFonts w:ascii="Arial" w:cs="Arial" w:eastAsia="Arial" w:hAnsi="Arial"/>
                <w:sz w:val="14"/>
                <w:szCs w:val="14"/>
                <w:color w:val="auto"/>
                <w:w w:val="92"/>
              </w:rPr>
              <w:t>STX Healthcare Management Services, Inc.</w:t>
            </w: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ind w:left="100"/>
              <w:spacing w:after="0" w:line="123"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Arial" w:cs="Arial" w:eastAsia="Arial" w:hAnsi="Arial"/>
                <w:sz w:val="14"/>
                <w:szCs w:val="14"/>
                <w:color w:val="auto"/>
              </w:rPr>
              <w:t>(1,154,254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1,007</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7,843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8,452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100"/>
              <w:spacing w:after="0" w:line="159" w:lineRule="exact"/>
              <w:rPr>
                <w:sz w:val="20"/>
                <w:szCs w:val="20"/>
                <w:color w:val="auto"/>
              </w:rPr>
            </w:pPr>
            <w:r>
              <w:rPr>
                <w:rFonts w:ascii="Arial" w:cs="Arial" w:eastAsia="Arial" w:hAnsi="Arial"/>
                <w:sz w:val="14"/>
                <w:szCs w:val="14"/>
                <w:color w:val="auto"/>
              </w:rPr>
              <w:t>(12% Cash, 2% PIK,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5"/>
                <w:szCs w:val="15"/>
                <w:color w:val="auto"/>
              </w:rPr>
            </w:pPr>
          </w:p>
        </w:tc>
        <w:tc>
          <w:tcPr>
            <w:tcW w:w="2020" w:type="dxa"/>
            <w:vAlign w:val="bottom"/>
          </w:tcPr>
          <w:p>
            <w:pPr>
              <w:ind w:left="100"/>
              <w:spacing w:after="0" w:line="179" w:lineRule="exact"/>
              <w:rPr>
                <w:sz w:val="20"/>
                <w:szCs w:val="20"/>
                <w:color w:val="auto"/>
              </w:rPr>
            </w:pPr>
            <w:r>
              <w:rPr>
                <w:rFonts w:ascii="Arial" w:cs="Arial" w:eastAsia="Arial" w:hAnsi="Arial"/>
                <w:sz w:val="13"/>
                <w:szCs w:val="13"/>
                <w:color w:val="auto"/>
              </w:rPr>
              <w:t>Due 2/1/19)</w:t>
            </w:r>
            <w:r>
              <w:rPr>
                <w:rFonts w:ascii="Arial" w:cs="Arial" w:eastAsia="Arial" w:hAnsi="Arial"/>
                <w:sz w:val="20"/>
                <w:szCs w:val="20"/>
                <w:color w:val="auto"/>
                <w:vertAlign w:val="superscript"/>
              </w:rPr>
              <w:t>(2)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13,718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13,649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8,368</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100"/>
              <w:spacing w:after="0" w:line="159" w:lineRule="exact"/>
              <w:rPr>
                <w:sz w:val="20"/>
                <w:szCs w:val="20"/>
                <w:color w:val="auto"/>
              </w:rPr>
            </w:pPr>
            <w:r>
              <w:rPr>
                <w:rFonts w:ascii="Arial" w:cs="Arial" w:eastAsia="Arial" w:hAnsi="Arial"/>
                <w:sz w:val="14"/>
                <w:szCs w:val="14"/>
                <w:color w:val="auto"/>
              </w:rPr>
              <w:t>(12% Cash, 2% PIK,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5"/>
                <w:szCs w:val="15"/>
                <w:color w:val="auto"/>
              </w:rPr>
            </w:pPr>
          </w:p>
        </w:tc>
        <w:tc>
          <w:tcPr>
            <w:tcW w:w="2020" w:type="dxa"/>
            <w:vAlign w:val="bottom"/>
          </w:tcPr>
          <w:p>
            <w:pPr>
              <w:ind w:left="100"/>
              <w:spacing w:after="0" w:line="179" w:lineRule="exact"/>
              <w:rPr>
                <w:sz w:val="20"/>
                <w:szCs w:val="20"/>
                <w:color w:val="auto"/>
              </w:rPr>
            </w:pPr>
            <w:r>
              <w:rPr>
                <w:rFonts w:ascii="Arial" w:cs="Arial" w:eastAsia="Arial" w:hAnsi="Arial"/>
                <w:sz w:val="13"/>
                <w:szCs w:val="13"/>
                <w:color w:val="auto"/>
              </w:rPr>
              <w:t>Due 2/1/19)</w:t>
            </w:r>
            <w:r>
              <w:rPr>
                <w:rFonts w:ascii="Arial" w:cs="Arial" w:eastAsia="Arial" w:hAnsi="Arial"/>
                <w:sz w:val="20"/>
                <w:szCs w:val="20"/>
                <w:color w:val="auto"/>
                <w:vertAlign w:val="superscript"/>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10,931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10,876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6,668</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Class A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Arial" w:cs="Arial" w:eastAsia="Arial" w:hAnsi="Arial"/>
                <w:sz w:val="14"/>
                <w:szCs w:val="14"/>
                <w:color w:val="auto"/>
              </w:rPr>
              <w:t>(3,600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3,600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28,125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15,036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40"/>
              <w:spacing w:after="0" w:line="149" w:lineRule="exact"/>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(15% PIK, Due 11/26/16)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1,047</w:t>
            </w:r>
          </w:p>
        </w:tc>
        <w:tc>
          <w:tcPr>
            <w:tcW w:w="7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100"/>
              <w:spacing w:after="0" w:line="159" w:lineRule="exact"/>
              <w:rPr>
                <w:sz w:val="20"/>
                <w:szCs w:val="20"/>
                <w:color w:val="auto"/>
              </w:rPr>
            </w:pPr>
            <w:r>
              <w:rPr>
                <w:rFonts w:ascii="Arial" w:cs="Arial" w:eastAsia="Arial" w:hAnsi="Arial"/>
                <w:sz w:val="14"/>
                <w:szCs w:val="14"/>
                <w:color w:val="auto"/>
              </w:rPr>
              <w:t>Bridge Note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020" w:type="dxa"/>
            <w:vAlign w:val="bottom"/>
          </w:tcPr>
          <w:p>
            <w:pPr>
              <w:ind w:left="100"/>
              <w:spacing w:after="0" w:line="179" w:lineRule="exact"/>
              <w:rPr>
                <w:sz w:val="20"/>
                <w:szCs w:val="20"/>
                <w:color w:val="auto"/>
              </w:rPr>
            </w:pPr>
            <w:r>
              <w:rPr>
                <w:rFonts w:ascii="Arial" w:cs="Arial" w:eastAsia="Arial" w:hAnsi="Arial"/>
                <w:sz w:val="13"/>
                <w:szCs w:val="13"/>
                <w:color w:val="auto"/>
              </w:rPr>
              <w:t>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663</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100"/>
              <w:spacing w:after="0" w:line="159" w:lineRule="exact"/>
              <w:rPr>
                <w:sz w:val="20"/>
                <w:szCs w:val="20"/>
                <w:color w:val="auto"/>
              </w:rPr>
            </w:pPr>
            <w:r>
              <w:rPr>
                <w:rFonts w:ascii="Arial" w:cs="Arial" w:eastAsia="Arial" w:hAnsi="Arial"/>
                <w:sz w:val="14"/>
                <w:szCs w:val="14"/>
                <w:color w:val="auto"/>
              </w:rPr>
              <w:t>Tier 2 Note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020" w:type="dxa"/>
            <w:vAlign w:val="bottom"/>
          </w:tcPr>
          <w:p>
            <w:pPr>
              <w:ind w:left="100"/>
              <w:spacing w:after="0" w:line="179" w:lineRule="exact"/>
              <w:rPr>
                <w:sz w:val="20"/>
                <w:szCs w:val="20"/>
                <w:color w:val="auto"/>
              </w:rPr>
            </w:pPr>
            <w:r>
              <w:rPr>
                <w:rFonts w:ascii="Arial" w:cs="Arial" w:eastAsia="Arial" w:hAnsi="Arial"/>
                <w:sz w:val="13"/>
                <w:szCs w:val="13"/>
                <w:color w:val="auto"/>
              </w:rPr>
              <w:t>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81</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100"/>
              <w:spacing w:after="0" w:line="159" w:lineRule="exact"/>
              <w:rPr>
                <w:sz w:val="20"/>
                <w:szCs w:val="20"/>
                <w:color w:val="auto"/>
              </w:rPr>
            </w:pPr>
            <w:r>
              <w:rPr>
                <w:rFonts w:ascii="Arial" w:cs="Arial" w:eastAsia="Arial" w:hAnsi="Arial"/>
                <w:sz w:val="14"/>
                <w:szCs w:val="14"/>
                <w:color w:val="auto"/>
              </w:rPr>
              <w:t>Senior Subordinated Note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020" w:type="dxa"/>
            <w:vAlign w:val="bottom"/>
          </w:tcPr>
          <w:p>
            <w:pPr>
              <w:ind w:left="100"/>
              <w:spacing w:after="0" w:line="179" w:lineRule="exact"/>
              <w:rPr>
                <w:sz w:val="20"/>
                <w:szCs w:val="20"/>
                <w:color w:val="auto"/>
              </w:rPr>
            </w:pPr>
            <w:r>
              <w:rPr>
                <w:rFonts w:ascii="Arial" w:cs="Arial" w:eastAsia="Arial" w:hAnsi="Arial"/>
                <w:sz w:val="13"/>
                <w:szCs w:val="13"/>
                <w:color w:val="auto"/>
              </w:rPr>
              <w:t>(0% Cash, 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3,563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2,369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3,563</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100"/>
              <w:spacing w:after="0" w:line="159" w:lineRule="exact"/>
              <w:rPr>
                <w:sz w:val="20"/>
                <w:szCs w:val="20"/>
                <w:color w:val="auto"/>
              </w:rPr>
            </w:pPr>
            <w:r>
              <w:rPr>
                <w:rFonts w:ascii="Arial" w:cs="Arial" w:eastAsia="Arial" w:hAnsi="Arial"/>
                <w:sz w:val="14"/>
                <w:szCs w:val="14"/>
                <w:color w:val="auto"/>
              </w:rPr>
              <w:t>Tier 3 Note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020" w:type="dxa"/>
            <w:vAlign w:val="bottom"/>
          </w:tcPr>
          <w:p>
            <w:pPr>
              <w:ind w:left="100"/>
              <w:spacing w:after="0" w:line="179" w:lineRule="exact"/>
              <w:rPr>
                <w:sz w:val="20"/>
                <w:szCs w:val="20"/>
                <w:color w:val="auto"/>
              </w:rPr>
            </w:pPr>
            <w:r>
              <w:rPr>
                <w:rFonts w:ascii="Arial" w:cs="Arial" w:eastAsia="Arial" w:hAnsi="Arial"/>
                <w:sz w:val="13"/>
                <w:szCs w:val="13"/>
                <w:color w:val="auto"/>
              </w:rPr>
              <w:t>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299</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100"/>
              <w:spacing w:after="0" w:line="159" w:lineRule="exact"/>
              <w:rPr>
                <w:sz w:val="20"/>
                <w:szCs w:val="20"/>
                <w:color w:val="auto"/>
              </w:rPr>
            </w:pPr>
            <w:r>
              <w:rPr>
                <w:rFonts w:ascii="Arial" w:cs="Arial" w:eastAsia="Arial" w:hAnsi="Arial"/>
                <w:sz w:val="14"/>
                <w:szCs w:val="14"/>
                <w:color w:val="auto"/>
              </w:rPr>
              <w:t>Jr. Subordinated Note (0%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020" w:type="dxa"/>
            <w:vAlign w:val="bottom"/>
          </w:tcPr>
          <w:p>
            <w:pPr>
              <w:ind w:left="100"/>
              <w:spacing w:after="0" w:line="179" w:lineRule="exact"/>
              <w:rPr>
                <w:sz w:val="20"/>
                <w:szCs w:val="20"/>
                <w:color w:val="auto"/>
              </w:rPr>
            </w:pPr>
            <w:r>
              <w:rPr>
                <w:rFonts w:ascii="Arial" w:cs="Arial" w:eastAsia="Arial" w:hAnsi="Arial"/>
                <w:sz w:val="13"/>
                <w:szCs w:val="13"/>
                <w:color w:val="auto"/>
              </w:rPr>
              <w:t>Cash, 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2,750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2,750</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tcPr>
          <w:p>
            <w:pPr>
              <w:ind w:left="100"/>
              <w:spacing w:after="0" w:line="159" w:lineRule="exact"/>
              <w:rPr>
                <w:sz w:val="20"/>
                <w:szCs w:val="20"/>
                <w:color w:val="auto"/>
              </w:rPr>
            </w:pPr>
            <w:r>
              <w:rPr>
                <w:rFonts w:ascii="Arial" w:cs="Arial" w:eastAsia="Arial" w:hAnsi="Arial"/>
                <w:sz w:val="14"/>
                <w:szCs w:val="14"/>
                <w:color w:val="auto"/>
              </w:rPr>
              <w:t>Tier 4 Note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5"/>
                <w:szCs w:val="15"/>
                <w:color w:val="auto"/>
              </w:rPr>
            </w:pPr>
          </w:p>
        </w:tc>
        <w:tc>
          <w:tcPr>
            <w:tcW w:w="2020" w:type="dxa"/>
            <w:vAlign w:val="bottom"/>
          </w:tcPr>
          <w:p>
            <w:pPr>
              <w:ind w:left="100"/>
              <w:spacing w:after="0" w:line="179" w:lineRule="exact"/>
              <w:rPr>
                <w:sz w:val="20"/>
                <w:szCs w:val="20"/>
                <w:color w:val="auto"/>
              </w:rPr>
            </w:pPr>
            <w:r>
              <w:rPr>
                <w:rFonts w:ascii="Arial" w:cs="Arial" w:eastAsia="Arial" w:hAnsi="Arial"/>
                <w:sz w:val="13"/>
                <w:szCs w:val="13"/>
                <w:color w:val="auto"/>
              </w:rPr>
              <w:t>Due 11/26/16)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243</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Series A-1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40"/>
              <w:spacing w:after="0" w:line="149" w:lineRule="exact"/>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(255,102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178</w:t>
            </w:r>
          </w:p>
        </w:tc>
        <w:tc>
          <w:tcPr>
            <w:tcW w:w="7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Series A-3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40"/>
              <w:spacing w:after="0" w:line="149" w:lineRule="exact"/>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(88,194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7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Series A-5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40"/>
              <w:spacing w:after="0" w:line="149" w:lineRule="exact"/>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(20,530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1,327</w:t>
            </w:r>
          </w:p>
        </w:tc>
        <w:tc>
          <w:tcPr>
            <w:tcW w:w="7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V12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w w:val="97"/>
              </w:rPr>
              <w:t>Data Processing &amp; Digital Marketing</w:t>
            </w:r>
          </w:p>
        </w:tc>
        <w:tc>
          <w:tcPr>
            <w:tcW w:w="4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Arial" w:cs="Arial" w:eastAsia="Arial" w:hAnsi="Arial"/>
                <w:sz w:val="14"/>
                <w:szCs w:val="14"/>
                <w:color w:val="auto"/>
              </w:rPr>
              <w:t>(2,063,629 warrants)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 Total Affiliate investments</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3,452</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99,290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8"/>
              </w:rPr>
              <w:t>117,350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color w:val="auto"/>
              </w:rPr>
              <w:t>43.6</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Control investments – 26.3%</w:t>
            </w: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CableOrganizer Acquisition,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(12% Cash, 4%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4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Due 5/24/18)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11,025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11,025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11,025</w:t>
            </w:r>
          </w:p>
        </w:tc>
        <w:tc>
          <w:tcPr>
            <w:tcW w:w="7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CableOrganizer Acquisition,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4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(1,125,000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7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CableOrganizer Acquisition,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Arial" w:cs="Arial" w:eastAsia="Arial" w:hAnsi="Arial"/>
                <w:sz w:val="14"/>
                <w:szCs w:val="14"/>
                <w:color w:val="auto"/>
              </w:rPr>
              <w:t>(570,000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Capitala Senior Liquid Loan Fund I,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12,150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11,038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rPr>
              <w:t>Investment Fund</w:t>
            </w:r>
          </w:p>
        </w:tc>
        <w:tc>
          <w:tcPr>
            <w:tcW w:w="40" w:type="dxa"/>
            <w:vAlign w:val="bottom"/>
          </w:tcPr>
          <w:p>
            <w:pPr>
              <w:spacing w:after="0"/>
              <w:rPr>
                <w:sz w:val="17"/>
                <w:szCs w:val="17"/>
                <w:color w:val="auto"/>
              </w:rPr>
            </w:pPr>
          </w:p>
        </w:tc>
        <w:tc>
          <w:tcPr>
            <w:tcW w:w="2020" w:type="dxa"/>
            <w:vAlign w:val="bottom"/>
          </w:tcPr>
          <w:p>
            <w:pPr>
              <w:ind w:left="100"/>
              <w:spacing w:after="0" w:line="198" w:lineRule="exact"/>
              <w:rPr>
                <w:sz w:val="20"/>
                <w:szCs w:val="20"/>
                <w:color w:val="auto"/>
              </w:rPr>
            </w:pPr>
            <w:r>
              <w:rPr>
                <w:rFonts w:ascii="Arial" w:cs="Arial" w:eastAsia="Arial" w:hAnsi="Arial"/>
                <w:sz w:val="14"/>
                <w:szCs w:val="14"/>
                <w:color w:val="auto"/>
              </w:rPr>
              <w:t>(80% ownership)</w:t>
            </w:r>
            <w:r>
              <w:rPr>
                <w:rFonts w:ascii="Arial" w:cs="Arial" w:eastAsia="Arial" w:hAnsi="Arial"/>
                <w:sz w:val="22"/>
                <w:szCs w:val="22"/>
                <w:color w:val="auto"/>
                <w:vertAlign w:val="superscript"/>
              </w:rPr>
              <w:t>(8)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20,000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17,867</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vMerge w:val="restart"/>
          </w:tcPr>
          <w:p>
            <w:pPr>
              <w:ind w:left="10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20,000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17,867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6.6</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40"/>
              <w:spacing w:after="0" w:line="149" w:lineRule="exact"/>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(10% Cash, Due 9/16/16)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1,862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1,862</w:t>
            </w:r>
          </w:p>
        </w:tc>
        <w:tc>
          <w:tcPr>
            <w:tcW w:w="7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(14% Cash, 4%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40"/>
              <w:spacing w:after="0" w:line="149" w:lineRule="exact"/>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Due 9/16/16)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3,830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3,830</w:t>
            </w:r>
          </w:p>
        </w:tc>
        <w:tc>
          <w:tcPr>
            <w:tcW w:w="70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ind w:left="100"/>
              <w:spacing w:after="0" w:line="149" w:lineRule="exact"/>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4"/>
                <w:szCs w:val="14"/>
                <w:color w:val="auto"/>
              </w:rPr>
            </w:pPr>
          </w:p>
        </w:tc>
        <w:tc>
          <w:tcPr>
            <w:tcW w:w="2020" w:type="dxa"/>
            <w:vAlign w:val="bottom"/>
          </w:tcPr>
          <w:p>
            <w:pPr>
              <w:ind w:left="100"/>
              <w:spacing w:after="0"/>
              <w:rPr>
                <w:sz w:val="20"/>
                <w:szCs w:val="20"/>
                <w:color w:val="auto"/>
              </w:rPr>
            </w:pPr>
            <w:r>
              <w:rPr>
                <w:rFonts w:ascii="Arial" w:cs="Arial" w:eastAsia="Arial" w:hAnsi="Arial"/>
                <w:sz w:val="14"/>
                <w:szCs w:val="14"/>
                <w:color w:val="auto"/>
              </w:rPr>
              <w:t>(47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1,629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1,629</w:t>
            </w:r>
          </w:p>
        </w:tc>
        <w:tc>
          <w:tcPr>
            <w:tcW w:w="700" w:type="dxa"/>
            <w:vAlign w:val="bottom"/>
            <w:gridSpan w:val="3"/>
          </w:tcPr>
          <w:p>
            <w:pPr>
              <w:jc w:val="right"/>
              <w:ind w:right="4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7,321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658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2"/>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60" w:type="dxa"/>
            <w:vAlign w:val="bottom"/>
            <w:tcBorders>
              <w:bottom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0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56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tcPr>
          <w:p>
            <w:pPr>
              <w:ind w:left="80"/>
              <w:spacing w:after="0" w:line="123" w:lineRule="exact"/>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(15%, 2% PIK at Company’s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option, Due 10/30/20)</w:t>
            </w:r>
            <w:r>
              <w:rPr>
                <w:rFonts w:ascii="Arial" w:cs="Arial" w:eastAsia="Arial" w:hAnsi="Arial"/>
                <w:sz w:val="20"/>
                <w:szCs w:val="20"/>
                <w:color w:val="auto"/>
                <w:vertAlign w:val="superscript"/>
              </w:rPr>
              <w:t>(1)(10)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6,500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6,500</w:t>
            </w: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6,500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(1,000 shares, 10%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(300,000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5,354</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8"/>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7,501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12,854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5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4% PIK, Due 12/19/16)</w:t>
            </w:r>
            <w:r>
              <w:rPr>
                <w:rFonts w:ascii="Arial" w:cs="Arial" w:eastAsia="Arial" w:hAnsi="Arial"/>
                <w:sz w:val="20"/>
                <w:szCs w:val="20"/>
                <w:color w:val="auto"/>
                <w:vertAlign w:val="superscript"/>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8,539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8,448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4,425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(32,782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B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(23,648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2,365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560" w:type="dxa"/>
            <w:vAlign w:val="bottom"/>
            <w:gridSpan w:val="3"/>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w w:val="96"/>
              </w:rPr>
              <w:t>Common Stock (33,107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14,124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(10% Cash, 2%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2/24/19)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15,780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15,780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15,780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 (18,543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(820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Control investments</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18,770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79,866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70,593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INVESTMENTS – 220.4%</w:t>
            </w: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570,187</w:t>
            </w:r>
          </w:p>
        </w:tc>
        <w:tc>
          <w:tcPr>
            <w:tcW w:w="2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592,456</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220.4</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117" w:lineRule="exact"/>
        <w:rPr>
          <w:rFonts w:ascii="Arial" w:cs="Arial" w:eastAsia="Arial" w:hAnsi="Arial"/>
          <w:sz w:val="18"/>
          <w:szCs w:val="18"/>
          <w:color w:val="auto"/>
        </w:rPr>
      </w:pPr>
    </w:p>
    <w:p>
      <w:pPr>
        <w:ind w:left="300" w:right="599" w:hanging="272"/>
        <w:spacing w:after="0" w:line="277"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debt investments are income producing, unless otherwise noted. Equity and warrant investments are non-income producing, unless otherwise noted.</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Percentages are based on net assets of $268,802 as of December 31, 2015.</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117" w:lineRule="exact"/>
        <w:rPr>
          <w:rFonts w:ascii="Arial" w:cs="Arial" w:eastAsia="Arial" w:hAnsi="Arial"/>
          <w:sz w:val="18"/>
          <w:szCs w:val="18"/>
          <w:color w:val="auto"/>
        </w:rPr>
      </w:pPr>
    </w:p>
    <w:p>
      <w:pPr>
        <w:ind w:left="300" w:right="599" w:hanging="272"/>
        <w:spacing w:after="0" w:line="259"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2015, 7.3% of the Company’s total assets were non-qualifying assets.</w:t>
      </w:r>
    </w:p>
    <w:p>
      <w:pPr>
        <w:spacing w:after="0" w:line="78" w:lineRule="exact"/>
        <w:rPr>
          <w:rFonts w:ascii="Arial" w:cs="Arial" w:eastAsia="Arial" w:hAnsi="Arial"/>
          <w:sz w:val="18"/>
          <w:szCs w:val="18"/>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117" w:lineRule="exact"/>
        <w:rPr>
          <w:rFonts w:ascii="Arial" w:cs="Arial" w:eastAsia="Arial" w:hAnsi="Arial"/>
          <w:sz w:val="18"/>
          <w:szCs w:val="18"/>
          <w:color w:val="auto"/>
        </w:rPr>
      </w:pPr>
    </w:p>
    <w:p>
      <w:pPr>
        <w:ind w:left="340" w:hanging="312"/>
        <w:spacing w:after="0"/>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investment has a $1.0 million unfunded commitment.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(11)The investment has a $2.8 million unfunded commitment.</w:t>
      </w:r>
    </w:p>
    <w:p>
      <w:pPr>
        <w:spacing w:after="0" w:line="117" w:lineRule="exact"/>
        <w:rPr>
          <w:sz w:val="20"/>
          <w:szCs w:val="20"/>
          <w:color w:val="auto"/>
        </w:rPr>
      </w:pPr>
    </w:p>
    <w:p>
      <w:pPr>
        <w:ind w:left="340" w:hanging="312"/>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Interest rate amended to 15% PIK through February 15, 2016.</w:t>
      </w:r>
    </w:p>
    <w:p>
      <w:pPr>
        <w:spacing w:after="0" w:line="128" w:lineRule="exact"/>
        <w:rPr>
          <w:rFonts w:ascii="Arial" w:cs="Arial" w:eastAsia="Arial" w:hAnsi="Arial"/>
          <w:sz w:val="17"/>
          <w:szCs w:val="17"/>
          <w:color w:val="auto"/>
        </w:rPr>
      </w:pPr>
    </w:p>
    <w:p>
      <w:pPr>
        <w:ind w:left="340" w:hanging="312"/>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Interest rate amended to 15% through June 30, 2016</w:t>
      </w:r>
    </w:p>
    <w:p>
      <w:pPr>
        <w:spacing w:after="0" w:line="128" w:lineRule="exact"/>
        <w:rPr>
          <w:rFonts w:ascii="Arial" w:cs="Arial" w:eastAsia="Arial" w:hAnsi="Arial"/>
          <w:sz w:val="17"/>
          <w:szCs w:val="17"/>
          <w:color w:val="auto"/>
        </w:rPr>
      </w:pPr>
    </w:p>
    <w:p>
      <w:pPr>
        <w:ind w:left="340" w:hanging="31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Interest rate was amended to zero. The Company will receive earn-out payments of up to $2.4 million in satisfaction of the debt.</w:t>
      </w:r>
    </w:p>
    <w:p>
      <w:pPr>
        <w:spacing w:after="0" w:line="200" w:lineRule="exact"/>
        <w:rPr>
          <w:sz w:val="20"/>
          <w:szCs w:val="20"/>
          <w:color w:val="auto"/>
        </w:rPr>
      </w:pPr>
    </w:p>
    <w:p>
      <w:pPr>
        <w:spacing w:after="0" w:line="37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1" w:name="page102"/>
    <w:bookmarkEnd w:id="10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658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6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0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97"/>
              </w:rPr>
              <w:t>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560" w:type="dxa"/>
            <w:vAlign w:val="bottom"/>
          </w:tcPr>
          <w:p>
            <w:pPr>
              <w:ind w:left="20"/>
              <w:spacing w:after="0" w:line="123" w:lineRule="exact"/>
              <w:rPr>
                <w:sz w:val="20"/>
                <w:szCs w:val="20"/>
                <w:color w:val="auto"/>
              </w:rPr>
            </w:pPr>
            <w:r>
              <w:rPr>
                <w:rFonts w:ascii="Arial" w:cs="Arial" w:eastAsia="Arial" w:hAnsi="Arial"/>
                <w:sz w:val="14"/>
                <w:szCs w:val="14"/>
                <w:b w:val="1"/>
                <w:bCs w:val="1"/>
                <w:color w:val="auto"/>
                <w:w w:val="93"/>
              </w:rPr>
              <w:t>Non-control/Non-affiliated investments –</w:t>
            </w:r>
          </w:p>
        </w:tc>
        <w:tc>
          <w:tcPr>
            <w:tcW w:w="40" w:type="dxa"/>
            <w:vAlign w:val="bottom"/>
          </w:tcPr>
          <w:p>
            <w:pPr>
              <w:spacing w:after="0"/>
              <w:rPr>
                <w:sz w:val="10"/>
                <w:szCs w:val="10"/>
                <w:color w:val="auto"/>
              </w:rPr>
            </w:pPr>
          </w:p>
        </w:tc>
        <w:tc>
          <w:tcPr>
            <w:tcW w:w="2240" w:type="dxa"/>
            <w:vAlign w:val="bottom"/>
          </w:tcPr>
          <w:p>
            <w:pPr>
              <w:spacing w:after="0" w:line="123" w:lineRule="exact"/>
              <w:rPr>
                <w:sz w:val="20"/>
                <w:szCs w:val="20"/>
                <w:color w:val="auto"/>
              </w:rPr>
            </w:pPr>
            <w:r>
              <w:rPr>
                <w:rFonts w:ascii="Arial" w:cs="Arial" w:eastAsia="Arial" w:hAnsi="Arial"/>
                <w:sz w:val="14"/>
                <w:szCs w:val="14"/>
                <w:b w:val="1"/>
                <w:bCs w:val="1"/>
                <w:color w:val="auto"/>
              </w:rPr>
              <w:t>98.3%</w:t>
            </w:r>
          </w:p>
        </w:tc>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(12% Cash, Due 3/31/18)</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11,000</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10,998</w:t>
            </w:r>
          </w:p>
        </w:tc>
        <w:tc>
          <w:tcPr>
            <w:tcW w:w="6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11,000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AAE Acquisition,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Equipment Rental</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(14%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2,212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A Wireless Holding Company</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13,212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Wireless Communication Retailer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(12% Cash, Due 9/09/19)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12,000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American Exteriors,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w w:val="96"/>
              </w:rPr>
              <w:t>Replacement Window Manufacturer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(14% Cash, Due 6/30/15)</w:t>
            </w:r>
            <w:r>
              <w:rPr>
                <w:rFonts w:ascii="Arial" w:cs="Arial" w:eastAsia="Arial" w:hAnsi="Arial"/>
                <w:sz w:val="20"/>
                <w:szCs w:val="20"/>
                <w:color w:val="auto"/>
                <w:vertAlign w:val="superscript"/>
              </w:rPr>
              <w:t>(1)(11)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4,357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3,157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4,357</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American Exteriors, LLC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Jr. Convertible Note</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w w:val="96"/>
              </w:rPr>
              <w:t>Replacement Window Manufacturer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(10% Cash, Due 6/30/16)</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415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500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American Exteriors, LLC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w w:val="96"/>
              </w:rPr>
              <w:t>Replacement Window Manufacturer</w:t>
            </w:r>
          </w:p>
        </w:tc>
        <w:tc>
          <w:tcPr>
            <w:tcW w:w="40" w:type="dxa"/>
            <w:vAlign w:val="bottom"/>
          </w:tcPr>
          <w:p>
            <w:pPr>
              <w:spacing w:after="0"/>
              <w:rPr>
                <w:sz w:val="17"/>
                <w:szCs w:val="17"/>
                <w:color w:val="auto"/>
              </w:rPr>
            </w:pPr>
          </w:p>
        </w:tc>
        <w:tc>
          <w:tcPr>
            <w:tcW w:w="2000" w:type="dxa"/>
            <w:vAlign w:val="bottom"/>
          </w:tcPr>
          <w:p>
            <w:pPr>
              <w:ind w:left="80"/>
              <w:spacing w:after="0" w:line="198" w:lineRule="exact"/>
              <w:rPr>
                <w:sz w:val="20"/>
                <w:szCs w:val="20"/>
                <w:color w:val="auto"/>
              </w:rPr>
            </w:pPr>
            <w:r>
              <w:rPr>
                <w:rFonts w:ascii="Arial" w:cs="Arial" w:eastAsia="Arial" w:hAnsi="Arial"/>
                <w:sz w:val="14"/>
                <w:szCs w:val="14"/>
                <w:color w:val="auto"/>
              </w:rPr>
              <w:t>(15% fully diluted)</w:t>
            </w:r>
            <w:r>
              <w:rPr>
                <w:rFonts w:ascii="Arial" w:cs="Arial" w:eastAsia="Arial" w:hAnsi="Arial"/>
                <w:sz w:val="22"/>
                <w:szCs w:val="22"/>
                <w:color w:val="auto"/>
                <w:vertAlign w:val="superscript"/>
              </w:rPr>
              <w:t>(7)</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Bluestem Brands,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3,572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4,857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(L+7.5% Cash,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Online Merchandise Retailer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Due 11/7/2020)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4,804</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Boot Barn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Western Wear Retail</w:t>
            </w:r>
          </w:p>
        </w:tc>
        <w:tc>
          <w:tcPr>
            <w:tcW w:w="40" w:type="dxa"/>
            <w:vAlign w:val="bottom"/>
          </w:tcPr>
          <w:p>
            <w:pPr>
              <w:spacing w:after="0"/>
              <w:rPr>
                <w:sz w:val="17"/>
                <w:szCs w:val="17"/>
                <w:color w:val="auto"/>
              </w:rPr>
            </w:pPr>
          </w:p>
        </w:tc>
        <w:tc>
          <w:tcPr>
            <w:tcW w:w="2000" w:type="dxa"/>
            <w:vAlign w:val="bottom"/>
          </w:tcPr>
          <w:p>
            <w:pPr>
              <w:ind w:left="80"/>
              <w:spacing w:after="0" w:line="198" w:lineRule="exact"/>
              <w:rPr>
                <w:sz w:val="20"/>
                <w:szCs w:val="20"/>
                <w:color w:val="auto"/>
              </w:rPr>
            </w:pPr>
            <w:r>
              <w:rPr>
                <w:rFonts w:ascii="Arial" w:cs="Arial" w:eastAsia="Arial" w:hAnsi="Arial"/>
                <w:sz w:val="14"/>
                <w:szCs w:val="14"/>
                <w:color w:val="auto"/>
              </w:rPr>
              <w:t>(600,000 shares)</w:t>
            </w:r>
            <w:r>
              <w:rPr>
                <w:rFonts w:ascii="Arial" w:cs="Arial" w:eastAsia="Arial" w:hAnsi="Arial"/>
                <w:sz w:val="22"/>
                <w:szCs w:val="22"/>
                <w:color w:val="auto"/>
                <w:vertAlign w:val="superscript"/>
              </w:rPr>
              <w:t>(8)</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10,920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Caregiver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Common Stock (293,186</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193</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Caregiver Services, Inc.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In-Home Healthcare Services</w:t>
            </w:r>
          </w:p>
        </w:tc>
        <w:tc>
          <w:tcPr>
            <w:tcW w:w="40" w:type="dxa"/>
            <w:vAlign w:val="bottom"/>
          </w:tcPr>
          <w:p>
            <w:pPr>
              <w:spacing w:after="0"/>
              <w:rPr>
                <w:sz w:val="17"/>
                <w:szCs w:val="17"/>
                <w:color w:val="auto"/>
              </w:rPr>
            </w:pPr>
          </w:p>
        </w:tc>
        <w:tc>
          <w:tcPr>
            <w:tcW w:w="2000" w:type="dxa"/>
            <w:vAlign w:val="bottom"/>
          </w:tcPr>
          <w:p>
            <w:pPr>
              <w:ind w:left="80"/>
              <w:spacing w:after="0" w:line="198" w:lineRule="exact"/>
              <w:rPr>
                <w:sz w:val="20"/>
                <w:szCs w:val="20"/>
                <w:color w:val="auto"/>
              </w:rPr>
            </w:pPr>
            <w:r>
              <w:rPr>
                <w:rFonts w:ascii="Arial" w:cs="Arial" w:eastAsia="Arial" w:hAnsi="Arial"/>
                <w:sz w:val="14"/>
                <w:szCs w:val="14"/>
                <w:color w:val="auto"/>
              </w:rPr>
              <w:t>(655,908 units)</w:t>
            </w:r>
            <w:r>
              <w:rPr>
                <w:rFonts w:ascii="Arial" w:cs="Arial" w:eastAsia="Arial" w:hAnsi="Arial"/>
                <w:sz w:val="22"/>
                <w:szCs w:val="22"/>
                <w:color w:val="auto"/>
                <w:vertAlign w:val="superscript"/>
              </w:rPr>
              <w:t>(7)</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431</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Construction Partners,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Construction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(11.5% Cash, Due 6/12/2020)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12,500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12,500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12,500</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Crowley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Series A Income Preferred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w w:val="90"/>
              </w:rPr>
              <w:t>Shares (6,000 shares, 10% Cash,</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7"/>
                <w:szCs w:val="17"/>
                <w:color w:val="auto"/>
              </w:rPr>
            </w:pPr>
          </w:p>
        </w:tc>
        <w:tc>
          <w:tcPr>
            <w:tcW w:w="2000" w:type="dxa"/>
            <w:vAlign w:val="bottom"/>
          </w:tcPr>
          <w:p>
            <w:pPr>
              <w:ind w:left="80"/>
              <w:spacing w:after="0" w:line="198" w:lineRule="exact"/>
              <w:rPr>
                <w:sz w:val="20"/>
                <w:szCs w:val="20"/>
                <w:color w:val="auto"/>
              </w:rPr>
            </w:pPr>
            <w:r>
              <w:rPr>
                <w:rFonts w:ascii="Arial" w:cs="Arial" w:eastAsia="Arial" w:hAnsi="Arial"/>
                <w:sz w:val="14"/>
                <w:szCs w:val="14"/>
                <w:color w:val="auto"/>
              </w:rPr>
              <w:t>2% PIK dividend)</w:t>
            </w:r>
            <w:r>
              <w:rPr>
                <w:rFonts w:ascii="Arial" w:cs="Arial" w:eastAsia="Arial" w:hAnsi="Arial"/>
                <w:sz w:val="22"/>
                <w:szCs w:val="22"/>
                <w:color w:val="auto"/>
                <w:vertAlign w:val="superscript"/>
              </w:rPr>
              <w:t>(6)</w:t>
            </w: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6,145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6,145</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CSM Bakery Solutions,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 (L+7.75%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6,145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6,145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Bakery Supplies Distributor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Cash, 1% Floor, Due 8/7/22)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16,640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16,297</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Flavors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16,640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16,297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(L+5.75% Cash,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4/3/2020)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7,594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7,594</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Flavors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(L+10%,</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Food Product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 Floor, Due 10/3/2021)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11,532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11,532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w w:val="99"/>
              </w:rPr>
              <w:t>Immersive Media Tactical Solutions,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19,126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19,126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Specialty Defense Contractor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(13% Cash, Due 10/6/16)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1,850</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w w:val="99"/>
              </w:rPr>
              <w:t>Immersive Media Tactical Solutions,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Unit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Specialty Defense Contractor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(12%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Kelle's Transport Service,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0.8</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(14% Cash, Due 3/31/19)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15,366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15,351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15,366</w:t>
            </w:r>
          </w:p>
        </w:tc>
        <w:tc>
          <w:tcPr>
            <w:tcW w:w="68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Kelle's Transport Service, LLC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Preferred Units (1,000 units,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10% 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2,802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2,802</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Kelle's Transport Service,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Transportation</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(15%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2,781</w:t>
            </w:r>
          </w:p>
        </w:tc>
        <w:tc>
          <w:tcPr>
            <w:tcW w:w="680" w:type="dxa"/>
            <w:vAlign w:val="bottom"/>
            <w:gridSpan w:val="3"/>
          </w:tcPr>
          <w:p>
            <w:pPr>
              <w:jc w:val="right"/>
              <w:ind w:right="8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18,176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20,949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w:t>
            </w:r>
          </w:p>
        </w:tc>
        <w:tc>
          <w:tcPr>
            <w:tcW w:w="280" w:type="dxa"/>
            <w:vAlign w:val="bottom"/>
          </w:tcPr>
          <w:p>
            <w:pPr>
              <w:jc w:val="right"/>
              <w:ind w:right="8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2" w:name="page103"/>
    <w:bookmarkEnd w:id="10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61658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108585</wp:posOffset>
            </wp:positionV>
            <wp:extent cx="61658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6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0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97"/>
              </w:rPr>
              <w:t>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33"/>
        </w:trPr>
        <w:tc>
          <w:tcPr>
            <w:tcW w:w="2560" w:type="dxa"/>
            <w:vAlign w:val="bottom"/>
          </w:tcPr>
          <w:p>
            <w:pPr>
              <w:ind w:left="20"/>
              <w:spacing w:after="0" w:line="133" w:lineRule="exact"/>
              <w:rPr>
                <w:sz w:val="20"/>
                <w:szCs w:val="20"/>
                <w:color w:val="auto"/>
              </w:rPr>
            </w:pPr>
            <w:r>
              <w:rPr>
                <w:rFonts w:ascii="Arial" w:cs="Arial" w:eastAsia="Arial" w:hAnsi="Arial"/>
                <w:sz w:val="14"/>
                <w:szCs w:val="14"/>
                <w:color w:val="auto"/>
              </w:rPr>
              <w:t>Medical Depot, Inc.</w:t>
            </w: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tcPr>
          <w:p>
            <w:pPr>
              <w:ind w:left="80"/>
              <w:spacing w:after="0" w:line="133" w:lineRule="exact"/>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(14% Cash, Due 9/27/20)</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4,667</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4,667</w:t>
            </w:r>
          </w:p>
        </w:tc>
        <w:tc>
          <w:tcPr>
            <w:tcW w:w="6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4,667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Medical Depot,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w w:val="99"/>
              </w:rPr>
              <w:t>Series C Convertible Preferred</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Stock (740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5,283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Meritas Schools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4"/>
              </w:rPr>
              <w:t>Subordinated Debt (L+9%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Education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 Floor, Due 1/23/2021)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2,986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Merlin International,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 (12.5%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IT Government Contracting</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Due 12/16/2019)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20,000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Nielsen &amp; Bainbridge,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 (L+9.25%</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Home Décor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Cash, 1% Floor, Due 8/15/21)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14,785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14,611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Precision Manufacturing,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8"/>
              </w:rPr>
              <w:t>Subordinated Debt (14% Cash,</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14,785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14,611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Boiler Manufacturer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Due 2/13/15)</w:t>
            </w:r>
            <w:r>
              <w:rPr>
                <w:rFonts w:ascii="Arial" w:cs="Arial" w:eastAsia="Arial" w:hAnsi="Arial"/>
                <w:sz w:val="20"/>
                <w:szCs w:val="20"/>
                <w:color w:val="auto"/>
                <w:vertAlign w:val="superscript"/>
              </w:rPr>
              <w:t>(2)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Precision Manufacturing, LLC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w w:val="98"/>
              </w:rPr>
              <w:t>Subordinated Debt (14% Cash,</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Boiler Manufacturer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Due 2/28/15)</w:t>
            </w:r>
            <w:r>
              <w:rPr>
                <w:rFonts w:ascii="Arial" w:cs="Arial" w:eastAsia="Arial" w:hAnsi="Arial"/>
                <w:sz w:val="20"/>
                <w:szCs w:val="20"/>
                <w:color w:val="auto"/>
                <w:vertAlign w:val="superscript"/>
              </w:rPr>
              <w:t>(2)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Precision Manufacturing, LLC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w w:val="98"/>
              </w:rPr>
              <w:t>Subordinated Debt (13% Cash,</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Boiler Manufacturer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Due 2/10/17)</w:t>
            </w:r>
            <w:r>
              <w:rPr>
                <w:rFonts w:ascii="Arial" w:cs="Arial" w:eastAsia="Arial" w:hAnsi="Arial"/>
                <w:sz w:val="20"/>
                <w:szCs w:val="20"/>
                <w:color w:val="auto"/>
                <w:vertAlign w:val="superscript"/>
              </w:rPr>
              <w:t>(2)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2,850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2,850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Precision Manufacturing,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Boiler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(6.65%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Sequoia Healthcare Management,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 cash, 4% PIK,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Healthcare Management</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due 7/17/2019)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12,420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12,195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12,420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Sierra Hamilton, LLC</w:t>
            </w:r>
          </w:p>
        </w:tc>
        <w:tc>
          <w:tcPr>
            <w:tcW w:w="40" w:type="dxa"/>
            <w:vAlign w:val="bottom"/>
          </w:tcPr>
          <w:p>
            <w:pPr>
              <w:spacing w:after="0"/>
              <w:rPr>
                <w:sz w:val="12"/>
                <w:szCs w:val="12"/>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Oil &amp; Gas Engineering and</w:t>
            </w: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12,420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Consulting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(12.25% Cash, Due 12/15/18)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14,547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Southern Pump &amp; Tank Company,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14,547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(13% Cash, 6% PIK,</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Petroleum Equipment Supplier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Due 1/15/15)</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4,316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3,495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3,850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Southern Pump &amp; Tank Company,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Petroleum Equipment Supplier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(10%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Stoddard Hill Media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Class D Preferred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IT Hosting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(132,159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480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Taylor Precision Products,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Series C Preferred Stock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Household Product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(379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758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Tenere,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(11% Cash, 2% PIK,</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Industrial Manufacturing</w:t>
            </w:r>
          </w:p>
        </w:tc>
        <w:tc>
          <w:tcPr>
            <w:tcW w:w="40" w:type="dxa"/>
            <w:vAlign w:val="bottom"/>
          </w:tcPr>
          <w:p>
            <w:pPr>
              <w:spacing w:after="0"/>
              <w:rPr>
                <w:sz w:val="17"/>
                <w:szCs w:val="17"/>
                <w:color w:val="auto"/>
              </w:rPr>
            </w:pPr>
          </w:p>
        </w:tc>
        <w:tc>
          <w:tcPr>
            <w:tcW w:w="2000" w:type="dxa"/>
            <w:vAlign w:val="bottom"/>
          </w:tcPr>
          <w:p>
            <w:pPr>
              <w:ind w:left="80"/>
              <w:spacing w:after="0" w:line="198" w:lineRule="exact"/>
              <w:rPr>
                <w:sz w:val="20"/>
                <w:szCs w:val="20"/>
                <w:color w:val="auto"/>
              </w:rPr>
            </w:pPr>
            <w:r>
              <w:rPr>
                <w:rFonts w:ascii="Arial" w:cs="Arial" w:eastAsia="Arial" w:hAnsi="Arial"/>
                <w:sz w:val="14"/>
                <w:szCs w:val="14"/>
                <w:color w:val="auto"/>
              </w:rPr>
              <w:t>Due 12/15/17)</w:t>
            </w:r>
            <w:r>
              <w:rPr>
                <w:rFonts w:ascii="Arial" w:cs="Arial" w:eastAsia="Arial" w:hAnsi="Arial"/>
                <w:sz w:val="22"/>
                <w:szCs w:val="22"/>
                <w:color w:val="auto"/>
                <w:vertAlign w:val="superscript"/>
              </w:rPr>
              <w:t>(9)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3,510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3,510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3,510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TGI Friday's,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(L+8.25% Cash,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Restaurant Chain</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Due 7/15/21)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9,962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9,738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US LBM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9,962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9,738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(L+7.0% Cash, 1% Floor,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Building Products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Due 5/2/2020)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4,992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4,895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4,895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left="3160"/>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61658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1658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60" w:lineRule="exact"/>
        <w:rPr>
          <w:sz w:val="20"/>
          <w:szCs w:val="20"/>
          <w:color w:val="auto"/>
        </w:rPr>
      </w:pPr>
    </w:p>
    <w:p>
      <w:pPr>
        <w:spacing w:after="0"/>
        <w:tabs>
          <w:tab w:leader="none" w:pos="3440" w:val="left"/>
        </w:tabs>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r>
        <w:rPr>
          <w:sz w:val="20"/>
          <w:szCs w:val="20"/>
          <w:color w:val="auto"/>
        </w:rPr>
        <w:tab/>
      </w:r>
      <w:r>
        <w:rPr>
          <w:rFonts w:ascii="Arial" w:cs="Arial" w:eastAsia="Arial" w:hAnsi="Arial"/>
          <w:sz w:val="12"/>
          <w:szCs w:val="12"/>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30613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U.S. Well Services, LLC</w:t>
      </w:r>
    </w:p>
    <w:p>
      <w:pPr>
        <w:spacing w:after="0" w:line="165"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Oil &amp; Gas Services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Velum Global Credit Management, LLC</w:t>
      </w:r>
    </w:p>
    <w:p>
      <w:pPr>
        <w:spacing w:after="0" w:line="28"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Financial Services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Worklife America, Inc.</w:t>
      </w:r>
    </w:p>
    <w:p>
      <w:pPr>
        <w:jc w:val="right"/>
        <w:spacing w:after="0" w:line="221" w:lineRule="auto"/>
        <w:rPr>
          <w:sz w:val="20"/>
          <w:szCs w:val="20"/>
          <w:color w:val="auto"/>
        </w:rPr>
      </w:pPr>
      <w:r>
        <w:rPr>
          <w:rFonts w:ascii="Arial" w:cs="Arial" w:eastAsia="Arial" w:hAnsi="Arial"/>
          <w:sz w:val="14"/>
          <w:szCs w:val="14"/>
          <w:color w:val="auto"/>
        </w:rPr>
        <w:t>Professional Employer Organization</w:t>
      </w:r>
    </w:p>
    <w:p>
      <w:pPr>
        <w:spacing w:after="0" w:line="221" w:lineRule="auto"/>
        <w:rPr>
          <w:sz w:val="20"/>
          <w:szCs w:val="20"/>
          <w:color w:val="auto"/>
        </w:rPr>
      </w:pPr>
      <w:r>
        <w:rPr>
          <w:rFonts w:ascii="Arial" w:cs="Arial" w:eastAsia="Arial" w:hAnsi="Arial"/>
          <w:sz w:val="14"/>
          <w:szCs w:val="14"/>
          <w:color w:val="auto"/>
        </w:rPr>
        <w:t>Worklife America, Inc.</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3"/>
          <w:szCs w:val="13"/>
          <w:color w:val="auto"/>
        </w:rPr>
        <w:t>Professional Employer Organization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 Total Non-control/Non-affiliated investments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Affiliate investments – 71.1%</w:t>
      </w:r>
    </w:p>
    <w:p>
      <w:pPr>
        <w:spacing w:after="0" w:line="226" w:lineRule="auto"/>
        <w:rPr>
          <w:sz w:val="20"/>
          <w:szCs w:val="20"/>
          <w:color w:val="auto"/>
        </w:rPr>
      </w:pPr>
      <w:r>
        <w:rPr>
          <w:rFonts w:ascii="Arial" w:cs="Arial" w:eastAsia="Arial" w:hAnsi="Arial"/>
          <w:sz w:val="14"/>
          <w:szCs w:val="14"/>
          <w:color w:val="auto"/>
        </w:rPr>
        <w:t>Burgaflex Holdings, LLC</w:t>
      </w:r>
    </w:p>
    <w:p>
      <w:pPr>
        <w:ind w:left="2660"/>
        <w:spacing w:after="0" w:line="222" w:lineRule="auto"/>
        <w:rPr>
          <w:sz w:val="20"/>
          <w:szCs w:val="20"/>
          <w:color w:val="auto"/>
        </w:rPr>
      </w:pPr>
      <w:r>
        <w:rPr>
          <w:rFonts w:ascii="Arial" w:cs="Arial" w:eastAsia="Arial" w:hAnsi="Arial"/>
          <w:sz w:val="14"/>
          <w:szCs w:val="14"/>
          <w:color w:val="auto"/>
        </w:rPr>
        <w:t>Automobile Part Manufacturer</w:t>
      </w:r>
    </w:p>
    <w:p>
      <w:pPr>
        <w:spacing w:after="0" w:line="221" w:lineRule="auto"/>
        <w:rPr>
          <w:sz w:val="20"/>
          <w:szCs w:val="20"/>
          <w:color w:val="auto"/>
        </w:rPr>
      </w:pPr>
      <w:r>
        <w:rPr>
          <w:rFonts w:ascii="Arial" w:cs="Arial" w:eastAsia="Arial" w:hAnsi="Arial"/>
          <w:sz w:val="14"/>
          <w:szCs w:val="14"/>
          <w:color w:val="auto"/>
        </w:rPr>
        <w:t>Burgaflex Holdings, LLC</w:t>
      </w:r>
    </w:p>
    <w:p>
      <w:pPr>
        <w:ind w:left="2660"/>
        <w:spacing w:after="0" w:line="222" w:lineRule="auto"/>
        <w:rPr>
          <w:sz w:val="20"/>
          <w:szCs w:val="20"/>
          <w:color w:val="auto"/>
        </w:rPr>
      </w:pPr>
      <w:r>
        <w:rPr>
          <w:rFonts w:ascii="Arial" w:cs="Arial" w:eastAsia="Arial" w:hAnsi="Arial"/>
          <w:sz w:val="14"/>
          <w:szCs w:val="14"/>
          <w:color w:val="auto"/>
        </w:rPr>
        <w:t>Automobile Part Manufacturer</w:t>
      </w:r>
    </w:p>
    <w:p>
      <w:pPr>
        <w:spacing w:after="0" w:line="221" w:lineRule="auto"/>
        <w:rPr>
          <w:sz w:val="20"/>
          <w:szCs w:val="20"/>
          <w:color w:val="auto"/>
        </w:rPr>
      </w:pPr>
      <w:r>
        <w:rPr>
          <w:rFonts w:ascii="Arial" w:cs="Arial" w:eastAsia="Arial" w:hAnsi="Arial"/>
          <w:sz w:val="14"/>
          <w:szCs w:val="14"/>
          <w:color w:val="auto"/>
        </w:rPr>
        <w:t>Burgaflex Holdings, LLC</w:t>
      </w:r>
    </w:p>
    <w:p>
      <w:pPr>
        <w:ind w:left="2660"/>
        <w:spacing w:after="0"/>
        <w:rPr>
          <w:sz w:val="20"/>
          <w:szCs w:val="20"/>
          <w:color w:val="auto"/>
        </w:rPr>
      </w:pPr>
      <w:r>
        <w:rPr>
          <w:rFonts w:ascii="Arial" w:cs="Arial" w:eastAsia="Arial" w:hAnsi="Arial"/>
          <w:sz w:val="14"/>
          <w:szCs w:val="14"/>
          <w:color w:val="auto"/>
        </w:rPr>
        <w:t>Automobile Part Manufacturer</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City Gear, LLC</w:t>
      </w:r>
    </w:p>
    <w:p>
      <w:pPr>
        <w:ind w:left="2660"/>
        <w:spacing w:after="0" w:line="221" w:lineRule="auto"/>
        <w:rPr>
          <w:sz w:val="20"/>
          <w:szCs w:val="20"/>
          <w:color w:val="auto"/>
        </w:rPr>
      </w:pPr>
      <w:r>
        <w:rPr>
          <w:rFonts w:ascii="Arial" w:cs="Arial" w:eastAsia="Arial" w:hAnsi="Arial"/>
          <w:sz w:val="14"/>
          <w:szCs w:val="14"/>
          <w:color w:val="auto"/>
        </w:rPr>
        <w:t>Footwear Retail</w:t>
      </w:r>
    </w:p>
    <w:p>
      <w:pPr>
        <w:spacing w:after="0"/>
        <w:rPr>
          <w:sz w:val="20"/>
          <w:szCs w:val="20"/>
          <w:color w:val="auto"/>
        </w:rPr>
      </w:pPr>
      <w:r>
        <w:rPr>
          <w:rFonts w:ascii="Arial" w:cs="Arial" w:eastAsia="Arial" w:hAnsi="Arial"/>
          <w:sz w:val="14"/>
          <w:szCs w:val="14"/>
          <w:color w:val="auto"/>
        </w:rPr>
        <w:t>City Gear, LLC</w:t>
      </w:r>
    </w:p>
    <w:p>
      <w:pPr>
        <w:spacing w:after="0" w:line="164"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Footwear Retail</w:t>
      </w:r>
    </w:p>
    <w:p>
      <w:pPr>
        <w:spacing w:after="0" w:line="221" w:lineRule="auto"/>
        <w:rPr>
          <w:sz w:val="20"/>
          <w:szCs w:val="20"/>
          <w:color w:val="auto"/>
        </w:rPr>
      </w:pPr>
      <w:r>
        <w:rPr>
          <w:rFonts w:ascii="Arial" w:cs="Arial" w:eastAsia="Arial" w:hAnsi="Arial"/>
          <w:sz w:val="14"/>
          <w:szCs w:val="14"/>
          <w:color w:val="auto"/>
        </w:rPr>
        <w:t>City Gear, LLC</w:t>
      </w:r>
    </w:p>
    <w:p>
      <w:pPr>
        <w:ind w:left="2660"/>
        <w:spacing w:after="0"/>
        <w:rPr>
          <w:sz w:val="20"/>
          <w:szCs w:val="20"/>
          <w:color w:val="auto"/>
        </w:rPr>
      </w:pPr>
      <w:r>
        <w:rPr>
          <w:rFonts w:ascii="Arial" w:cs="Arial" w:eastAsia="Arial" w:hAnsi="Arial"/>
          <w:sz w:val="14"/>
          <w:szCs w:val="14"/>
          <w:color w:val="auto"/>
        </w:rPr>
        <w:t>Footwear Retail</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Corporate Visions, Inc.</w:t>
      </w:r>
    </w:p>
    <w:p>
      <w:pPr>
        <w:ind w:left="2660"/>
        <w:spacing w:after="0" w:line="221" w:lineRule="auto"/>
        <w:rPr>
          <w:sz w:val="20"/>
          <w:szCs w:val="20"/>
          <w:color w:val="auto"/>
        </w:rPr>
      </w:pPr>
      <w:r>
        <w:rPr>
          <w:rFonts w:ascii="Arial" w:cs="Arial" w:eastAsia="Arial" w:hAnsi="Arial"/>
          <w:sz w:val="14"/>
          <w:szCs w:val="14"/>
          <w:color w:val="auto"/>
        </w:rPr>
        <w:t>Sales &amp; Marketing Services</w:t>
      </w:r>
    </w:p>
    <w:p>
      <w:pPr>
        <w:spacing w:after="0" w:line="221" w:lineRule="auto"/>
        <w:rPr>
          <w:sz w:val="20"/>
          <w:szCs w:val="20"/>
          <w:color w:val="auto"/>
        </w:rPr>
      </w:pPr>
      <w:r>
        <w:rPr>
          <w:rFonts w:ascii="Arial" w:cs="Arial" w:eastAsia="Arial" w:hAnsi="Arial"/>
          <w:sz w:val="14"/>
          <w:szCs w:val="14"/>
          <w:color w:val="auto"/>
        </w:rPr>
        <w:t>Corporate Visions, Inc.</w:t>
      </w:r>
    </w:p>
    <w:p>
      <w:pPr>
        <w:ind w:left="2660"/>
        <w:spacing w:after="0" w:line="222" w:lineRule="auto"/>
        <w:rPr>
          <w:sz w:val="20"/>
          <w:szCs w:val="20"/>
          <w:color w:val="auto"/>
        </w:rPr>
      </w:pPr>
      <w:r>
        <w:rPr>
          <w:rFonts w:ascii="Arial" w:cs="Arial" w:eastAsia="Arial" w:hAnsi="Arial"/>
          <w:sz w:val="14"/>
          <w:szCs w:val="14"/>
          <w:color w:val="auto"/>
        </w:rPr>
        <w:t>Sales &amp; Marketing Services</w:t>
      </w:r>
    </w:p>
    <w:p>
      <w:pPr>
        <w:spacing w:after="0" w:line="221" w:lineRule="auto"/>
        <w:rPr>
          <w:sz w:val="20"/>
          <w:szCs w:val="20"/>
          <w:color w:val="auto"/>
        </w:rPr>
      </w:pPr>
      <w:r>
        <w:rPr>
          <w:rFonts w:ascii="Arial" w:cs="Arial" w:eastAsia="Arial" w:hAnsi="Arial"/>
          <w:sz w:val="14"/>
          <w:szCs w:val="14"/>
          <w:color w:val="auto"/>
        </w:rPr>
        <w:t>Corporate Visions, Inc.</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Sales &amp; Marketing Services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GA Communications, Inc.</w:t>
      </w:r>
    </w:p>
    <w:p>
      <w:pPr>
        <w:spacing w:after="0" w:line="176"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Advertising &amp; Marketing Services</w:t>
      </w:r>
    </w:p>
    <w:p>
      <w:pPr>
        <w:spacing w:after="0" w:line="221" w:lineRule="auto"/>
        <w:rPr>
          <w:sz w:val="20"/>
          <w:szCs w:val="20"/>
          <w:color w:val="auto"/>
        </w:rPr>
      </w:pPr>
      <w:r>
        <w:rPr>
          <w:rFonts w:ascii="Arial" w:cs="Arial" w:eastAsia="Arial" w:hAnsi="Arial"/>
          <w:sz w:val="14"/>
          <w:szCs w:val="14"/>
          <w:color w:val="auto"/>
        </w:rPr>
        <w:t>GA Communications, Inc.</w:t>
      </w:r>
    </w:p>
    <w:p>
      <w:pPr>
        <w:ind w:left="2660"/>
        <w:spacing w:after="0"/>
        <w:rPr>
          <w:sz w:val="20"/>
          <w:szCs w:val="20"/>
          <w:color w:val="auto"/>
        </w:rPr>
      </w:pPr>
      <w:r>
        <w:rPr>
          <w:rFonts w:ascii="Arial" w:cs="Arial" w:eastAsia="Arial" w:hAnsi="Arial"/>
          <w:sz w:val="14"/>
          <w:szCs w:val="14"/>
          <w:color w:val="auto"/>
        </w:rPr>
        <w:t>Advertising &amp; Marketing Services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J&amp;J Produce Holdings, Inc.</w:t>
      </w:r>
    </w:p>
    <w:p>
      <w:pPr>
        <w:ind w:left="2660"/>
        <w:spacing w:after="0" w:line="221" w:lineRule="auto"/>
        <w:rPr>
          <w:sz w:val="20"/>
          <w:szCs w:val="20"/>
          <w:color w:val="auto"/>
        </w:rPr>
      </w:pPr>
      <w:r>
        <w:rPr>
          <w:rFonts w:ascii="Arial" w:cs="Arial" w:eastAsia="Arial" w:hAnsi="Arial"/>
          <w:sz w:val="14"/>
          <w:szCs w:val="14"/>
          <w:color w:val="auto"/>
        </w:rPr>
        <w:t>Produce Distribution</w:t>
      </w:r>
    </w:p>
    <w:p>
      <w:pPr>
        <w:spacing w:after="0"/>
        <w:tabs>
          <w:tab w:leader="none" w:pos="2640" w:val="left"/>
        </w:tabs>
        <w:rPr>
          <w:sz w:val="20"/>
          <w:szCs w:val="20"/>
          <w:color w:val="auto"/>
        </w:rPr>
      </w:pPr>
      <w:r>
        <w:rPr>
          <w:rFonts w:ascii="Arial" w:cs="Arial" w:eastAsia="Arial" w:hAnsi="Arial"/>
          <w:sz w:val="14"/>
          <w:szCs w:val="14"/>
          <w:color w:val="auto"/>
        </w:rPr>
        <w:t>J&amp;J Produce Holdings, Inc.</w:t>
      </w:r>
      <w:r>
        <w:rPr>
          <w:sz w:val="20"/>
          <w:szCs w:val="20"/>
          <w:color w:val="auto"/>
        </w:rPr>
        <w:tab/>
      </w:r>
      <w:r>
        <w:rPr>
          <w:rFonts w:ascii="Arial" w:cs="Arial" w:eastAsia="Arial" w:hAnsi="Arial"/>
          <w:sz w:val="13"/>
          <w:szCs w:val="13"/>
          <w:color w:val="auto"/>
        </w:rPr>
        <w:t>Produce Distribution</w:t>
      </w:r>
    </w:p>
    <w:p>
      <w:pPr>
        <w:spacing w:after="0" w:line="221" w:lineRule="auto"/>
        <w:rPr>
          <w:sz w:val="20"/>
          <w:szCs w:val="20"/>
          <w:color w:val="auto"/>
        </w:rPr>
      </w:pPr>
      <w:r>
        <w:rPr>
          <w:rFonts w:ascii="Arial" w:cs="Arial" w:eastAsia="Arial" w:hAnsi="Arial"/>
          <w:sz w:val="14"/>
          <w:szCs w:val="14"/>
          <w:color w:val="auto"/>
        </w:rPr>
        <w:t>J&amp;J Produce Holdings, Inc.</w:t>
      </w:r>
    </w:p>
    <w:p>
      <w:pPr>
        <w:ind w:left="2660"/>
        <w:spacing w:after="0"/>
        <w:rPr>
          <w:sz w:val="20"/>
          <w:szCs w:val="20"/>
          <w:color w:val="auto"/>
        </w:rPr>
      </w:pPr>
      <w:r>
        <w:rPr>
          <w:rFonts w:ascii="Arial" w:cs="Arial" w:eastAsia="Arial" w:hAnsi="Arial"/>
          <w:sz w:val="14"/>
          <w:szCs w:val="14"/>
          <w:color w:val="auto"/>
        </w:rPr>
        <w:t>Produce Distribution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LJS Partners, LLC</w:t>
      </w:r>
    </w:p>
    <w:p>
      <w:pPr>
        <w:ind w:left="2660"/>
        <w:spacing w:after="0"/>
        <w:rPr>
          <w:sz w:val="20"/>
          <w:szCs w:val="20"/>
          <w:color w:val="auto"/>
        </w:rPr>
      </w:pPr>
      <w:r>
        <w:rPr>
          <w:rFonts w:ascii="Arial" w:cs="Arial" w:eastAsia="Arial" w:hAnsi="Arial"/>
          <w:sz w:val="14"/>
          <w:szCs w:val="14"/>
          <w:color w:val="auto"/>
        </w:rPr>
        <w:t>QSR Franchisor</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MJC Holdings, LLC</w:t>
      </w:r>
    </w:p>
    <w:p>
      <w:pPr>
        <w:ind w:left="2660"/>
        <w:spacing w:after="0"/>
        <w:rPr>
          <w:sz w:val="20"/>
          <w:szCs w:val="20"/>
          <w:color w:val="auto"/>
        </w:rPr>
      </w:pPr>
      <w:r>
        <w:rPr>
          <w:rFonts w:ascii="Arial" w:cs="Arial" w:eastAsia="Arial" w:hAnsi="Arial"/>
          <w:sz w:val="14"/>
          <w:szCs w:val="14"/>
          <w:color w:val="auto"/>
        </w:rPr>
        <w:t>Specialty Clothing</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97"/>
              </w:rPr>
              <w:t>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23"/>
        </w:trPr>
        <w:tc>
          <w:tcPr>
            <w:tcW w:w="2000" w:type="dxa"/>
            <w:vAlign w:val="bottom"/>
          </w:tcPr>
          <w:p>
            <w:pPr>
              <w:ind w:left="80"/>
              <w:spacing w:after="0" w:line="123" w:lineRule="exact"/>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(L+11.5% Cash, 0.5% floor,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80"/>
              <w:spacing w:after="0" w:line="198" w:lineRule="exact"/>
              <w:rPr>
                <w:sz w:val="20"/>
                <w:szCs w:val="20"/>
                <w:color w:val="auto"/>
              </w:rPr>
            </w:pPr>
            <w:r>
              <w:rPr>
                <w:rFonts w:ascii="Arial" w:cs="Arial" w:eastAsia="Arial" w:hAnsi="Arial"/>
                <w:sz w:val="14"/>
                <w:szCs w:val="14"/>
                <w:color w:val="auto"/>
              </w:rPr>
              <w:t>Due 5/2/19)</w:t>
            </w:r>
            <w:r>
              <w:rPr>
                <w:rFonts w:ascii="Arial" w:cs="Arial" w:eastAsia="Arial" w:hAnsi="Arial"/>
                <w:sz w:val="22"/>
                <w:szCs w:val="22"/>
                <w:color w:val="auto"/>
                <w:vertAlign w:val="superscript"/>
              </w:rPr>
              <w:t>(10)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4,822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4,727</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4,761</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2"/>
        </w:trPr>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3"/>
        </w:trPr>
        <w:tc>
          <w:tcPr>
            <w:tcW w:w="20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00" w:type="dxa"/>
            <w:vAlign w:val="bottom"/>
          </w:tcPr>
          <w:p>
            <w:pPr>
              <w:ind w:left="80"/>
              <w:spacing w:after="0" w:line="198" w:lineRule="exact"/>
              <w:rPr>
                <w:sz w:val="20"/>
                <w:szCs w:val="20"/>
                <w:color w:val="auto"/>
              </w:rPr>
            </w:pPr>
            <w:r>
              <w:rPr>
                <w:rFonts w:ascii="Arial" w:cs="Arial" w:eastAsia="Arial" w:hAnsi="Arial"/>
                <w:sz w:val="14"/>
                <w:szCs w:val="14"/>
                <w:color w:val="auto"/>
              </w:rPr>
              <w:t>(15% Cash, Due 12/31/15)</w:t>
            </w:r>
            <w:r>
              <w:rPr>
                <w:rFonts w:ascii="Arial" w:cs="Arial" w:eastAsia="Arial" w:hAnsi="Arial"/>
                <w:sz w:val="22"/>
                <w:szCs w:val="22"/>
                <w:color w:val="auto"/>
                <w:vertAlign w:val="superscript"/>
              </w:rPr>
              <w:t>(8)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8,300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8,300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(3.84% ownership)</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2,311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Preferred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80"/>
              <w:spacing w:after="0"/>
              <w:rPr>
                <w:sz w:val="20"/>
                <w:szCs w:val="20"/>
                <w:color w:val="auto"/>
              </w:rPr>
            </w:pPr>
            <w:r>
              <w:rPr>
                <w:rFonts w:ascii="Arial" w:cs="Arial" w:eastAsia="Arial" w:hAnsi="Arial"/>
                <w:sz w:val="14"/>
                <w:szCs w:val="14"/>
                <w:color w:val="auto"/>
              </w:rPr>
              <w:t>(3.84% ownership)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389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219,163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236,804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Subordinated Debt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20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(14% Cash, due 8/9/19)</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Junior 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 Cash, due 8/9/19)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7,200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7,200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80"/>
              <w:spacing w:after="0"/>
              <w:rPr>
                <w:sz w:val="20"/>
                <w:szCs w:val="20"/>
                <w:color w:val="auto"/>
              </w:rPr>
            </w:pPr>
            <w:r>
              <w:rPr>
                <w:rFonts w:ascii="Arial" w:cs="Arial" w:eastAsia="Arial" w:hAnsi="Arial"/>
                <w:sz w:val="14"/>
                <w:szCs w:val="14"/>
                <w:color w:val="auto"/>
              </w:rPr>
              <w:t>(1,253,198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3,646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2"/>
        </w:trPr>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13,704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15,846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(13% Cash, Due 9/28/16)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8,231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8,213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(2.78% fully diluted,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9% Cash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1,269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80"/>
              <w:spacing w:after="0"/>
              <w:rPr>
                <w:sz w:val="20"/>
                <w:szCs w:val="20"/>
                <w:color w:val="auto"/>
              </w:rPr>
            </w:pPr>
            <w:r>
              <w:rPr>
                <w:rFonts w:ascii="Arial" w:cs="Arial" w:eastAsia="Arial" w:hAnsi="Arial"/>
                <w:sz w:val="14"/>
                <w:szCs w:val="14"/>
                <w:color w:val="auto"/>
              </w:rPr>
              <w:t>(11.38% fully diluted)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6,205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8"/>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 PIK, Due 3/22/18)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11,402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11,402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11,402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(2,216,463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2,576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10,348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80"/>
              <w:spacing w:after="0"/>
              <w:rPr>
                <w:sz w:val="20"/>
                <w:szCs w:val="20"/>
                <w:color w:val="auto"/>
              </w:rPr>
            </w:pPr>
            <w:r>
              <w:rPr>
                <w:rFonts w:ascii="Arial" w:cs="Arial" w:eastAsia="Arial" w:hAnsi="Arial"/>
                <w:sz w:val="14"/>
                <w:szCs w:val="14"/>
                <w:color w:val="auto"/>
              </w:rPr>
              <w:t>(403,257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1,882</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Series A-1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13,978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23,632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(1,998 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8% 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2,197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2,559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B-1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80"/>
              <w:spacing w:after="0"/>
              <w:rPr>
                <w:sz w:val="20"/>
                <w:szCs w:val="20"/>
                <w:color w:val="auto"/>
              </w:rPr>
            </w:pPr>
            <w:r>
              <w:rPr>
                <w:rFonts w:ascii="Arial" w:cs="Arial" w:eastAsia="Arial" w:hAnsi="Arial"/>
                <w:sz w:val="14"/>
                <w:szCs w:val="14"/>
                <w:color w:val="auto"/>
              </w:rPr>
              <w:t>(200,000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1,660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2,199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4,219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(13% Cash, Due 7/16/18)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5,182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5,182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5,182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(8,182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80"/>
              <w:spacing w:after="0"/>
              <w:rPr>
                <w:sz w:val="20"/>
                <w:szCs w:val="20"/>
                <w:color w:val="auto"/>
              </w:rPr>
            </w:pPr>
            <w:r>
              <w:rPr>
                <w:rFonts w:ascii="Arial" w:cs="Arial" w:eastAsia="Arial" w:hAnsi="Arial"/>
                <w:sz w:val="14"/>
                <w:szCs w:val="14"/>
                <w:color w:val="auto"/>
              </w:rPr>
              <w:t>(4,506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188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5,711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80"/>
              <w:spacing w:after="0"/>
              <w:rPr>
                <w:sz w:val="20"/>
                <w:szCs w:val="20"/>
                <w:color w:val="auto"/>
              </w:rPr>
            </w:pPr>
            <w:r>
              <w:rPr>
                <w:rFonts w:ascii="Arial" w:cs="Arial" w:eastAsia="Arial" w:hAnsi="Arial"/>
                <w:sz w:val="14"/>
                <w:szCs w:val="14"/>
                <w:color w:val="auto"/>
              </w:rPr>
              <w:t>(1,500,000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2,506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8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5,723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760" w:space="100"/>
            <w:col w:w="5219"/>
          </w:cols>
          <w:pgMar w:left="380" w:top="792" w:right="1440" w:bottom="1440" w:gutter="0" w:footer="0" w:header="0"/>
          <w:type w:val="continuous"/>
        </w:sectPr>
      </w:pPr>
    </w:p>
    <w:p>
      <w:pPr>
        <w:spacing w:after="0" w:line="3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04" w:name="page105"/>
    <w:bookmarkEnd w:id="104"/>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Principal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6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0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97"/>
              </w:rPr>
              <w:t>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33"/>
        </w:trPr>
        <w:tc>
          <w:tcPr>
            <w:tcW w:w="2560" w:type="dxa"/>
            <w:vAlign w:val="bottom"/>
          </w:tcPr>
          <w:p>
            <w:pPr>
              <w:ind w:left="20"/>
              <w:spacing w:after="0" w:line="133"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tcPr>
          <w:p>
            <w:pPr>
              <w:ind w:left="80"/>
              <w:spacing w:after="0" w:line="133" w:lineRule="exact"/>
              <w:rPr>
                <w:sz w:val="20"/>
                <w:szCs w:val="20"/>
                <w:color w:val="auto"/>
              </w:rPr>
            </w:pPr>
            <w:r>
              <w:rPr>
                <w:rFonts w:ascii="Arial" w:cs="Arial" w:eastAsia="Arial" w:hAnsi="Arial"/>
                <w:sz w:val="14"/>
                <w:szCs w:val="14"/>
                <w:color w:val="auto"/>
              </w:rPr>
              <w:t>Senior Secured Debt</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(12% Cash, Due 1/31/17)</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2,600</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2,600</w:t>
            </w:r>
          </w:p>
        </w:tc>
        <w:tc>
          <w:tcPr>
            <w:tcW w:w="6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2,600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(6% Cash, Due 1/31/17)</w:t>
            </w:r>
            <w:r>
              <w:rPr>
                <w:rFonts w:ascii="Arial" w:cs="Arial" w:eastAsia="Arial" w:hAnsi="Arial"/>
                <w:sz w:val="20"/>
                <w:szCs w:val="20"/>
                <w:color w:val="auto"/>
                <w:vertAlign w:val="superscript"/>
              </w:rPr>
              <w:t>(1)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Preferred Units (1,000 units,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6% PIK 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1,136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1,273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Medical Device Distributor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(45 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126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4,399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 Cash, Due 11/1/18)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Retail Display &amp; Security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(2,000,000 units)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4,958</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Capital ABUTEC,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12,958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 Cash, 3% PIK,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12/28/17)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5,283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5,283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5,166</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ABUTEC,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(10.8%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1,240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Automotive Chemicals &amp;</w:t>
            </w: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5,166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Lubricants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(13% Cash, Due 2/17/17)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Automotive Chemicals &amp;</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Lubricants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(6.65% ownership)</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Penray, LLC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Automotive Chemicals &amp;</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Lubricants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(11.3% ownership)</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813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3,891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(7% Cash, Due 6/12/17)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4,751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(7% Cash, Due 9/15/17)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17,125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17,125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11,490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(15.8% ownership)</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1,878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Personal Product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(0.31% ownership)</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Source Recycling,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Subordinated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24,013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16,241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(13% Cash, Due 9/2/16)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4,927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Recycling,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 (68,656</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units)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1,590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Source Recycling,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Scrap Metal Recycler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 fully diluted)</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vMerge w:val="restart"/>
          </w:tcPr>
          <w:p>
            <w:pPr>
              <w:ind w:left="20"/>
              <w:spacing w:after="0"/>
              <w:rPr>
                <w:sz w:val="20"/>
                <w:szCs w:val="20"/>
                <w:color w:val="auto"/>
              </w:rPr>
            </w:pPr>
            <w:r>
              <w:rPr>
                <w:rFonts w:ascii="Arial" w:cs="Arial" w:eastAsia="Arial" w:hAnsi="Arial"/>
                <w:sz w:val="14"/>
                <w:szCs w:val="14"/>
                <w:color w:val="auto"/>
              </w:rPr>
              <w:t>Sparus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6,590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(12% Cash, 2% PIK,</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Due 3/21/16)</w:t>
            </w:r>
            <w:r>
              <w:rPr>
                <w:rFonts w:ascii="Arial" w:cs="Arial" w:eastAsia="Arial" w:hAnsi="Arial"/>
                <w:sz w:val="20"/>
                <w:szCs w:val="20"/>
                <w:color w:val="auto"/>
                <w:vertAlign w:val="superscript"/>
              </w:rPr>
              <w:t>(3)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5,034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5,012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4,050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8"/>
        </w:trPr>
        <w:tc>
          <w:tcPr>
            <w:tcW w:w="2560" w:type="dxa"/>
            <w:vAlign w:val="bottom"/>
          </w:tcPr>
          <w:p>
            <w:pPr>
              <w:ind w:left="20"/>
              <w:spacing w:after="0" w:line="159" w:lineRule="exact"/>
              <w:rPr>
                <w:sz w:val="20"/>
                <w:szCs w:val="20"/>
                <w:color w:val="auto"/>
              </w:rPr>
            </w:pPr>
            <w:r>
              <w:rPr>
                <w:rFonts w:ascii="Arial" w:cs="Arial" w:eastAsia="Arial" w:hAnsi="Arial"/>
                <w:sz w:val="14"/>
                <w:szCs w:val="14"/>
                <w:color w:val="auto"/>
              </w:rPr>
              <w:t>Sparus Holdings, Inc.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Subordinated Debt (9% Cash,</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5% PIK, Due 3/21/16)</w:t>
            </w:r>
            <w:r>
              <w:rPr>
                <w:rFonts w:ascii="Arial" w:cs="Arial" w:eastAsia="Arial" w:hAnsi="Arial"/>
                <w:sz w:val="20"/>
                <w:szCs w:val="20"/>
                <w:color w:val="auto"/>
                <w:vertAlign w:val="superscript"/>
              </w:rPr>
              <w:t>(3)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8,108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8,066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6,523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Sparus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B Preferred Stock</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(5,703 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tcPr>
          <w:p>
            <w:pPr>
              <w:ind w:left="20"/>
              <w:spacing w:after="0" w:line="149" w:lineRule="exact"/>
              <w:rPr>
                <w:sz w:val="20"/>
                <w:szCs w:val="20"/>
                <w:color w:val="auto"/>
              </w:rPr>
            </w:pPr>
            <w:r>
              <w:rPr>
                <w:rFonts w:ascii="Arial" w:cs="Arial" w:eastAsia="Arial" w:hAnsi="Arial"/>
                <w:sz w:val="14"/>
                <w:szCs w:val="14"/>
                <w:color w:val="auto"/>
              </w:rPr>
              <w:t>Sparus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Energy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(3,491 shares)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left="3160"/>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61658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1658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6205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STX Healthcare Management</w:t>
      </w:r>
    </w:p>
    <w:p>
      <w:pPr>
        <w:ind w:left="180"/>
        <w:spacing w:after="0"/>
        <w:rPr>
          <w:sz w:val="20"/>
          <w:szCs w:val="20"/>
          <w:color w:val="auto"/>
        </w:rPr>
      </w:pPr>
      <w:r>
        <w:rPr>
          <w:rFonts w:ascii="Arial" w:cs="Arial" w:eastAsia="Arial" w:hAnsi="Arial"/>
          <w:sz w:val="14"/>
          <w:szCs w:val="14"/>
          <w:color w:val="auto"/>
        </w:rPr>
        <w:t>Services, Inc.</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STX Healthcare Management</w:t>
      </w:r>
    </w:p>
    <w:p>
      <w:pPr>
        <w:ind w:left="180"/>
        <w:spacing w:after="0" w:line="221" w:lineRule="auto"/>
        <w:rPr>
          <w:sz w:val="20"/>
          <w:szCs w:val="20"/>
          <w:color w:val="auto"/>
        </w:rPr>
      </w:pPr>
      <w:r>
        <w:rPr>
          <w:rFonts w:ascii="Arial" w:cs="Arial" w:eastAsia="Arial" w:hAnsi="Arial"/>
          <w:sz w:val="14"/>
          <w:szCs w:val="14"/>
          <w:color w:val="auto"/>
        </w:rPr>
        <w:t>Services, Inc.</w:t>
      </w:r>
    </w:p>
    <w:p>
      <w:pPr>
        <w:spacing w:after="0" w:line="221" w:lineRule="auto"/>
        <w:rPr>
          <w:sz w:val="20"/>
          <w:szCs w:val="20"/>
          <w:color w:val="auto"/>
        </w:rPr>
      </w:pPr>
      <w:r>
        <w:rPr>
          <w:rFonts w:ascii="Arial" w:cs="Arial" w:eastAsia="Arial" w:hAnsi="Arial"/>
          <w:sz w:val="14"/>
          <w:szCs w:val="14"/>
          <w:color w:val="auto"/>
        </w:rPr>
        <w:t>STX Healthcare Management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Services, Inc.</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TCE Holdings, Inc.</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V12 Holdings, Inc.</w:t>
      </w: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 Total Affiliate investments</w:t>
      </w:r>
    </w:p>
    <w:p>
      <w:pPr>
        <w:spacing w:after="0" w:line="53" w:lineRule="exact"/>
        <w:rPr>
          <w:sz w:val="20"/>
          <w:szCs w:val="20"/>
          <w:color w:val="auto"/>
        </w:rPr>
      </w:pPr>
    </w:p>
    <w:p>
      <w:pPr>
        <w:spacing w:after="0" w:line="297" w:lineRule="auto"/>
        <w:rPr>
          <w:sz w:val="20"/>
          <w:szCs w:val="20"/>
          <w:color w:val="auto"/>
        </w:rPr>
      </w:pPr>
      <w:r>
        <w:rPr>
          <w:rFonts w:ascii="Arial" w:cs="Arial" w:eastAsia="Arial" w:hAnsi="Arial"/>
          <w:sz w:val="13"/>
          <w:szCs w:val="13"/>
          <w:b w:val="1"/>
          <w:bCs w:val="1"/>
          <w:color w:val="auto"/>
        </w:rPr>
        <w:t xml:space="preserve">Control investments – 30.0% </w:t>
      </w:r>
      <w:r>
        <w:rPr>
          <w:rFonts w:ascii="Arial" w:cs="Arial" w:eastAsia="Arial" w:hAnsi="Arial"/>
          <w:sz w:val="13"/>
          <w:szCs w:val="13"/>
          <w:color w:val="auto"/>
        </w:rPr>
        <w:t>CableOrganizer Acquisition, LLC</w:t>
      </w:r>
    </w:p>
    <w:p>
      <w:pPr>
        <w:spacing w:after="0" w:line="228" w:lineRule="exact"/>
        <w:rPr>
          <w:sz w:val="20"/>
          <w:szCs w:val="20"/>
          <w:color w:val="auto"/>
        </w:rPr>
      </w:pPr>
    </w:p>
    <w:p>
      <w:pPr>
        <w:spacing w:after="0" w:line="529" w:lineRule="auto"/>
        <w:rPr>
          <w:sz w:val="20"/>
          <w:szCs w:val="20"/>
          <w:color w:val="auto"/>
        </w:rPr>
      </w:pPr>
      <w:r>
        <w:rPr>
          <w:rFonts w:ascii="Arial" w:cs="Arial" w:eastAsia="Arial" w:hAnsi="Arial"/>
          <w:sz w:val="13"/>
          <w:szCs w:val="13"/>
          <w:color w:val="auto"/>
        </w:rPr>
        <w:t>CableOrganizer Acquisition, LLC CableOrganizer Acquisition, LLC</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KBP Investments, LLC</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KBP Investments, LLC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9"/>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24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0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97"/>
              </w:rPr>
              <w:t>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tcPr>
          <w:p>
            <w:pPr>
              <w:ind w:left="80"/>
              <w:spacing w:after="0" w:line="133" w:lineRule="exact"/>
              <w:rPr>
                <w:sz w:val="20"/>
                <w:szCs w:val="20"/>
                <w:color w:val="auto"/>
              </w:rPr>
            </w:pPr>
            <w:r>
              <w:rPr>
                <w:rFonts w:ascii="Arial" w:cs="Arial" w:eastAsia="Arial" w:hAnsi="Arial"/>
                <w:sz w:val="14"/>
                <w:szCs w:val="14"/>
                <w:color w:val="auto"/>
              </w:rPr>
              <w:t>Subordinated Debt (12.5%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24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Cash, Due 7/31/18)</w:t>
            </w:r>
            <w:r>
              <w:rPr>
                <w:rFonts w:ascii="Arial" w:cs="Arial" w:eastAsia="Arial" w:hAnsi="Arial"/>
                <w:sz w:val="20"/>
                <w:szCs w:val="20"/>
                <w:color w:val="auto"/>
                <w:vertAlign w:val="superscript"/>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6,425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6,425</w:t>
            </w:r>
          </w:p>
        </w:tc>
        <w:tc>
          <w:tcPr>
            <w:tcW w:w="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6,425</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(1,200,000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714</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Dental Practice Management</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(1,154,254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687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8"/>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7,843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7,826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 PIK, Due 2/1/19)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12,294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12,294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11,995</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w w:val="98"/>
              </w:rPr>
              <w:t>Subordinated Debt (12%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 PIK, Due 2/1/19)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9,796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9,796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9,516</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Class A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Oil &amp; Gas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(3,600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3,600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2,650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2240" w:type="dxa"/>
            <w:vAlign w:val="bottom"/>
            <w:vMerge w:val="restart"/>
          </w:tcPr>
          <w:p>
            <w:pPr>
              <w:ind w:left="80"/>
              <w:spacing w:after="0"/>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25,690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24,161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(15% PIK, Due 11/26/16)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406</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1"/>
        </w:trPr>
        <w:tc>
          <w:tcPr>
            <w:tcW w:w="2240" w:type="dxa"/>
            <w:vAlign w:val="bottom"/>
          </w:tcPr>
          <w:p>
            <w:pPr>
              <w:ind w:left="80"/>
              <w:spacing w:after="0"/>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Bridge Note (0% Cash,</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80"/>
              <w:spacing w:after="0" w:line="157"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3"/>
                <w:szCs w:val="13"/>
                <w:color w:val="auto"/>
              </w:rPr>
            </w:pPr>
          </w:p>
        </w:tc>
        <w:tc>
          <w:tcPr>
            <w:tcW w:w="2000" w:type="dxa"/>
            <w:vAlign w:val="bottom"/>
          </w:tcPr>
          <w:p>
            <w:pPr>
              <w:ind w:left="80"/>
              <w:spacing w:after="0" w:line="157" w:lineRule="exact"/>
              <w:rPr>
                <w:sz w:val="20"/>
                <w:szCs w:val="20"/>
                <w:color w:val="auto"/>
              </w:rPr>
            </w:pPr>
            <w:r>
              <w:rPr>
                <w:rFonts w:ascii="Arial" w:cs="Arial" w:eastAsia="Arial" w:hAnsi="Arial"/>
                <w:sz w:val="12"/>
                <w:szCs w:val="12"/>
                <w:color w:val="auto"/>
              </w:rPr>
              <w:t>Due 6/30/15)</w:t>
            </w:r>
            <w:r>
              <w:rPr>
                <w:rFonts w:ascii="Arial" w:cs="Arial" w:eastAsia="Arial" w:hAnsi="Arial"/>
                <w:sz w:val="18"/>
                <w:szCs w:val="18"/>
                <w:color w:val="auto"/>
                <w:vertAlign w:val="superscript"/>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663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361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663</w:t>
            </w:r>
          </w:p>
        </w:tc>
        <w:tc>
          <w:tcPr>
            <w:tcW w:w="680" w:type="dxa"/>
            <w:vAlign w:val="bottom"/>
            <w:gridSpan w:val="3"/>
          </w:tcPr>
          <w:p>
            <w:pPr>
              <w:jc w:val="right"/>
              <w:ind w:right="28"/>
              <w:spacing w:after="0" w:line="157"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2240" w:type="dxa"/>
            <w:vAlign w:val="bottom"/>
          </w:tcPr>
          <w:p>
            <w:pPr>
              <w:ind w:left="80"/>
              <w:spacing w:after="0"/>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Tier 2 Note (0% Cash,</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80"/>
              <w:spacing w:after="0" w:line="157"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3"/>
                <w:szCs w:val="13"/>
                <w:color w:val="auto"/>
              </w:rPr>
            </w:pPr>
          </w:p>
        </w:tc>
        <w:tc>
          <w:tcPr>
            <w:tcW w:w="2000" w:type="dxa"/>
            <w:vAlign w:val="bottom"/>
          </w:tcPr>
          <w:p>
            <w:pPr>
              <w:ind w:left="80"/>
              <w:spacing w:after="0" w:line="157" w:lineRule="exact"/>
              <w:rPr>
                <w:sz w:val="20"/>
                <w:szCs w:val="20"/>
                <w:color w:val="auto"/>
              </w:rPr>
            </w:pPr>
            <w:r>
              <w:rPr>
                <w:rFonts w:ascii="Arial" w:cs="Arial" w:eastAsia="Arial" w:hAnsi="Arial"/>
                <w:sz w:val="12"/>
                <w:szCs w:val="12"/>
                <w:color w:val="auto"/>
              </w:rPr>
              <w:t>Due 6/30/15)</w:t>
            </w:r>
            <w:r>
              <w:rPr>
                <w:rFonts w:ascii="Arial" w:cs="Arial" w:eastAsia="Arial" w:hAnsi="Arial"/>
                <w:sz w:val="18"/>
                <w:szCs w:val="18"/>
                <w:color w:val="auto"/>
                <w:vertAlign w:val="superscript"/>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44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81</w:t>
            </w:r>
          </w:p>
        </w:tc>
        <w:tc>
          <w:tcPr>
            <w:tcW w:w="680" w:type="dxa"/>
            <w:vAlign w:val="bottom"/>
            <w:gridSpan w:val="3"/>
          </w:tcPr>
          <w:p>
            <w:pPr>
              <w:jc w:val="right"/>
              <w:ind w:right="28"/>
              <w:spacing w:after="0" w:line="157"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1"/>
        </w:trPr>
        <w:tc>
          <w:tcPr>
            <w:tcW w:w="2240" w:type="dxa"/>
            <w:vAlign w:val="bottom"/>
          </w:tcPr>
          <w:p>
            <w:pPr>
              <w:ind w:left="80"/>
              <w:spacing w:after="0"/>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Senior Subordinated Note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80"/>
              <w:spacing w:after="0" w:line="157"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3"/>
                <w:szCs w:val="13"/>
                <w:color w:val="auto"/>
              </w:rPr>
            </w:pPr>
          </w:p>
        </w:tc>
        <w:tc>
          <w:tcPr>
            <w:tcW w:w="2000" w:type="dxa"/>
            <w:vAlign w:val="bottom"/>
          </w:tcPr>
          <w:p>
            <w:pPr>
              <w:ind w:left="80"/>
              <w:spacing w:after="0" w:line="157" w:lineRule="exact"/>
              <w:rPr>
                <w:sz w:val="20"/>
                <w:szCs w:val="20"/>
                <w:color w:val="auto"/>
              </w:rPr>
            </w:pPr>
            <w:r>
              <w:rPr>
                <w:rFonts w:ascii="Arial" w:cs="Arial" w:eastAsia="Arial" w:hAnsi="Arial"/>
                <w:sz w:val="12"/>
                <w:szCs w:val="12"/>
                <w:color w:val="auto"/>
              </w:rPr>
              <w:t>(0% Cash, Due 6/30/15)</w:t>
            </w:r>
            <w:r>
              <w:rPr>
                <w:rFonts w:ascii="Arial" w:cs="Arial" w:eastAsia="Arial" w:hAnsi="Arial"/>
                <w:sz w:val="18"/>
                <w:szCs w:val="18"/>
                <w:color w:val="auto"/>
                <w:vertAlign w:val="superscript"/>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3,563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2,369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3,563</w:t>
            </w:r>
          </w:p>
        </w:tc>
        <w:tc>
          <w:tcPr>
            <w:tcW w:w="680" w:type="dxa"/>
            <w:vAlign w:val="bottom"/>
            <w:gridSpan w:val="3"/>
          </w:tcPr>
          <w:p>
            <w:pPr>
              <w:jc w:val="right"/>
              <w:ind w:right="28"/>
              <w:spacing w:after="0" w:line="157"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1"/>
        </w:trPr>
        <w:tc>
          <w:tcPr>
            <w:tcW w:w="2240" w:type="dxa"/>
            <w:vAlign w:val="bottom"/>
          </w:tcPr>
          <w:p>
            <w:pPr>
              <w:ind w:left="80"/>
              <w:spacing w:after="0"/>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Tier 3 Note (0% Cash,</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80"/>
              <w:spacing w:after="0" w:line="157"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3"/>
                <w:szCs w:val="13"/>
                <w:color w:val="auto"/>
              </w:rPr>
            </w:pPr>
          </w:p>
        </w:tc>
        <w:tc>
          <w:tcPr>
            <w:tcW w:w="2000" w:type="dxa"/>
            <w:vAlign w:val="bottom"/>
          </w:tcPr>
          <w:p>
            <w:pPr>
              <w:ind w:left="80"/>
              <w:spacing w:after="0" w:line="157" w:lineRule="exact"/>
              <w:rPr>
                <w:sz w:val="20"/>
                <w:szCs w:val="20"/>
                <w:color w:val="auto"/>
              </w:rPr>
            </w:pPr>
            <w:r>
              <w:rPr>
                <w:rFonts w:ascii="Arial" w:cs="Arial" w:eastAsia="Arial" w:hAnsi="Arial"/>
                <w:sz w:val="12"/>
                <w:szCs w:val="12"/>
                <w:color w:val="auto"/>
              </w:rPr>
              <w:t>Due 6/30/15)</w:t>
            </w:r>
            <w:r>
              <w:rPr>
                <w:rFonts w:ascii="Arial" w:cs="Arial" w:eastAsia="Arial" w:hAnsi="Arial"/>
                <w:sz w:val="18"/>
                <w:szCs w:val="18"/>
                <w:color w:val="auto"/>
                <w:vertAlign w:val="superscript"/>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299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207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299</w:t>
            </w:r>
          </w:p>
        </w:tc>
        <w:tc>
          <w:tcPr>
            <w:tcW w:w="680" w:type="dxa"/>
            <w:vAlign w:val="bottom"/>
            <w:gridSpan w:val="3"/>
          </w:tcPr>
          <w:p>
            <w:pPr>
              <w:jc w:val="right"/>
              <w:ind w:right="28"/>
              <w:spacing w:after="0" w:line="157"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1"/>
        </w:trPr>
        <w:tc>
          <w:tcPr>
            <w:tcW w:w="2240" w:type="dxa"/>
            <w:vAlign w:val="bottom"/>
          </w:tcPr>
          <w:p>
            <w:pPr>
              <w:ind w:left="80"/>
              <w:spacing w:after="0"/>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Jr. Subordinated Note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80"/>
              <w:spacing w:after="0" w:line="157"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3"/>
                <w:szCs w:val="13"/>
                <w:color w:val="auto"/>
              </w:rPr>
            </w:pPr>
          </w:p>
        </w:tc>
        <w:tc>
          <w:tcPr>
            <w:tcW w:w="2000" w:type="dxa"/>
            <w:vAlign w:val="bottom"/>
          </w:tcPr>
          <w:p>
            <w:pPr>
              <w:ind w:left="80"/>
              <w:spacing w:after="0" w:line="157" w:lineRule="exact"/>
              <w:rPr>
                <w:sz w:val="20"/>
                <w:szCs w:val="20"/>
                <w:color w:val="auto"/>
              </w:rPr>
            </w:pPr>
            <w:r>
              <w:rPr>
                <w:rFonts w:ascii="Arial" w:cs="Arial" w:eastAsia="Arial" w:hAnsi="Arial"/>
                <w:sz w:val="12"/>
                <w:szCs w:val="12"/>
                <w:color w:val="auto"/>
              </w:rPr>
              <w:t>(0% Cash, Due 6/30/15)</w:t>
            </w:r>
            <w:r>
              <w:rPr>
                <w:rFonts w:ascii="Arial" w:cs="Arial" w:eastAsia="Arial" w:hAnsi="Arial"/>
                <w:sz w:val="18"/>
                <w:szCs w:val="18"/>
                <w:color w:val="auto"/>
                <w:vertAlign w:val="superscript"/>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2,750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2,750</w:t>
            </w:r>
          </w:p>
        </w:tc>
        <w:tc>
          <w:tcPr>
            <w:tcW w:w="680" w:type="dxa"/>
            <w:vAlign w:val="bottom"/>
            <w:gridSpan w:val="3"/>
          </w:tcPr>
          <w:p>
            <w:pPr>
              <w:jc w:val="right"/>
              <w:ind w:right="28"/>
              <w:spacing w:after="0" w:line="157"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2240" w:type="dxa"/>
            <w:vAlign w:val="bottom"/>
          </w:tcPr>
          <w:p>
            <w:pPr>
              <w:ind w:left="80"/>
              <w:spacing w:after="0"/>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Tier 4 Note (0% Cash,</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80"/>
              <w:spacing w:after="0" w:line="157"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3"/>
                <w:szCs w:val="13"/>
                <w:color w:val="auto"/>
              </w:rPr>
            </w:pPr>
          </w:p>
        </w:tc>
        <w:tc>
          <w:tcPr>
            <w:tcW w:w="2000" w:type="dxa"/>
            <w:vAlign w:val="bottom"/>
          </w:tcPr>
          <w:p>
            <w:pPr>
              <w:ind w:left="80"/>
              <w:spacing w:after="0" w:line="157" w:lineRule="exact"/>
              <w:rPr>
                <w:sz w:val="20"/>
                <w:szCs w:val="20"/>
                <w:color w:val="auto"/>
              </w:rPr>
            </w:pPr>
            <w:r>
              <w:rPr>
                <w:rFonts w:ascii="Arial" w:cs="Arial" w:eastAsia="Arial" w:hAnsi="Arial"/>
                <w:sz w:val="12"/>
                <w:szCs w:val="12"/>
                <w:color w:val="auto"/>
              </w:rPr>
              <w:t>Due 6/30/15)</w:t>
            </w:r>
            <w:r>
              <w:rPr>
                <w:rFonts w:ascii="Arial" w:cs="Arial" w:eastAsia="Arial" w:hAnsi="Arial"/>
                <w:sz w:val="18"/>
                <w:szCs w:val="18"/>
                <w:color w:val="auto"/>
                <w:vertAlign w:val="superscript"/>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243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243</w:t>
            </w:r>
          </w:p>
        </w:tc>
        <w:tc>
          <w:tcPr>
            <w:tcW w:w="680" w:type="dxa"/>
            <w:vAlign w:val="bottom"/>
            <w:gridSpan w:val="3"/>
          </w:tcPr>
          <w:p>
            <w:pPr>
              <w:jc w:val="right"/>
              <w:ind w:right="28"/>
              <w:spacing w:after="0" w:line="157"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A-1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(255,102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A-3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(88,194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A-5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(20,530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Data Processing &amp; Digital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Marketing</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(2,063,629 warrants)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3,387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8,005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154,552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171,471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2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(12% Cash, 4% PIK,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5/24/18)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10,587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10,587</w:t>
            </w:r>
          </w:p>
        </w:tc>
        <w:tc>
          <w:tcPr>
            <w:tcW w:w="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10,587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(1,125,000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927</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Computer Supply Retail</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(570,000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470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11,712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11,984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(8,270 shares, 10%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40" w:type="dxa"/>
            <w:vAlign w:val="bottom"/>
          </w:tcPr>
          <w:p>
            <w:pPr>
              <w:ind w:left="80"/>
              <w:spacing w:after="0"/>
              <w:rPr>
                <w:sz w:val="20"/>
                <w:szCs w:val="20"/>
                <w:color w:val="auto"/>
              </w:rPr>
            </w:pPr>
            <w:r>
              <w:rPr>
                <w:rFonts w:ascii="Arial" w:cs="Arial" w:eastAsia="Arial" w:hAnsi="Arial"/>
                <w:sz w:val="14"/>
                <w:szCs w:val="14"/>
                <w:color w:val="auto"/>
              </w:rPr>
              <w:t>QSR Franchisee</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8,269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8,269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Class A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Pr>
          <w:p>
            <w:pPr>
              <w:ind w:left="80"/>
              <w:spacing w:after="0"/>
              <w:rPr>
                <w:sz w:val="20"/>
                <w:szCs w:val="20"/>
                <w:color w:val="auto"/>
              </w:rPr>
            </w:pPr>
            <w:r>
              <w:rPr>
                <w:rFonts w:ascii="Arial" w:cs="Arial" w:eastAsia="Arial" w:hAnsi="Arial"/>
                <w:sz w:val="14"/>
                <w:szCs w:val="14"/>
                <w:color w:val="auto"/>
              </w:rPr>
              <w:t>QSR Franchisee</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(380,413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9,196</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w:t>
            </w:r>
            <w:r>
              <w:rPr>
                <w:rFonts w:ascii="Arial" w:cs="Arial" w:eastAsia="Arial" w:hAnsi="Arial"/>
                <w:sz w:val="14"/>
                <w:szCs w:val="14"/>
                <w:u w:val="single" w:color="auto"/>
                <w:color w:val="auto"/>
              </w:rPr>
              <w:t>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960" w:space="620"/>
            <w:col w:w="7499"/>
          </w:cols>
          <w:pgMar w:left="380" w:top="792" w:right="1440" w:bottom="1440" w:gutter="0" w:footer="0" w:header="0"/>
          <w:type w:val="continuous"/>
        </w:sectPr>
      </w:pPr>
    </w:p>
    <w:p>
      <w:pPr>
        <w:spacing w:after="0" w:line="326"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06" w:name="page107"/>
    <w:bookmarkEnd w:id="10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Consolidated Schedule of Investments – (continued) (in thousands, except for units)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616585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65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20320</wp:posOffset>
            </wp:positionV>
            <wp:extent cx="61658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0"/>
                <w:szCs w:val="20"/>
                <w:b w:val="1"/>
                <w:bCs w:val="1"/>
                <w:color w:val="auto"/>
                <w:vertAlign w:val="superscript"/>
              </w:rPr>
              <w:t>(4),(5)</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3"/>
                <w:szCs w:val="13"/>
                <w:b w:val="1"/>
                <w:bCs w:val="1"/>
                <w:color w:val="auto"/>
                <w:w w:val="90"/>
              </w:rPr>
              <w:t>Principal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3"/>
                <w:szCs w:val="13"/>
                <w:color w:val="auto"/>
              </w:rPr>
            </w:pPr>
          </w:p>
        </w:tc>
        <w:tc>
          <w:tcPr>
            <w:tcW w:w="640" w:type="dxa"/>
            <w:vAlign w:val="bottom"/>
            <w:gridSpan w:val="2"/>
          </w:tcPr>
          <w:p>
            <w:pPr>
              <w:jc w:val="right"/>
              <w:ind w:right="108"/>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60" w:type="dxa"/>
            <w:vAlign w:val="bottom"/>
            <w:tcBorders>
              <w:bottom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color w:val="auto"/>
              </w:rPr>
              <w:t>Industry</w:t>
            </w:r>
          </w:p>
        </w:tc>
        <w:tc>
          <w:tcPr>
            <w:tcW w:w="40" w:type="dxa"/>
            <w:vAlign w:val="bottom"/>
          </w:tcPr>
          <w:p>
            <w:pPr>
              <w:spacing w:after="0"/>
              <w:rPr>
                <w:sz w:val="13"/>
                <w:szCs w:val="13"/>
                <w:color w:val="auto"/>
              </w:rPr>
            </w:pPr>
          </w:p>
        </w:tc>
        <w:tc>
          <w:tcPr>
            <w:tcW w:w="20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97"/>
              </w:rPr>
              <w:t>Value</w:t>
            </w:r>
          </w:p>
        </w:tc>
        <w:tc>
          <w:tcPr>
            <w:tcW w:w="4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Net Assets</w:t>
            </w:r>
          </w:p>
        </w:tc>
        <w:tc>
          <w:tcPr>
            <w:tcW w:w="0" w:type="dxa"/>
            <w:vAlign w:val="bottom"/>
          </w:tcPr>
          <w:p>
            <w:pPr>
              <w:spacing w:after="0"/>
              <w:rPr>
                <w:sz w:val="1"/>
                <w:szCs w:val="1"/>
                <w:color w:val="auto"/>
              </w:rPr>
            </w:pPr>
          </w:p>
        </w:tc>
      </w:tr>
      <w:tr>
        <w:trPr>
          <w:trHeight w:val="133"/>
        </w:trPr>
        <w:tc>
          <w:tcPr>
            <w:tcW w:w="256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Market E's, LLC</w:t>
            </w:r>
          </w:p>
        </w:tc>
        <w:tc>
          <w:tcPr>
            <w:tcW w:w="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0" w:type="dxa"/>
            <w:vAlign w:val="bottom"/>
          </w:tcPr>
          <w:p>
            <w:pPr>
              <w:ind w:left="80"/>
              <w:spacing w:after="0" w:line="133" w:lineRule="exact"/>
              <w:rPr>
                <w:sz w:val="20"/>
                <w:szCs w:val="20"/>
                <w:color w:val="auto"/>
              </w:rPr>
            </w:pPr>
            <w:r>
              <w:rPr>
                <w:rFonts w:ascii="Arial" w:cs="Arial" w:eastAsia="Arial" w:hAnsi="Arial"/>
                <w:sz w:val="14"/>
                <w:szCs w:val="14"/>
                <w:color w:val="auto"/>
                <w:w w:val="95"/>
              </w:rPr>
              <w:t>Senior Secured Debt (0% Cash,</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Due 12/31/16)</w:t>
            </w:r>
            <w:r>
              <w:rPr>
                <w:rFonts w:ascii="Arial" w:cs="Arial" w:eastAsia="Arial" w:hAnsi="Arial"/>
                <w:sz w:val="20"/>
                <w:szCs w:val="20"/>
                <w:color w:val="auto"/>
                <w:vertAlign w:val="superscript"/>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985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985</w:t>
            </w: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8"/>
        </w:trPr>
        <w:tc>
          <w:tcPr>
            <w:tcW w:w="256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Market E's, LLC</w:t>
            </w: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Subordinated Debt (0%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Due 12/31/16)</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2,875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2,875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750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Market E's,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(600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Market E's,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Class B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(2,411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Market E's,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Class A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Online Travel Sales &amp; Marketing</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(600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8"/>
              </w:rPr>
              <w:t>Subordinated Debt (10%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5,065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1,750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0.7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Due 9/16/16)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1,862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1,862</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w w:val="98"/>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4% PIK, Due 9/16/16)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3,688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3,688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3,688</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A Preferred Units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Conglomerate</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(47 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1,629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1,629</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7,179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7,179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(17%, 3% PIK at Company's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option, Due 2/1/16)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Class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0" w:type="dxa"/>
            <w:vAlign w:val="bottom"/>
          </w:tcPr>
          <w:p>
            <w:pPr>
              <w:ind w:left="80"/>
              <w:spacing w:after="0" w:line="159" w:lineRule="exact"/>
              <w:rPr>
                <w:sz w:val="20"/>
                <w:szCs w:val="20"/>
                <w:color w:val="auto"/>
              </w:rPr>
            </w:pPr>
            <w:r>
              <w:rPr>
                <w:rFonts w:ascii="Arial" w:cs="Arial" w:eastAsia="Arial" w:hAnsi="Arial"/>
                <w:sz w:val="14"/>
                <w:szCs w:val="14"/>
                <w:color w:val="auto"/>
              </w:rPr>
              <w:t>(1,000 shares, 10% Cash</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5"/>
                <w:szCs w:val="15"/>
                <w:color w:val="auto"/>
              </w:rPr>
            </w:pPr>
          </w:p>
        </w:tc>
        <w:tc>
          <w:tcPr>
            <w:tcW w:w="2000" w:type="dxa"/>
            <w:vAlign w:val="bottom"/>
          </w:tcPr>
          <w:p>
            <w:pPr>
              <w:ind w:left="80"/>
              <w:spacing w:after="0" w:line="179" w:lineRule="exact"/>
              <w:rPr>
                <w:sz w:val="20"/>
                <w:szCs w:val="20"/>
                <w:color w:val="auto"/>
              </w:rPr>
            </w:pPr>
            <w:r>
              <w:rPr>
                <w:rFonts w:ascii="Arial" w:cs="Arial" w:eastAsia="Arial" w:hAnsi="Arial"/>
                <w:sz w:val="13"/>
                <w:szCs w:val="13"/>
                <w:color w:val="auto"/>
              </w:rPr>
              <w:t>Dividend)</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(300,000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Textile Equipment Manufacturer</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3,077</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w w:val="98"/>
              </w:rPr>
              <w:t>Subordinated Debt (14% Cash,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7,501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10,577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4% PIK, Due 12/19/16)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5,048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5,048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4,783</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A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(32,782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Series B Preferred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(23,648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2,365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560" w:type="dxa"/>
            <w:vAlign w:val="bottom"/>
            <w:gridSpan w:val="3"/>
          </w:tcPr>
          <w:p>
            <w:pPr>
              <w:ind w:left="20"/>
              <w:spacing w:after="0"/>
              <w:rPr>
                <w:sz w:val="20"/>
                <w:szCs w:val="20"/>
                <w:color w:val="auto"/>
              </w:rPr>
            </w:pPr>
            <w:r>
              <w:rPr>
                <w:rFonts w:ascii="Arial" w:cs="Arial" w:eastAsia="Arial" w:hAnsi="Arial"/>
                <w:sz w:val="14"/>
                <w:szCs w:val="14"/>
                <w:color w:val="auto"/>
              </w:rPr>
              <w:t>On-Site Fuel Services, Inc.</w:t>
            </w: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Fuel Transportation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w w:val="96"/>
              </w:rPr>
              <w:t>Common Stock (33,107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10,724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4,783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3"/>
        </w:trPr>
        <w:tc>
          <w:tcPr>
            <w:tcW w:w="2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(15% Cash, Due 2/24/19)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14,000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14,000</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w w:val="96"/>
              </w:rPr>
              <w:t>Common Stock (18,543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4,141</w:t>
            </w:r>
          </w:p>
        </w:tc>
        <w:tc>
          <w:tcPr>
            <w:tcW w:w="6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ind w:left="80"/>
              <w:spacing w:after="0"/>
              <w:rPr>
                <w:sz w:val="20"/>
                <w:szCs w:val="20"/>
                <w:color w:val="auto"/>
              </w:rPr>
            </w:pPr>
            <w:r>
              <w:rPr>
                <w:rFonts w:ascii="Arial" w:cs="Arial" w:eastAsia="Arial" w:hAnsi="Arial"/>
                <w:sz w:val="14"/>
                <w:szCs w:val="14"/>
                <w:color w:val="auto"/>
              </w:rPr>
              <w:t>Printing Services</w:t>
            </w:r>
          </w:p>
        </w:tc>
        <w:tc>
          <w:tcPr>
            <w:tcW w:w="40" w:type="dxa"/>
            <w:vAlign w:val="bottom"/>
          </w:tcPr>
          <w:p>
            <w:pPr>
              <w:spacing w:after="0"/>
              <w:rPr>
                <w:sz w:val="14"/>
                <w:szCs w:val="14"/>
                <w:color w:val="auto"/>
              </w:rPr>
            </w:pPr>
          </w:p>
        </w:tc>
        <w:tc>
          <w:tcPr>
            <w:tcW w:w="2000" w:type="dxa"/>
            <w:vAlign w:val="bottom"/>
          </w:tcPr>
          <w:p>
            <w:pPr>
              <w:ind w:left="80"/>
              <w:spacing w:after="0"/>
              <w:rPr>
                <w:sz w:val="20"/>
                <w:szCs w:val="20"/>
                <w:color w:val="auto"/>
              </w:rPr>
            </w:pPr>
            <w:r>
              <w:rPr>
                <w:rFonts w:ascii="Arial" w:cs="Arial" w:eastAsia="Arial" w:hAnsi="Arial"/>
                <w:sz w:val="14"/>
                <w:szCs w:val="14"/>
                <w:color w:val="auto"/>
              </w:rPr>
              <w:t>(820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183</w:t>
            </w:r>
          </w:p>
        </w:tc>
        <w:tc>
          <w:tcPr>
            <w:tcW w:w="680" w:type="dxa"/>
            <w:vAlign w:val="bottom"/>
            <w:gridSpan w:val="3"/>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Sub Total Control investments</w:t>
            </w: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16,990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2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67,440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72,062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1"/>
        </w:trPr>
        <w:tc>
          <w:tcPr>
            <w:tcW w:w="2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INVESTMENTS – 199.4%</w:t>
            </w: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441,155</w:t>
            </w:r>
          </w:p>
        </w:tc>
        <w:tc>
          <w:tcPr>
            <w:tcW w:w="2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480,337</w:t>
            </w:r>
          </w:p>
        </w:tc>
        <w:tc>
          <w:tcPr>
            <w:tcW w:w="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199.4</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PIK Non-Accrual Investment.</w:t>
      </w:r>
    </w:p>
    <w:p>
      <w:pPr>
        <w:spacing w:after="0" w:line="117" w:lineRule="exact"/>
        <w:rPr>
          <w:rFonts w:ascii="Arial" w:cs="Arial" w:eastAsia="Arial" w:hAnsi="Arial"/>
          <w:sz w:val="18"/>
          <w:szCs w:val="18"/>
          <w:color w:val="auto"/>
        </w:rPr>
      </w:pPr>
    </w:p>
    <w:p>
      <w:pPr>
        <w:ind w:left="300" w:right="599" w:hanging="272"/>
        <w:spacing w:after="0" w:line="277"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debt investments are income producing, unless otherwise noted. Equity and warrant investments are non-income producing, unless otherwise noted.</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Percentages are based on net assets of $240,837 as of December 31, 2014.</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equity investment has an exercisable put option.</w:t>
      </w:r>
    </w:p>
    <w:p>
      <w:pPr>
        <w:spacing w:after="0" w:line="200" w:lineRule="exact"/>
        <w:rPr>
          <w:sz w:val="20"/>
          <w:szCs w:val="20"/>
          <w:color w:val="auto"/>
        </w:rPr>
      </w:pPr>
    </w:p>
    <w:p>
      <w:pPr>
        <w:spacing w:after="0" w:line="34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for units)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2014</w:t>
      </w:r>
    </w:p>
    <w:p>
      <w:pPr>
        <w:spacing w:after="0" w:line="103" w:lineRule="exact"/>
        <w:rPr>
          <w:sz w:val="20"/>
          <w:szCs w:val="20"/>
          <w:color w:val="auto"/>
        </w:rPr>
      </w:pPr>
    </w:p>
    <w:p>
      <w:pPr>
        <w:ind w:left="280" w:right="599" w:hanging="272"/>
        <w:spacing w:after="0" w:line="259" w:lineRule="auto"/>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2014, 3.5% of the Company's total assets were non-qualifying assets.</w:t>
      </w:r>
    </w:p>
    <w:p>
      <w:pPr>
        <w:spacing w:after="0" w:line="78" w:lineRule="exact"/>
        <w:rPr>
          <w:rFonts w:ascii="Arial" w:cs="Arial" w:eastAsia="Arial" w:hAnsi="Arial"/>
          <w:sz w:val="18"/>
          <w:szCs w:val="18"/>
          <w:color w:val="auto"/>
        </w:rPr>
      </w:pPr>
    </w:p>
    <w:p>
      <w:pPr>
        <w:ind w:left="280" w:hanging="272"/>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investment has a $0.6 million unfunded commitment.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investment has a $10.0 million unfunded commitment.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(11)The Company is currently paying 17% cash rate due to covenant non-compliance.</w:t>
      </w:r>
    </w:p>
    <w:p>
      <w:pPr>
        <w:spacing w:after="0" w:line="200" w:lineRule="exact"/>
        <w:rPr>
          <w:sz w:val="20"/>
          <w:szCs w:val="20"/>
          <w:color w:val="auto"/>
        </w:rPr>
      </w:pPr>
    </w:p>
    <w:p>
      <w:pPr>
        <w:spacing w:after="0" w:line="34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Capitala Finance Corp.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is an “emerging growth company” within the meaning of the Jumpstart Our Business Startups Act of 2012 (the “JOBS Act”), and as such, is subject to reduced public company reporting requirements. The Company commenced operations on May 24, 2013 and completed its initial public offering (“IPO”) on September 30, 2013. The Company is managed by Capitala Investment Advisors, LLC (the “Investment Advisor”), an investment adviser that is registered as an investment adviser under the Investment Advisers Act of 1940, as amended (the “Advisers Act”), and Capitala Advisors Corp. (the “Administrator”) provides the administrative services necessary for us to operate. For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75"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middle-market companies.</w:t>
      </w:r>
    </w:p>
    <w:p>
      <w:pPr>
        <w:spacing w:after="0" w:line="70"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Company’s investment objective is to generate both current income and capital appreciation through debt and equity investments. Both directly and through our subsidiaries that are licensed by the U.S. Small Business Administration (“SBA”) under the Small Business Investment Company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lower middle-market and middle-market companies.</w:t>
      </w:r>
    </w:p>
    <w:p>
      <w:pPr>
        <w:spacing w:after="0" w:line="57" w:lineRule="exact"/>
        <w:rPr>
          <w:sz w:val="20"/>
          <w:szCs w:val="20"/>
          <w:color w:val="auto"/>
        </w:rPr>
      </w:pPr>
    </w:p>
    <w:p>
      <w:pPr>
        <w:ind w:left="40" w:right="679" w:firstLine="270"/>
        <w:spacing w:after="0" w:line="289"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wholly-owned subsidiaries. Fund II and Fund III retained their SBIC licenses, continued to hold their existing investments at the time of the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$4.00 million and offering expenses totaling $1.75 million. The other costs of the IPO were borne by the limited partners of the Legacy Funds. As of December 31, 2015, the Company had 15,777,345 shares of common stock outstanding.</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pursuant to the requirements for reporting on Form 10-K and Article 6 of Regulation S-X. The consolidated financial statements of the Company include the accounts of the Company and its wholly-owned subsidiaries as described in the Formation Transactions presented in Note 1. The transactions related to Fund II, Fund III, and Florida Sidecar constitute an exchange</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619"/>
        <w:spacing w:after="0" w:line="276" w:lineRule="auto"/>
        <w:rPr>
          <w:sz w:val="20"/>
          <w:szCs w:val="20"/>
          <w:color w:val="auto"/>
        </w:rPr>
      </w:pPr>
      <w:r>
        <w:rPr>
          <w:rFonts w:ascii="Arial" w:cs="Arial" w:eastAsia="Arial" w:hAnsi="Arial"/>
          <w:sz w:val="17"/>
          <w:szCs w:val="17"/>
          <w:color w:val="auto"/>
        </w:rPr>
        <w:t xml:space="preserve">of shares between entities under common control and will be accounted for in accordance with Accounting Standards Codification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 such, the Company’s results of operations and cash flows for the year ended December 31, 2013 are presented as if the aforementioned transactions had occurred as of January 1, 2013. The Formation Transactions also included an asset acquisition of certain assets in Fund I and Fund III Parent. In accordance with ASC 805, the assets acquired were recorded at fair value at the date of acquisition, September 24, 2013.</w:t>
      </w:r>
    </w:p>
    <w:p>
      <w:pPr>
        <w:spacing w:after="0" w:line="64" w:lineRule="exact"/>
        <w:rPr>
          <w:sz w:val="20"/>
          <w:szCs w:val="20"/>
          <w:color w:val="auto"/>
        </w:rPr>
      </w:pPr>
    </w:p>
    <w:p>
      <w:pPr>
        <w:ind w:left="40" w:right="799" w:firstLine="270"/>
        <w:spacing w:after="0" w:line="264" w:lineRule="auto"/>
        <w:rPr>
          <w:sz w:val="20"/>
          <w:szCs w:val="20"/>
          <w:color w:val="auto"/>
        </w:rPr>
      </w:pPr>
      <w:r>
        <w:rPr>
          <w:rFonts w:ascii="Arial" w:cs="Arial" w:eastAsia="Arial" w:hAnsi="Arial"/>
          <w:sz w:val="18"/>
          <w:szCs w:val="18"/>
          <w:color w:val="auto"/>
        </w:rPr>
        <w:t xml:space="preserve">The Company is considered an investment company as defined in ASC Topic 946 — </w:t>
      </w:r>
      <w:r>
        <w:rPr>
          <w:rFonts w:ascii="Arial" w:cs="Arial" w:eastAsia="Arial" w:hAnsi="Arial"/>
          <w:sz w:val="18"/>
          <w:szCs w:val="18"/>
          <w:i w:val="1"/>
          <w:iCs w:val="1"/>
          <w:color w:val="auto"/>
        </w:rPr>
        <w:t>Financial Services —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w:t>
      </w:r>
      <w:r>
        <w:rPr>
          <w:rFonts w:ascii="Arial" w:cs="Arial" w:eastAsia="Arial" w:hAnsi="Arial"/>
          <w:sz w:val="18"/>
          <w:szCs w:val="18"/>
          <w:color w:val="auto"/>
        </w:rPr>
        <w:t>Accordingly, the required applicable disclosures as outlined in the Accounting Standards Update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financial statements.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left="40" w:right="739" w:firstLine="270"/>
        <w:spacing w:after="0" w:line="302"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Consolidation</w:t>
      </w:r>
    </w:p>
    <w:p>
      <w:pPr>
        <w:spacing w:after="0" w:line="121"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 xml:space="preserve">As provided under Regulation S-X and ASC Topic 946 —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subsidiaries in its consolidated financial statements. The Company does not consolidate its interest in Capitala Senior Liquid Loan Fund I, LLC (“CSLLF”) because the investment is not considered a substantially wholly owned investment company subsidiary. Further, CSLLF is a joint venture for which shared power exists relating to the decisions that most significantly impact the economic performance of the entities. See Note 4 for description of the Company’s investment in CSLLF.</w:t>
      </w:r>
    </w:p>
    <w:p>
      <w:pPr>
        <w:spacing w:after="0" w:line="59"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The Company’s financial position as of December 31, 2015 is presented on a consolidated basis. The effects of all intercompany transactions between the Company and its consolidated subsidiaries (Fund II, Fund III, and the Florida Sidecar)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40" w:right="699" w:firstLine="270"/>
        <w:spacing w:after="0" w:line="312" w:lineRule="auto"/>
        <w:rPr>
          <w:sz w:val="20"/>
          <w:szCs w:val="20"/>
          <w:color w:val="auto"/>
        </w:rPr>
      </w:pPr>
      <w:r>
        <w:rPr>
          <w:rFonts w:ascii="Arial" w:cs="Arial" w:eastAsia="Arial" w:hAnsi="Arial"/>
          <w:sz w:val="16"/>
          <w:szCs w:val="16"/>
          <w:color w:val="auto"/>
        </w:rPr>
        <w:t xml:space="preserve">In accordance with ASC Topic 280 —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(“FDIC”) insurance limits.</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left="40" w:right="579" w:firstLine="270"/>
        <w:spacing w:after="0" w:line="253" w:lineRule="auto"/>
        <w:rPr>
          <w:sz w:val="20"/>
          <w:szCs w:val="20"/>
          <w:color w:val="auto"/>
        </w:rPr>
      </w:pPr>
      <w:r>
        <w:rPr>
          <w:rFonts w:ascii="Arial" w:cs="Arial" w:eastAsia="Arial" w:hAnsi="Arial"/>
          <w:sz w:val="18"/>
          <w:szCs w:val="18"/>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between 5% and 25% of the voting securities of such company.</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Valuation of Investments</w:t>
      </w:r>
    </w:p>
    <w:p>
      <w:pPr>
        <w:spacing w:after="0" w:line="121"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w:t>
      </w:r>
    </w:p>
    <w:p>
      <w:pPr>
        <w:spacing w:after="0" w:line="80" w:lineRule="exact"/>
        <w:rPr>
          <w:sz w:val="20"/>
          <w:szCs w:val="20"/>
          <w:color w:val="auto"/>
        </w:rPr>
      </w:pPr>
    </w:p>
    <w:p>
      <w:pPr>
        <w:ind w:left="40" w:right="699" w:firstLine="270"/>
        <w:spacing w:after="0" w:line="279" w:lineRule="auto"/>
        <w:rPr>
          <w:sz w:val="20"/>
          <w:szCs w:val="20"/>
          <w:color w:val="auto"/>
        </w:rPr>
      </w:pPr>
      <w:r>
        <w:rPr>
          <w:rFonts w:ascii="Arial" w:cs="Arial" w:eastAsia="Arial" w:hAnsi="Arial"/>
          <w:sz w:val="17"/>
          <w:szCs w:val="17"/>
          <w:color w:val="auto"/>
        </w:rPr>
        <w:t>In determining fair value, the Company’s Board of Directors (the “Board”) uses various valuation approaches, and engages a third-party valuation firm, which provides an independent valuation of certain investments.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63" w:lineRule="exact"/>
        <w:rPr>
          <w:sz w:val="20"/>
          <w:szCs w:val="20"/>
          <w:color w:val="auto"/>
        </w:rPr>
      </w:pPr>
    </w:p>
    <w:p>
      <w:pPr>
        <w:jc w:val="both"/>
        <w:ind w:left="40" w:right="719" w:firstLine="270"/>
        <w:spacing w:after="0" w:line="312" w:lineRule="auto"/>
        <w:rPr>
          <w:sz w:val="20"/>
          <w:szCs w:val="20"/>
          <w:color w:val="auto"/>
        </w:rPr>
      </w:pPr>
      <w:r>
        <w:rPr>
          <w:rFonts w:ascii="Arial" w:cs="Arial" w:eastAsia="Arial" w:hAnsi="Arial"/>
          <w:sz w:val="16"/>
          <w:szCs w:val="16"/>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39" w:lineRule="exact"/>
        <w:rPr>
          <w:sz w:val="20"/>
          <w:szCs w:val="20"/>
          <w:color w:val="auto"/>
        </w:rPr>
      </w:pPr>
    </w:p>
    <w:p>
      <w:pPr>
        <w:ind w:left="40" w:right="719" w:firstLine="270"/>
        <w:spacing w:after="0" w:line="269" w:lineRule="auto"/>
        <w:rPr>
          <w:sz w:val="20"/>
          <w:szCs w:val="20"/>
          <w:color w:val="auto"/>
        </w:rPr>
      </w:pPr>
      <w:r>
        <w:rPr>
          <w:rFonts w:ascii="Arial" w:cs="Arial" w:eastAsia="Arial" w:hAnsi="Arial"/>
          <w:sz w:val="17"/>
          <w:szCs w:val="17"/>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75" w:lineRule="exact"/>
        <w:rPr>
          <w:sz w:val="20"/>
          <w:szCs w:val="20"/>
          <w:color w:val="auto"/>
        </w:rPr>
      </w:pPr>
    </w:p>
    <w:p>
      <w:pPr>
        <w:ind w:left="40" w:right="839" w:firstLine="270"/>
        <w:spacing w:after="0" w:line="259"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619"/>
        <w:spacing w:after="0" w:line="342" w:lineRule="auto"/>
        <w:rPr>
          <w:sz w:val="20"/>
          <w:szCs w:val="20"/>
          <w:color w:val="auto"/>
        </w:rPr>
      </w:pPr>
      <w:r>
        <w:rPr>
          <w:rFonts w:ascii="Arial" w:cs="Arial" w:eastAsia="Arial" w:hAnsi="Arial"/>
          <w:sz w:val="16"/>
          <w:szCs w:val="16"/>
          <w:color w:val="auto"/>
        </w:rPr>
        <w:t>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6" w:lineRule="exact"/>
        <w:rPr>
          <w:sz w:val="20"/>
          <w:szCs w:val="20"/>
          <w:color w:val="auto"/>
        </w:rPr>
      </w:pPr>
    </w:p>
    <w:p>
      <w:pPr>
        <w:ind w:left="40" w:right="839" w:firstLine="270"/>
        <w:spacing w:after="0" w:line="259" w:lineRule="auto"/>
        <w:rPr>
          <w:sz w:val="20"/>
          <w:szCs w:val="20"/>
          <w:color w:val="auto"/>
        </w:rPr>
      </w:pPr>
      <w:r>
        <w:rPr>
          <w:rFonts w:ascii="Arial" w:cs="Arial" w:eastAsia="Arial" w:hAnsi="Arial"/>
          <w:sz w:val="18"/>
          <w:szCs w:val="18"/>
          <w:color w:val="auto"/>
        </w:rPr>
        <w:t>In estimating fair value of portfolio investments, the Company starts with the cost basis of the investment, which includes amortized original issue discount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79" w:lineRule="exact"/>
        <w:rPr>
          <w:sz w:val="20"/>
          <w:szCs w:val="20"/>
          <w:color w:val="auto"/>
        </w:rPr>
      </w:pPr>
    </w:p>
    <w:p>
      <w:pPr>
        <w:ind w:left="40" w:right="999" w:firstLine="270"/>
        <w:spacing w:after="0" w:line="259" w:lineRule="auto"/>
        <w:rPr>
          <w:sz w:val="20"/>
          <w:szCs w:val="20"/>
          <w:color w:val="auto"/>
        </w:rPr>
      </w:pPr>
      <w:r>
        <w:rPr>
          <w:rFonts w:ascii="Arial" w:cs="Arial" w:eastAsia="Arial" w:hAnsi="Arial"/>
          <w:sz w:val="18"/>
          <w:szCs w:val="18"/>
          <w:color w:val="auto"/>
        </w:rPr>
        <w:t>As a practical expedient, the Company uses the net asset value (“NAV”) as the fair value of CSLLF. CSLLF records its underlying investments at fair value on a daily basis utilizing pricing information from third-party sources. Management may perform model-based analytical valuations in instances where an investment is considered illiquid or for which pricing is not available from third-party sources.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valuation methodologies are utilized by the Company in estimating fair value and are summarized as follows: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Enterprise Value Waterfall Approach</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equity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enterprise value waterfall approach is primarily utilized to value the Company’s equity securities, including warrants.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However, the Company may utilize the enterprise value waterfall approach to value certain debt securities.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Income Approach</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of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indicates that there is an additional level of uncertainty about collectability of cash flows.</w:t>
      </w:r>
    </w:p>
    <w:p>
      <w:pPr>
        <w:spacing w:after="0" w:line="200" w:lineRule="exact"/>
        <w:rPr>
          <w:sz w:val="20"/>
          <w:szCs w:val="20"/>
          <w:color w:val="auto"/>
        </w:rPr>
      </w:pPr>
    </w:p>
    <w:p>
      <w:pPr>
        <w:spacing w:after="0" w:line="3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Asset Approach</w:t>
      </w:r>
    </w:p>
    <w:p>
      <w:pPr>
        <w:spacing w:after="0" w:line="117"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The asset approach values an investment based on the greater of the enterprise value or the underlying collateral securing the investment. See discussion of determining enterprise value above. This approach is used when the Company has reason to believe that it will not collect all principal and interest in accordance with the contractual terms of the debt agreement.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40" w:right="779" w:firstLine="270"/>
        <w:spacing w:after="0" w:line="276"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are expected to be collected. The Company has loans in the portfolio that contain a payment-in-kind (“PIK”) provision. The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64"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i w:val="1"/>
          <w:iCs w:val="1"/>
          <w:color w:val="auto"/>
        </w:rPr>
        <w:t xml:space="preserve">Non-accrual investments: </w:t>
      </w:r>
      <w:r>
        <w:rPr>
          <w:rFonts w:ascii="Arial" w:cs="Arial" w:eastAsia="Arial" w:hAnsi="Arial"/>
          <w:sz w:val="16"/>
          <w:szCs w:val="16"/>
          <w:color w:val="auto"/>
        </w:rPr>
        <w:t>Generally, when interest and/or principal payments on a loan become 90 days or more past due, or if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otherwise does not expect the borrower to be able to service its debt and other obligations, the Company will place the loan on non-accrual status, and will generally cease recognizing interest income and PIK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The Company may elect to cease accruing PIK and continue accruing interest income in cases where a loan is currently paying its interest income but, in management’s judgment, there is a reasonable likelihood of principal loss on the loan. Non-accrual loans are returned to accrual status when the borrower’s financial condition improves such that management believes current interest and principal payments are expected to be collected.</w:t>
      </w:r>
    </w:p>
    <w:p>
      <w:pPr>
        <w:spacing w:after="0" w:line="59"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 xml:space="preserve">Gains and losses on investment sales and paydowns: </w:t>
      </w:r>
      <w:r>
        <w:rPr>
          <w:rFonts w:ascii="Arial" w:cs="Arial" w:eastAsia="Arial" w:hAnsi="Arial"/>
          <w:sz w:val="18"/>
          <w:szCs w:val="18"/>
          <w:color w:val="auto"/>
        </w:rPr>
        <w:t>Realized gains and losses on investments are recognized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identification method.</w:t>
      </w:r>
    </w:p>
    <w:p>
      <w:pPr>
        <w:spacing w:after="0" w:line="62"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i w:val="1"/>
          <w:iCs w:val="1"/>
          <w:color w:val="auto"/>
        </w:rPr>
        <w:t xml:space="preserve">Dividend income and paid-in-kind dividends: </w:t>
      </w:r>
      <w:r>
        <w:rPr>
          <w:rFonts w:ascii="Arial" w:cs="Arial" w:eastAsia="Arial" w:hAnsi="Arial"/>
          <w:sz w:val="18"/>
          <w:szCs w:val="18"/>
          <w:color w:val="auto"/>
        </w:rPr>
        <w:t>Dividend income is recognized on the date dividends are declared.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may be reversed in the event that a previously declared dividend is no longer expected to be paid by the portfolio company. The Company holds preferred equity investments in the portfolio that contain a payment-in-kind dividend (“PIK dividends”)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collection of PIK dividends are unlikely to be collected. If management determines that a decline in fair value is temporary in nature and the PIK dividends are more likely than not to be collected, management may elect to continue accruing PIK dividends.</w:t>
      </w:r>
    </w:p>
    <w:p>
      <w:pPr>
        <w:spacing w:after="0" w:line="89" w:lineRule="exact"/>
        <w:rPr>
          <w:sz w:val="20"/>
          <w:szCs w:val="20"/>
          <w:color w:val="auto"/>
        </w:rPr>
      </w:pPr>
    </w:p>
    <w:p>
      <w:pPr>
        <w:ind w:left="40" w:right="919" w:firstLine="270"/>
        <w:spacing w:after="0" w:line="264" w:lineRule="auto"/>
        <w:rPr>
          <w:sz w:val="20"/>
          <w:szCs w:val="20"/>
          <w:color w:val="auto"/>
        </w:rPr>
      </w:pPr>
      <w:r>
        <w:rPr>
          <w:rFonts w:ascii="Arial" w:cs="Arial" w:eastAsia="Arial" w:hAnsi="Arial"/>
          <w:sz w:val="18"/>
          <w:szCs w:val="18"/>
          <w:i w:val="1"/>
          <w:iCs w:val="1"/>
          <w:color w:val="auto"/>
        </w:rPr>
        <w:t xml:space="preserve">Original issue discount/premiums: </w:t>
      </w:r>
      <w:r>
        <w:rPr>
          <w:rFonts w:ascii="Arial" w:cs="Arial" w:eastAsia="Arial" w:hAnsi="Arial"/>
          <w:sz w:val="18"/>
          <w:szCs w:val="18"/>
          <w:color w:val="auto"/>
        </w:rPr>
        <w:t>Discounts/premiums received to par on loans purchased are capitalized and accreted or</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into income over the life of the loan. Any remaining discount/premium is accreted or amortized into income upon prepayment of the loan.</w:t>
      </w:r>
    </w:p>
    <w:p>
      <w:pPr>
        <w:spacing w:after="0" w:line="73"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amendment, consent, closing and/or commitment fees associated with investments in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are recognized as income when the investment transaction closes. Prepayment penalties received by the Company for debt instruments repaid prior to maturity date are recorded as income upon receipt.</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General and administrative expenses are accrued as incurred. The Company’s administrative expenses include personnel and overhead expenses allocable to the Company under the Administration Agreement paid by and reimbursed to the Administrator. Other operating expenses such as legal and audit fees, director fees, director and officer insurance, and other expenses are generally paid directly by the Company.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Deferred Financing Fees</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As of December 31, 2015 and December 31, 2014, the Company had outstanding unfunded commitments related to debt investments in existing portfolio companies of $4.4 million and $10.6 million, respectively. Based on the current cash balance and availability under our Credit Facility, the Company believes it has sufficient liquidity to fund our unfunded commitments as of December 31, 2015.</w:t>
      </w:r>
    </w:p>
    <w:p>
      <w:pPr>
        <w:spacing w:after="0" w:line="79" w:lineRule="exact"/>
        <w:rPr>
          <w:sz w:val="20"/>
          <w:szCs w:val="20"/>
          <w:color w:val="auto"/>
        </w:rPr>
      </w:pPr>
    </w:p>
    <w:p>
      <w:pPr>
        <w:ind w:left="40" w:right="699" w:firstLine="270"/>
        <w:spacing w:after="0" w:line="264"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lead to the execution of these provisions against the Company. Based on its history and experience, management believes that the likelihood of such an event is remote.</w:t>
      </w:r>
    </w:p>
    <w:p>
      <w:pPr>
        <w:spacing w:after="0" w:line="73" w:lineRule="exact"/>
        <w:rPr>
          <w:sz w:val="20"/>
          <w:szCs w:val="20"/>
          <w:color w:val="auto"/>
        </w:rPr>
      </w:pPr>
    </w:p>
    <w:p>
      <w:pPr>
        <w:ind w:left="40" w:right="639" w:firstLine="270"/>
        <w:spacing w:after="0" w:line="272"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In management’s opinion, no direct losses with respect to litigation contingencies were probable of occurring as of December 31, 2015 and December 31, 2014. Management is of the opinion that the ultimate resolution of such claims will not materially affect the company’s business, financial position, results of operations or liquidity. Furthermore, in management’s opinion, it is not possible to estimate a range of reasonably possible losses with respect to other litigation contingencies.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thereafter, as a RIC under Subchapter M of the Code and, among other things, intends to make the requisite distributions to its stockholders which will relieve the Company from U.S. federal income taxes. Therefore, no provision has been recorded for U.S. federal income taxes.</w:t>
      </w:r>
    </w:p>
    <w:p>
      <w:pPr>
        <w:spacing w:after="0" w:line="79" w:lineRule="exact"/>
        <w:rPr>
          <w:sz w:val="20"/>
          <w:szCs w:val="20"/>
          <w:color w:val="auto"/>
        </w:rPr>
      </w:pPr>
    </w:p>
    <w:p>
      <w:pPr>
        <w:jc w:val="both"/>
        <w:ind w:left="40" w:right="619" w:firstLine="270"/>
        <w:spacing w:after="0" w:line="302" w:lineRule="auto"/>
        <w:rPr>
          <w:sz w:val="20"/>
          <w:szCs w:val="20"/>
          <w:color w:val="auto"/>
        </w:rPr>
      </w:pPr>
      <w:r>
        <w:rPr>
          <w:rFonts w:ascii="Arial" w:cs="Arial" w:eastAsia="Arial" w:hAnsi="Arial"/>
          <w:sz w:val="16"/>
          <w:szCs w:val="16"/>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46"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21"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58" w:lineRule="exact"/>
        <w:rPr>
          <w:sz w:val="20"/>
          <w:szCs w:val="20"/>
          <w:color w:val="auto"/>
        </w:rPr>
      </w:pPr>
    </w:p>
    <w:p>
      <w:pPr>
        <w:ind w:left="40" w:right="959" w:firstLine="270"/>
        <w:spacing w:after="0" w:line="277" w:lineRule="auto"/>
        <w:rPr>
          <w:sz w:val="20"/>
          <w:szCs w:val="20"/>
          <w:color w:val="auto"/>
        </w:rPr>
      </w:pPr>
      <w:r>
        <w:rPr>
          <w:rFonts w:ascii="Arial" w:cs="Arial" w:eastAsia="Arial" w:hAnsi="Arial"/>
          <w:sz w:val="18"/>
          <w:szCs w:val="18"/>
          <w:color w:val="auto"/>
        </w:rPr>
        <w:t>For income tax purposes, the Company has paid distributions on its common stock from ordinary income in the amount of $25.1 million and $18.3 million during the tax years ended August 31, 2015 and 2014, respectively.</w:t>
      </w:r>
    </w:p>
    <w:p>
      <w:pPr>
        <w:spacing w:after="0" w:line="62" w:lineRule="exact"/>
        <w:rPr>
          <w:sz w:val="20"/>
          <w:szCs w:val="20"/>
          <w:color w:val="auto"/>
        </w:rPr>
      </w:pPr>
    </w:p>
    <w:p>
      <w:pPr>
        <w:ind w:left="40" w:right="639" w:firstLine="270"/>
        <w:spacing w:after="0" w:line="272"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December 31, 2015 and December 31, 2014, there were no uncertain tax positions.</w:t>
      </w:r>
    </w:p>
    <w:p>
      <w:pPr>
        <w:spacing w:after="0" w:line="70"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The Company is required to determine whether a tax position of the Company is more 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64"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73"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 Company’s activities since commencement of operations remain subject to examination by U.S. federal, state, and local tax authorities. No interest expense or penalties have been assessed as of December 31, 2015 and 2014. If the Company were required to recognize interest and penalties, if any, related to unrecognized tax benefits this would be recognized as income tax expense in the consolidated statement of operations.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Dividends to common stockholders are recorded as payable on the declaration date. The amount to be paid out as a dividend is determined by the Board. Net capital gains, if any, are generally distributed at least annually, although we may decide to retain such capital gains for reinvestment.</w:t>
      </w:r>
    </w:p>
    <w:p>
      <w:pPr>
        <w:spacing w:after="0" w:line="73"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The Company has adopted an “opt out” dividend reinvestment plan for common stockholders. As a result, if the Company declares a cash dividend or other distribution, each stockholder that has not “opted out” of the dividend reinvestment plan will have its dividends automatically reinvested in additional shares of the Company’s common stock rather than receiving cash dividends. Stockholders who receive distributions in the form of shares of common stock will be subject to the same federal, state and local tax consequences as if they received cash distributions.</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Summary of Significant Accounting Policies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Investment Risk, Concentration of Credit Risk, and Liquidity Risk</w:t>
      </w:r>
    </w:p>
    <w:p>
      <w:pPr>
        <w:spacing w:after="0" w:line="121"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64"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spacing w:after="0" w:line="80"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62"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121"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 xml:space="preserve">In June 2013, the FASB issued ASU No. 2013-08, </w:t>
      </w:r>
      <w:r>
        <w:rPr>
          <w:rFonts w:ascii="Arial" w:cs="Arial" w:eastAsia="Arial" w:hAnsi="Arial"/>
          <w:sz w:val="17"/>
          <w:szCs w:val="17"/>
          <w:i w:val="1"/>
          <w:iCs w:val="1"/>
          <w:color w:val="auto"/>
        </w:rPr>
        <w:t>“Financial Services — Investment Companies (Topic 946), Amendments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the Scope, Measurement, and Disclosure Requirements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amendments in this accounting standards update affect the scope,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and disclosure requirements for investment companies under U.S. GAAP, and clarify the characteristics of an investment company, provide comprehensive guidance for assessing whether an entity is an investment company, require that an investment company measure non-controlling ownership interests in other investment companies at fair value rather than using the equity method of accounting, and require additional disclosures. This standard is effective for interim and annual reporting periods in fiscal years that begin after December 15, 2013. The Company has adopted this standard and the required disclosures are presented in the consolidated financial statements.</w:t>
      </w:r>
    </w:p>
    <w:p>
      <w:pPr>
        <w:spacing w:after="0" w:line="71"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 xml:space="preserve">In April 2015, the FASB issued Accounting Standards Update “ASU” No. 2015-03, </w:t>
      </w:r>
      <w:r>
        <w:rPr>
          <w:rFonts w:ascii="Arial" w:cs="Arial" w:eastAsia="Arial" w:hAnsi="Arial"/>
          <w:sz w:val="16"/>
          <w:szCs w:val="16"/>
          <w:i w:val="1"/>
          <w:iCs w:val="1"/>
          <w:color w:val="auto"/>
        </w:rPr>
        <w:t>Interest - Imputation of Interest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835-30): Simplifying the Presentation of Debt Issuance Costs (“ASU 2015-03”)</w:t>
      </w:r>
      <w:r>
        <w:rPr>
          <w:rFonts w:ascii="Arial" w:cs="Arial" w:eastAsia="Arial" w:hAnsi="Arial"/>
          <w:sz w:val="16"/>
          <w:szCs w:val="16"/>
          <w:color w:val="auto"/>
        </w:rPr>
        <w:t>. ASU 2015-03 requires that debt issuance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 recognized debt liability be presented in the consolidated statements of assets and liabilities as a direct deduction from the carrying amount of that debt liability, consistent with debt discounts. The recognition and measurement guidance for debt issuance costs are not affected by the amendments in this ASU. ASU 2015-03 is effective for fiscal years that begin after December 15, 2015 and early adoption is permitted. Management has elected to early adopt this standard as of October 1, 2015 and the required disclosures are presented in the consolidated financial statements. The adoption of the provisions of ASU 2015-03 did not materially impact the Company’s consolidated financial position or results of operations. Prior period amounts for the year ended December 31, 2014 were reclassified to conform to the current period presentation.</w:t>
      </w:r>
    </w:p>
    <w:p>
      <w:pPr>
        <w:spacing w:after="0" w:line="200" w:lineRule="exact"/>
        <w:rPr>
          <w:sz w:val="20"/>
          <w:szCs w:val="20"/>
          <w:color w:val="auto"/>
        </w:rPr>
      </w:pPr>
    </w:p>
    <w:p>
      <w:pPr>
        <w:spacing w:after="0" w:line="30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6" w:name="page117"/>
    <w:bookmarkEnd w:id="116"/>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Recent Accounting Pronouncements – (continued)</w:t>
      </w:r>
    </w:p>
    <w:p>
      <w:pPr>
        <w:spacing w:after="0" w:line="121" w:lineRule="exact"/>
        <w:rPr>
          <w:sz w:val="20"/>
          <w:szCs w:val="20"/>
          <w:color w:val="auto"/>
        </w:rPr>
      </w:pPr>
    </w:p>
    <w:p>
      <w:pPr>
        <w:ind w:left="180" w:right="659" w:firstLine="270"/>
        <w:spacing w:after="0" w:line="273" w:lineRule="auto"/>
        <w:rPr>
          <w:sz w:val="20"/>
          <w:szCs w:val="20"/>
          <w:color w:val="auto"/>
        </w:rPr>
      </w:pPr>
      <w:r>
        <w:rPr>
          <w:rFonts w:ascii="Arial" w:cs="Arial" w:eastAsia="Arial" w:hAnsi="Arial"/>
          <w:sz w:val="17"/>
          <w:szCs w:val="17"/>
          <w:color w:val="auto"/>
        </w:rPr>
        <w:t xml:space="preserve">In May 2015, the FASB issued ASU No. 2015-07, </w:t>
      </w:r>
      <w:r>
        <w:rPr>
          <w:rFonts w:ascii="Arial" w:cs="Arial" w:eastAsia="Arial" w:hAnsi="Arial"/>
          <w:sz w:val="17"/>
          <w:szCs w:val="17"/>
          <w:i w:val="1"/>
          <w:iCs w:val="1"/>
          <w:color w:val="auto"/>
        </w:rPr>
        <w:t>Fair Value Measurement (Topic 820) — Disclosures for Investments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Entities That Calculate Net Asset Value per Share. </w:t>
      </w:r>
      <w:r>
        <w:rPr>
          <w:rFonts w:ascii="Arial" w:cs="Arial" w:eastAsia="Arial" w:hAnsi="Arial"/>
          <w:sz w:val="17"/>
          <w:szCs w:val="17"/>
          <w:color w:val="auto"/>
        </w:rPr>
        <w:t>ASU 2015-07 permits a reporting entity, as a practical expedient,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the fair value of certain investments using the net asset value per share of the investment and provides guidance on required disclosures for such investments. The standard is effective for interim and annual reporting periods in fiscal years that begin after December 15, 2015 and early adoption is permitted. Management is currently evaluating the impact these changes will have on the Company’s consolidated financial statements and disclosures.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121" w:lineRule="exact"/>
        <w:rPr>
          <w:sz w:val="20"/>
          <w:szCs w:val="20"/>
          <w:color w:val="auto"/>
        </w:rPr>
      </w:pPr>
    </w:p>
    <w:p>
      <w:pPr>
        <w:ind w:left="180" w:right="719" w:firstLine="270"/>
        <w:spacing w:after="0" w:line="272"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Both directly and through our subsidiaries that are licensed by the SBA under the SBIC Act, we offer customized financing to business owners, management teams and financial sponsors for change of ownership transactions, recapitalizations, strategic acquisitions, business expansion and other growth initiatives. We invest primarily in traditional mezzanine, senior subordinated and unitranche debt, as well as senior and second-lien loans and, to a lesser extent, equity securities issued by lower middle-market and middle-market companies. As of December 31, 2015, our portfolio consisted of investments in 57 portfolio companies with a fair value of approximately $592.5 million.</w:t>
      </w:r>
    </w:p>
    <w:p>
      <w:pPr>
        <w:spacing w:after="0" w:line="70" w:lineRule="exact"/>
        <w:rPr>
          <w:sz w:val="20"/>
          <w:szCs w:val="20"/>
          <w:color w:val="auto"/>
        </w:rPr>
      </w:pPr>
    </w:p>
    <w:p>
      <w:pPr>
        <w:ind w:left="180" w:right="819" w:firstLine="270"/>
        <w:spacing w:after="0" w:line="293" w:lineRule="auto"/>
        <w:rPr>
          <w:sz w:val="20"/>
          <w:szCs w:val="20"/>
          <w:color w:val="auto"/>
        </w:rPr>
      </w:pPr>
      <w:r>
        <w:rPr>
          <w:rFonts w:ascii="Arial" w:cs="Arial" w:eastAsia="Arial" w:hAnsi="Arial"/>
          <w:sz w:val="16"/>
          <w:szCs w:val="16"/>
          <w:color w:val="auto"/>
        </w:rPr>
        <w:t>During the year ended December 31, 2015, the Company made approximately $260.6 million of investments and had approximately $142.7 million in exits and repayments resulting in net investments of approximately $117.9 million for the year. During the year ended December 31, 2014, the Company made approximately $216.3 million of investments and had approximately $80.2 million in exits and repayments resulting in net investments of approximately $136.1 million for the year. During the year ended December 31, 2013, the Company made approximately $110.9 million of investments and had approximately $52.7 million in exits and repayments resulting in net investments of approximately $58.2 million for the year.</w:t>
      </w:r>
    </w:p>
    <w:p>
      <w:pPr>
        <w:spacing w:after="0" w:line="57" w:lineRule="exact"/>
        <w:rPr>
          <w:sz w:val="20"/>
          <w:szCs w:val="20"/>
          <w:color w:val="auto"/>
        </w:rPr>
      </w:pPr>
    </w:p>
    <w:p>
      <w:pPr>
        <w:ind w:left="180" w:right="639" w:firstLine="270"/>
        <w:spacing w:after="0" w:line="254" w:lineRule="auto"/>
        <w:rPr>
          <w:sz w:val="20"/>
          <w:szCs w:val="20"/>
          <w:color w:val="auto"/>
        </w:rPr>
      </w:pPr>
      <w:r>
        <w:rPr>
          <w:rFonts w:ascii="Arial" w:cs="Arial" w:eastAsia="Arial" w:hAnsi="Arial"/>
          <w:sz w:val="18"/>
          <w:szCs w:val="18"/>
          <w:color w:val="auto"/>
        </w:rPr>
        <w:t>During the year ended December 31, 2015, the Company funded $52.4 million of previously committed capital to existing portfolio companies. During the year ended December 31, 2015, the Company funded $208.2 million of investments in portfolio companies for which it was not previously committed to provide the financial support. In addition to investing directly in portfolio companies, the Company may assist portfolio companies in securing financing from other sources by introducing portfolio companies to sponsors or by leading a syndicate of investors to provide the portfolio companies with financing. During the year ended December 31, 2015, the Company assisted one company in securing financing from other sources as part of a loan syndication. During the year ended December 31, 2014 the Company assisted one portfolio company in securing financing from other sources.</w:t>
      </w:r>
    </w:p>
    <w:p>
      <w:pPr>
        <w:spacing w:after="0" w:line="84" w:lineRule="exact"/>
        <w:rPr>
          <w:sz w:val="20"/>
          <w:szCs w:val="20"/>
          <w:color w:val="auto"/>
        </w:rPr>
      </w:pPr>
    </w:p>
    <w:p>
      <w:pPr>
        <w:ind w:left="180" w:right="999" w:firstLine="270"/>
        <w:spacing w:after="0" w:line="277" w:lineRule="auto"/>
        <w:rPr>
          <w:sz w:val="20"/>
          <w:szCs w:val="20"/>
          <w:color w:val="auto"/>
        </w:rPr>
      </w:pPr>
      <w:r>
        <w:rPr>
          <w:rFonts w:ascii="Arial" w:cs="Arial" w:eastAsia="Arial" w:hAnsi="Arial"/>
          <w:sz w:val="18"/>
          <w:szCs w:val="18"/>
          <w:color w:val="auto"/>
        </w:rPr>
        <w:t>The composition of our investments as of December 31, 2015, at amortized cost and fair value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Investments at</w:t>
            </w: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9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4"/>
              </w:rPr>
              <w:t>Total Portfolio</w:t>
            </w:r>
          </w:p>
        </w:tc>
        <w:tc>
          <w:tcPr>
            <w:tcW w:w="10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at Fair Value</w:t>
            </w:r>
          </w:p>
        </w:tc>
        <w:tc>
          <w:tcPr>
            <w:tcW w:w="8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226,973</w:t>
            </w:r>
          </w:p>
        </w:tc>
        <w:tc>
          <w:tcPr>
            <w:tcW w:w="16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218,660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268,899</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256,278</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43.3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54,315</w:t>
            </w:r>
          </w:p>
        </w:tc>
        <w:tc>
          <w:tcPr>
            <w:tcW w:w="16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99,651</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Capitala Senior Liquid Loan Fund I, LLC</w:t>
            </w: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17,867</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570,187</w:t>
            </w:r>
          </w:p>
        </w:tc>
        <w:tc>
          <w:tcPr>
            <w:tcW w:w="160" w:type="dxa"/>
            <w:vAlign w:val="bottom"/>
            <w:tcBorders>
              <w:right w:val="single" w:sz="8" w:color="CCEEFF"/>
            </w:tcBorders>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592,456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ind w:left="820"/>
              <w:spacing w:after="0"/>
              <w:rPr>
                <w:sz w:val="20"/>
                <w:szCs w:val="20"/>
                <w:color w:val="auto"/>
              </w:rPr>
            </w:pPr>
            <w:r>
              <w:rPr>
                <w:rFonts w:ascii="Arial" w:cs="Arial" w:eastAsia="Arial" w:hAnsi="Arial"/>
                <w:sz w:val="18"/>
                <w:szCs w:val="18"/>
                <w:color w:val="auto"/>
                <w:w w:val="86"/>
              </w:rPr>
              <w:t>F-27</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17" w:name="page118"/>
    <w:bookmarkEnd w:id="11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999" w:firstLine="270"/>
        <w:spacing w:after="0" w:line="277" w:lineRule="auto"/>
        <w:rPr>
          <w:sz w:val="20"/>
          <w:szCs w:val="20"/>
          <w:color w:val="auto"/>
        </w:rPr>
      </w:pPr>
      <w:r>
        <w:rPr>
          <w:rFonts w:ascii="Arial" w:cs="Arial" w:eastAsia="Arial" w:hAnsi="Arial"/>
          <w:sz w:val="18"/>
          <w:szCs w:val="18"/>
          <w:color w:val="auto"/>
        </w:rPr>
        <w:t>The composition of our investments as of December 31, 2014, at amortized cost and fair value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Investments at</w:t>
            </w:r>
          </w:p>
        </w:tc>
        <w:tc>
          <w:tcPr>
            <w:tcW w:w="1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4"/>
                <w:szCs w:val="14"/>
                <w:color w:val="auto"/>
              </w:rPr>
            </w:pPr>
          </w:p>
        </w:tc>
        <w:tc>
          <w:tcPr>
            <w:tcW w:w="9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100" w:type="dxa"/>
            <w:vAlign w:val="bottom"/>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at Fair Value</w:t>
            </w:r>
          </w:p>
        </w:tc>
        <w:tc>
          <w:tcPr>
            <w:tcW w:w="8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146,399</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146,314</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Subordinated Debt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231,901</w:t>
            </w:r>
          </w:p>
        </w:tc>
        <w:tc>
          <w:tcPr>
            <w:tcW w:w="10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222,300</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Warrants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62,855</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111,723</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441,155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480,337</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312" w:lineRule="auto"/>
        <w:rPr>
          <w:sz w:val="20"/>
          <w:szCs w:val="20"/>
          <w:color w:val="auto"/>
        </w:rPr>
      </w:pPr>
      <w:r>
        <w:rPr>
          <w:rFonts w:ascii="Arial" w:cs="Arial" w:eastAsia="Arial" w:hAnsi="Arial"/>
          <w:sz w:val="16"/>
          <w:szCs w:val="16"/>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39" w:lineRule="exact"/>
        <w:rPr>
          <w:sz w:val="20"/>
          <w:szCs w:val="20"/>
          <w:color w:val="auto"/>
        </w:rPr>
      </w:pPr>
    </w:p>
    <w:p>
      <w:pPr>
        <w:ind w:left="60" w:right="539" w:firstLine="270"/>
        <w:spacing w:after="0" w:line="257" w:lineRule="auto"/>
        <w:rPr>
          <w:sz w:val="20"/>
          <w:szCs w:val="20"/>
          <w:color w:val="auto"/>
        </w:rPr>
      </w:pPr>
      <w:r>
        <w:rPr>
          <w:rFonts w:ascii="Arial" w:cs="Arial" w:eastAsia="Arial" w:hAnsi="Arial"/>
          <w:sz w:val="18"/>
          <w:szCs w:val="18"/>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80" w:lineRule="exact"/>
        <w:rPr>
          <w:sz w:val="20"/>
          <w:szCs w:val="20"/>
          <w:color w:val="auto"/>
        </w:rPr>
      </w:pPr>
    </w:p>
    <w:p>
      <w:pPr>
        <w:ind w:left="60" w:right="539" w:firstLine="270"/>
        <w:spacing w:after="0" w:line="312" w:lineRule="auto"/>
        <w:rPr>
          <w:sz w:val="20"/>
          <w:szCs w:val="20"/>
          <w:color w:val="auto"/>
        </w:rPr>
      </w:pPr>
      <w:r>
        <w:rPr>
          <w:rFonts w:ascii="Arial" w:cs="Arial" w:eastAsia="Arial" w:hAnsi="Arial"/>
          <w:sz w:val="16"/>
          <w:szCs w:val="16"/>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39" w:lineRule="exact"/>
        <w:rPr>
          <w:sz w:val="20"/>
          <w:szCs w:val="20"/>
          <w:color w:val="auto"/>
        </w:rPr>
      </w:pPr>
    </w:p>
    <w:p>
      <w:pPr>
        <w:ind w:left="620" w:right="779" w:hanging="322"/>
        <w:spacing w:after="0" w:line="277"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Company has the ability to access.</w:t>
      </w:r>
    </w:p>
    <w:p>
      <w:pPr>
        <w:spacing w:after="0" w:line="62" w:lineRule="exact"/>
        <w:rPr>
          <w:rFonts w:ascii="Arial" w:cs="Arial" w:eastAsia="Arial" w:hAnsi="Arial"/>
          <w:sz w:val="18"/>
          <w:szCs w:val="18"/>
          <w:color w:val="auto"/>
        </w:rPr>
      </w:pPr>
    </w:p>
    <w:p>
      <w:pPr>
        <w:ind w:left="620" w:right="919" w:hanging="322"/>
        <w:spacing w:after="0" w:line="277" w:lineRule="auto"/>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129" w:lineRule="exact"/>
        <w:rPr>
          <w:sz w:val="20"/>
          <w:szCs w:val="20"/>
          <w:color w:val="auto"/>
        </w:rPr>
      </w:pPr>
    </w:p>
    <w:p>
      <w:pPr>
        <w:jc w:val="both"/>
        <w:ind w:left="60" w:right="539" w:firstLine="270"/>
        <w:spacing w:after="0" w:line="286" w:lineRule="auto"/>
        <w:rPr>
          <w:sz w:val="20"/>
          <w:szCs w:val="20"/>
          <w:color w:val="auto"/>
        </w:rPr>
      </w:pPr>
      <w:r>
        <w:rPr>
          <w:rFonts w:ascii="Arial" w:cs="Arial" w:eastAsia="Arial" w:hAnsi="Arial"/>
          <w:sz w:val="17"/>
          <w:szCs w:val="17"/>
          <w:color w:val="auto"/>
        </w:rPr>
        <w:t>In addition to using the above inputs in investment valuations, the Company continues to employ the valuation policy approved by the Board that is consistent with ASC 820 (See Note 2). Consistent with our Company’s valuation policy, we evaluate the source of inputs, including any markets in which our investments are trading, in determining fair value.</w:t>
      </w:r>
    </w:p>
    <w:p>
      <w:pPr>
        <w:spacing w:after="0" w:line="57" w:lineRule="exact"/>
        <w:rPr>
          <w:sz w:val="20"/>
          <w:szCs w:val="20"/>
          <w:color w:val="auto"/>
        </w:rPr>
      </w:pPr>
    </w:p>
    <w:p>
      <w:pPr>
        <w:ind w:left="60" w:right="839" w:firstLine="270"/>
        <w:spacing w:after="0" w:line="259" w:lineRule="auto"/>
        <w:rPr>
          <w:sz w:val="20"/>
          <w:szCs w:val="20"/>
          <w:color w:val="auto"/>
        </w:rPr>
      </w:pPr>
      <w:r>
        <w:rPr>
          <w:rFonts w:ascii="Arial" w:cs="Arial" w:eastAsia="Arial" w:hAnsi="Arial"/>
          <w:sz w:val="18"/>
          <w:szCs w:val="18"/>
          <w:color w:val="auto"/>
        </w:rPr>
        <w:t>In estimating fair value of portfolio investments, the Company starts with the cost basis of the investment, which includes amortized original issue discount and payment-in-kind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8" w:name="page119"/>
    <w:bookmarkEnd w:id="11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180" w:right="999" w:firstLine="270"/>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2015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Fair Value Measurements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gridSpan w:val="3"/>
            <w:vMerge w:val="restart"/>
          </w:tcPr>
          <w:p>
            <w:pPr>
              <w:ind w:left="20"/>
              <w:spacing w:after="0"/>
              <w:rPr>
                <w:sz w:val="20"/>
                <w:szCs w:val="20"/>
                <w:color w:val="auto"/>
              </w:rPr>
            </w:pPr>
            <w:r>
              <w:rPr>
                <w:rFonts w:ascii="Arial" w:cs="Arial" w:eastAsia="Arial" w:hAnsi="Arial"/>
                <w:sz w:val="18"/>
                <w:szCs w:val="18"/>
                <w:color w:val="auto"/>
              </w:rPr>
              <w:t>Senior Secured Debt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60" w:type="dxa"/>
            <w:vAlign w:val="bottom"/>
            <w:gridSpan w:val="3"/>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218,660</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218,660</w:t>
            </w: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256,278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256,278</w:t>
            </w:r>
          </w:p>
        </w:tc>
        <w:tc>
          <w:tcPr>
            <w:tcW w:w="0" w:type="dxa"/>
            <w:vAlign w:val="bottom"/>
          </w:tcPr>
          <w:p>
            <w:pPr>
              <w:spacing w:after="0"/>
              <w:rPr>
                <w:sz w:val="1"/>
                <w:szCs w:val="1"/>
                <w:color w:val="auto"/>
              </w:rPr>
            </w:pPr>
          </w:p>
        </w:tc>
      </w:tr>
      <w:tr>
        <w:trPr>
          <w:trHeight w:val="216"/>
        </w:trPr>
        <w:tc>
          <w:tcPr>
            <w:tcW w:w="4160" w:type="dxa"/>
            <w:vAlign w:val="bottom"/>
            <w:gridSpan w:val="3"/>
          </w:tcPr>
          <w:p>
            <w:pPr>
              <w:ind w:left="20"/>
              <w:spacing w:after="0"/>
              <w:rPr>
                <w:sz w:val="20"/>
                <w:szCs w:val="20"/>
                <w:color w:val="auto"/>
              </w:rPr>
            </w:pPr>
            <w:r>
              <w:rPr>
                <w:rFonts w:ascii="Arial" w:cs="Arial" w:eastAsia="Arial" w:hAnsi="Arial"/>
                <w:sz w:val="18"/>
                <w:szCs w:val="18"/>
                <w:color w:val="auto"/>
              </w:rPr>
              <w:t>Equity and Warrants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99,651</w:t>
            </w:r>
          </w:p>
        </w:tc>
        <w:tc>
          <w:tcPr>
            <w:tcW w:w="0" w:type="dxa"/>
            <w:vAlign w:val="bottom"/>
          </w:tcPr>
          <w:p>
            <w:pPr>
              <w:spacing w:after="0"/>
              <w:rPr>
                <w:sz w:val="1"/>
                <w:szCs w:val="1"/>
                <w:color w:val="auto"/>
              </w:rPr>
            </w:pPr>
          </w:p>
        </w:tc>
      </w:tr>
      <w:tr>
        <w:trPr>
          <w:trHeight w:val="257"/>
        </w:trPr>
        <w:tc>
          <w:tcPr>
            <w:tcW w:w="416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Capitala Senior Liquid Loan Fund I, LLC</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17,867</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17,867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591,285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592,456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-368300</wp:posOffset>
            </wp:positionV>
            <wp:extent cx="5213985" cy="180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Because the Company’s investment in CSLLF is not redeemable, CSLLF is considered a Level 3 measurement.</w:t>
      </w:r>
    </w:p>
    <w:p>
      <w:pPr>
        <w:spacing w:after="0" w:line="117" w:lineRule="exact"/>
        <w:rPr>
          <w:sz w:val="20"/>
          <w:szCs w:val="20"/>
          <w:color w:val="auto"/>
        </w:rPr>
      </w:pPr>
    </w:p>
    <w:p>
      <w:pPr>
        <w:ind w:left="180" w:right="999" w:firstLine="270"/>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2014 (dollars in thousands), according to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3"/>
              </w:rPr>
              <w:t>Fair Value Measurements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Senior Secured Debt</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2"/>
              </w:rPr>
              <w:t>146,314</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146,314</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Debt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222,300</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222,300</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2"/>
              </w:rPr>
              <w:t>100,803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111,723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469,417</w:t>
            </w:r>
          </w:p>
        </w:tc>
        <w:tc>
          <w:tcPr>
            <w:tcW w:w="440" w:type="dxa"/>
            <w:vAlign w:val="bottom"/>
            <w:tcBorders>
              <w:lef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480,337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180" w:right="6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Senior</w:t>
            </w:r>
          </w:p>
        </w:tc>
        <w:tc>
          <w:tcPr>
            <w:tcW w:w="100" w:type="dxa"/>
            <w:vAlign w:val="bottom"/>
          </w:tcPr>
          <w:p>
            <w:pPr>
              <w:spacing w:after="0"/>
              <w:rPr>
                <w:sz w:val="14"/>
                <w:szCs w:val="14"/>
                <w:color w:val="auto"/>
              </w:rPr>
            </w:pP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9"/>
              </w:rPr>
              <w:t>Subordinated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Secured</w:t>
            </w: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CSLLF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Debt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and Warrants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146,314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222,300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100,803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469,417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Repayments</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(38,694)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(59,250)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(31,785)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(129,729)</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112,837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260,640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160" w:type="dxa"/>
            <w:vAlign w:val="bottom"/>
          </w:tcPr>
          <w:p>
            <w:pPr>
              <w:ind w:left="20"/>
              <w:spacing w:after="0" w:line="201" w:lineRule="exact"/>
              <w:rPr>
                <w:sz w:val="20"/>
                <w:szCs w:val="20"/>
                <w:color w:val="auto"/>
              </w:rPr>
            </w:pPr>
            <w:r>
              <w:rPr>
                <w:rFonts w:ascii="Arial" w:cs="Arial" w:eastAsia="Arial" w:hAnsi="Arial"/>
                <w:sz w:val="18"/>
                <w:szCs w:val="18"/>
                <w:color w:val="auto"/>
              </w:rPr>
              <w:t>Payment in-kind interest and dividends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accrued</w:t>
            </w: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5,084</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Gain/(loss) on sale</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(5,527)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Net unrealized appreciation/(depreciation)</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218,660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256,278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98,480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17,867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591,285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F-29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-805180</wp:posOffset>
            </wp:positionV>
            <wp:extent cx="5213985" cy="1803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19" w:name="page120"/>
    <w:bookmarkEnd w:id="11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year ended December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Senior</w:t>
            </w:r>
          </w:p>
        </w:tc>
        <w:tc>
          <w:tcPr>
            <w:tcW w:w="100" w:type="dxa"/>
            <w:vAlign w:val="bottom"/>
          </w:tcPr>
          <w:p>
            <w:pPr>
              <w:spacing w:after="0"/>
              <w:rPr>
                <w:sz w:val="14"/>
                <w:szCs w:val="14"/>
                <w:color w:val="auto"/>
              </w:rPr>
            </w:pPr>
          </w:p>
        </w:tc>
        <w:tc>
          <w:tcPr>
            <w:tcW w:w="9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9"/>
              </w:rPr>
              <w:t>Subordinated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Secured</w:t>
            </w: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Debt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4"/>
                <w:szCs w:val="14"/>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and Warrants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102,071</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133,710</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128,938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364,719</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Change in classification due to restructure</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(80,197)</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96,145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114,483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216,276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in-kind interest and dividends accrued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Accretion of original issue discount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sale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Transfers out of level 3</w:t>
            </w: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(30,384)</w:t>
            </w:r>
          </w:p>
        </w:tc>
        <w:tc>
          <w:tcPr>
            <w:tcW w:w="0" w:type="dxa"/>
            <w:vAlign w:val="bottom"/>
          </w:tcPr>
          <w:p>
            <w:pPr>
              <w:spacing w:after="0"/>
              <w:rPr>
                <w:sz w:val="1"/>
                <w:szCs w:val="1"/>
                <w:color w:val="auto"/>
              </w:rPr>
            </w:pPr>
          </w:p>
        </w:tc>
      </w:tr>
      <w:tr>
        <w:trPr>
          <w:trHeight w:val="20"/>
        </w:trPr>
        <w:tc>
          <w:tcPr>
            <w:tcW w:w="4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146,314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222,300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100,803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469,417</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55" w:lineRule="auto"/>
        <w:rPr>
          <w:sz w:val="20"/>
          <w:szCs w:val="20"/>
          <w:color w:val="auto"/>
        </w:rPr>
      </w:pPr>
      <w:r>
        <w:rPr>
          <w:rFonts w:ascii="Arial" w:cs="Arial" w:eastAsia="Arial" w:hAnsi="Arial"/>
          <w:sz w:val="18"/>
          <w:szCs w:val="18"/>
          <w:color w:val="auto"/>
        </w:rPr>
        <w:t>Boot Barn Holdings, Inc. completed its initial public offering on October 30, 2014. In exchange for our original equity investment, we received 600,000 shares of Boot Barn Holdings, Inc. publicly-traded common stock, subject to a 180 day lock-up period. Boot Barn is traded in an active market; the Company has classified its investment in Boot Barn Holdings, Inc. as a Level 1 measurement. The value of the transfer amount was based on the fair value at the beginning of the year. The unrealized appreciation/(depreciation) for Boot Barn Holdings, Inc. for the year ended December 31, 2015 and 2014 was $(7.7) million and $6.1 million, respectively.</w:t>
      </w:r>
    </w:p>
    <w:p>
      <w:pPr>
        <w:spacing w:after="0" w:line="85" w:lineRule="exact"/>
        <w:rPr>
          <w:sz w:val="20"/>
          <w:szCs w:val="20"/>
          <w:color w:val="auto"/>
        </w:rPr>
      </w:pPr>
    </w:p>
    <w:p>
      <w:pPr>
        <w:ind w:left="60" w:right="979" w:firstLine="270"/>
        <w:spacing w:after="0" w:line="264" w:lineRule="auto"/>
        <w:rPr>
          <w:sz w:val="20"/>
          <w:szCs w:val="20"/>
          <w:color w:val="auto"/>
        </w:rPr>
      </w:pPr>
      <w:r>
        <w:rPr>
          <w:rFonts w:ascii="Arial" w:cs="Arial" w:eastAsia="Arial" w:hAnsi="Arial"/>
          <w:sz w:val="18"/>
          <w:szCs w:val="18"/>
          <w:color w:val="auto"/>
        </w:rPr>
        <w:t>The net change in unrealized depreciation on investments held as of December 31, 2015 and 2014, was $(5.0) million and $(23.5) million, respectively, and is included in net unrealized depreciation on investments in the consolidated statements of operations.</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of assets as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61829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61829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3"/>
                <w:szCs w:val="23"/>
                <w:b w:val="1"/>
                <w:bCs w:val="1"/>
                <w:color w:val="auto"/>
                <w:w w:val="91"/>
                <w:vertAlign w:val="superscript"/>
              </w:rPr>
              <w:t>(2)</w:t>
            </w:r>
          </w:p>
        </w:tc>
        <w:tc>
          <w:tcPr>
            <w:tcW w:w="40" w:type="dxa"/>
            <w:vAlign w:val="bottom"/>
          </w:tcPr>
          <w:p>
            <w:pPr>
              <w:spacing w:after="0"/>
              <w:rPr>
                <w:sz w:val="14"/>
                <w:szCs w:val="14"/>
                <w:color w:val="auto"/>
              </w:rPr>
            </w:pPr>
          </w:p>
        </w:tc>
        <w:tc>
          <w:tcPr>
            <w:tcW w:w="1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Valuation Approach</w:t>
            </w:r>
          </w:p>
        </w:tc>
        <w:tc>
          <w:tcPr>
            <w:tcW w:w="40" w:type="dxa"/>
            <w:vAlign w:val="bottom"/>
          </w:tcPr>
          <w:p>
            <w:pPr>
              <w:spacing w:after="0"/>
              <w:rPr>
                <w:sz w:val="14"/>
                <w:szCs w:val="14"/>
                <w:color w:val="auto"/>
              </w:rPr>
            </w:pPr>
          </w:p>
        </w:tc>
        <w:tc>
          <w:tcPr>
            <w:tcW w:w="18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Level 3 Input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Range of Inputs</w:t>
            </w:r>
          </w:p>
        </w:tc>
        <w:tc>
          <w:tcPr>
            <w:tcW w:w="4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1900" w:type="dxa"/>
            <w:vAlign w:val="bottom"/>
          </w:tcPr>
          <w:p>
            <w:pPr>
              <w:spacing w:after="0"/>
              <w:rPr>
                <w:sz w:val="20"/>
                <w:szCs w:val="20"/>
                <w:color w:val="auto"/>
              </w:rPr>
            </w:pPr>
            <w:r>
              <w:rPr>
                <w:rFonts w:ascii="Arial" w:cs="Arial" w:eastAsia="Arial" w:hAnsi="Arial"/>
                <w:sz w:val="16"/>
                <w:szCs w:val="16"/>
                <w:color w:val="auto"/>
              </w:rPr>
              <w:t>Subordinated debt</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Required Rate of Return</w:t>
            </w:r>
          </w:p>
        </w:tc>
        <w:tc>
          <w:tcPr>
            <w:tcW w:w="40" w:type="dxa"/>
            <w:vAlign w:val="bottom"/>
          </w:tcPr>
          <w:p>
            <w:pPr>
              <w:spacing w:after="0"/>
              <w:rPr>
                <w:sz w:val="16"/>
                <w:szCs w:val="16"/>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9.3% – 16.3%</w:t>
            </w:r>
          </w:p>
        </w:tc>
        <w:tc>
          <w:tcPr>
            <w:tcW w:w="4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Leverage Ratio</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0.9x</w:t>
            </w:r>
          </w:p>
        </w:tc>
        <w:tc>
          <w:tcPr>
            <w:tcW w:w="1900" w:type="dxa"/>
            <w:vAlign w:val="bottom"/>
          </w:tcPr>
          <w:p>
            <w:pPr>
              <w:ind w:left="20"/>
              <w:spacing w:after="0"/>
              <w:rPr>
                <w:sz w:val="20"/>
                <w:szCs w:val="20"/>
                <w:color w:val="auto"/>
              </w:rPr>
            </w:pPr>
            <w:r>
              <w:rPr>
                <w:rFonts w:ascii="Arial" w:cs="Arial" w:eastAsia="Arial" w:hAnsi="Arial"/>
                <w:sz w:val="16"/>
                <w:szCs w:val="16"/>
                <w:color w:val="auto"/>
              </w:rPr>
              <w:t>– 5.4x</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3.6x</w:t>
            </w: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7"/>
              </w:rPr>
              <w:t>225.7 million</w:t>
            </w: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$2.4 million – $221.8 million</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$48.8 million</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Subordinated debt</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vMerge w:val="restart"/>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Multiple</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6.0x</w:t>
            </w:r>
          </w:p>
        </w:tc>
        <w:tc>
          <w:tcPr>
            <w:tcW w:w="1900" w:type="dxa"/>
            <w:vAlign w:val="bottom"/>
          </w:tcPr>
          <w:p>
            <w:pPr>
              <w:ind w:left="20"/>
              <w:spacing w:after="0"/>
              <w:rPr>
                <w:sz w:val="20"/>
                <w:szCs w:val="20"/>
                <w:color w:val="auto"/>
              </w:rPr>
            </w:pPr>
            <w:r>
              <w:rPr>
                <w:rFonts w:ascii="Arial" w:cs="Arial" w:eastAsia="Arial" w:hAnsi="Arial"/>
                <w:sz w:val="16"/>
                <w:szCs w:val="16"/>
                <w:color w:val="auto"/>
              </w:rPr>
              <w:t>– 7.5x</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7.5x</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ind w:left="100"/>
              <w:spacing w:after="0" w:line="162" w:lineRule="exact"/>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4"/>
                <w:szCs w:val="14"/>
                <w:color w:val="auto"/>
              </w:rPr>
            </w:pPr>
          </w:p>
        </w:tc>
        <w:tc>
          <w:tcPr>
            <w:tcW w:w="228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$2.1 million – $5.4 million</w:t>
            </w:r>
          </w:p>
        </w:tc>
        <w:tc>
          <w:tcPr>
            <w:tcW w:w="40" w:type="dxa"/>
            <w:vAlign w:val="bottom"/>
          </w:tcPr>
          <w:p>
            <w:pPr>
              <w:spacing w:after="0"/>
              <w:rPr>
                <w:sz w:val="14"/>
                <w:szCs w:val="14"/>
                <w:color w:val="auto"/>
              </w:rPr>
            </w:pPr>
          </w:p>
        </w:tc>
        <w:tc>
          <w:tcPr>
            <w:tcW w:w="1040" w:type="dxa"/>
            <w:vAlign w:val="bottom"/>
          </w:tcPr>
          <w:p>
            <w:pPr>
              <w:ind w:left="60"/>
              <w:spacing w:after="0" w:line="162" w:lineRule="exact"/>
              <w:rPr>
                <w:sz w:val="20"/>
                <w:szCs w:val="20"/>
                <w:color w:val="auto"/>
              </w:rPr>
            </w:pPr>
            <w:r>
              <w:rPr>
                <w:rFonts w:ascii="Arial" w:cs="Arial" w:eastAsia="Arial" w:hAnsi="Arial"/>
                <w:sz w:val="16"/>
                <w:szCs w:val="16"/>
                <w:color w:val="auto"/>
              </w:rPr>
              <w:t>$5.3 million</w:t>
            </w:r>
          </w:p>
        </w:tc>
        <w:tc>
          <w:tcPr>
            <w:tcW w:w="0" w:type="dxa"/>
            <w:vAlign w:val="bottom"/>
          </w:tcPr>
          <w:p>
            <w:pPr>
              <w:spacing w:after="0"/>
              <w:rPr>
                <w:sz w:val="1"/>
                <w:szCs w:val="1"/>
                <w:color w:val="auto"/>
              </w:rPr>
            </w:pPr>
          </w:p>
        </w:tc>
      </w:tr>
      <w:tr>
        <w:trPr>
          <w:trHeight w:val="202"/>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Waterfall and</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Revenue Multiple</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3.5x</w:t>
            </w:r>
          </w:p>
        </w:tc>
        <w:tc>
          <w:tcPr>
            <w:tcW w:w="1900" w:type="dxa"/>
            <w:vAlign w:val="bottom"/>
          </w:tcPr>
          <w:p>
            <w:pPr>
              <w:ind w:left="20"/>
              <w:spacing w:after="0"/>
              <w:rPr>
                <w:sz w:val="20"/>
                <w:szCs w:val="20"/>
                <w:color w:val="auto"/>
              </w:rPr>
            </w:pPr>
            <w:r>
              <w:rPr>
                <w:rFonts w:ascii="Arial" w:cs="Arial" w:eastAsia="Arial" w:hAnsi="Arial"/>
                <w:sz w:val="16"/>
                <w:szCs w:val="16"/>
                <w:color w:val="auto"/>
              </w:rPr>
              <w:t>– 3.5x</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3.5x</w:t>
            </w:r>
          </w:p>
        </w:tc>
        <w:tc>
          <w:tcPr>
            <w:tcW w:w="0" w:type="dxa"/>
            <w:vAlign w:val="bottom"/>
          </w:tcPr>
          <w:p>
            <w:pPr>
              <w:spacing w:after="0"/>
              <w:rPr>
                <w:sz w:val="1"/>
                <w:szCs w:val="1"/>
                <w:color w:val="auto"/>
              </w:rPr>
            </w:pPr>
          </w:p>
        </w:tc>
      </w:tr>
      <w:tr>
        <w:trPr>
          <w:trHeight w:val="244"/>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30.6 million</w:t>
            </w:r>
          </w:p>
        </w:tc>
        <w:tc>
          <w:tcPr>
            <w:tcW w:w="40" w:type="dxa"/>
            <w:vAlign w:val="bottom"/>
          </w:tcPr>
          <w:p>
            <w:pPr>
              <w:spacing w:after="0"/>
              <w:rPr>
                <w:sz w:val="21"/>
                <w:szCs w:val="21"/>
                <w:color w:val="auto"/>
              </w:rPr>
            </w:pPr>
          </w:p>
        </w:tc>
        <w:tc>
          <w:tcPr>
            <w:tcW w:w="1360" w:type="dxa"/>
            <w:vAlign w:val="bottom"/>
          </w:tcPr>
          <w:p>
            <w:pPr>
              <w:ind w:left="80"/>
              <w:spacing w:after="0" w:line="244" w:lineRule="exact"/>
              <w:rPr>
                <w:sz w:val="20"/>
                <w:szCs w:val="20"/>
                <w:color w:val="auto"/>
              </w:rPr>
            </w:pPr>
            <w:r>
              <w:rPr>
                <w:rFonts w:ascii="Arial" w:cs="Arial" w:eastAsia="Arial" w:hAnsi="Arial"/>
                <w:sz w:val="16"/>
                <w:szCs w:val="16"/>
                <w:color w:val="auto"/>
              </w:rPr>
              <w:t>Asset</w:t>
            </w:r>
            <w:r>
              <w:rPr>
                <w:rFonts w:ascii="Arial" w:cs="Arial" w:eastAsia="Arial" w:hAnsi="Arial"/>
                <w:sz w:val="27"/>
                <w:szCs w:val="27"/>
                <w:color w:val="auto"/>
                <w:vertAlign w:val="superscript"/>
              </w:rPr>
              <w:t>(1)</w:t>
            </w:r>
          </w:p>
        </w:tc>
        <w:tc>
          <w:tcPr>
            <w:tcW w:w="40" w:type="dxa"/>
            <w:vAlign w:val="bottom"/>
          </w:tcPr>
          <w:p>
            <w:pPr>
              <w:spacing w:after="0"/>
              <w:rPr>
                <w:sz w:val="21"/>
                <w:szCs w:val="21"/>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Revenue</w:t>
            </w:r>
          </w:p>
        </w:tc>
        <w:tc>
          <w:tcPr>
            <w:tcW w:w="40" w:type="dxa"/>
            <w:vAlign w:val="bottom"/>
          </w:tcPr>
          <w:p>
            <w:pPr>
              <w:spacing w:after="0"/>
              <w:rPr>
                <w:sz w:val="21"/>
                <w:szCs w:val="21"/>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$22.8 million – $22.8 million</w:t>
            </w:r>
          </w:p>
        </w:tc>
        <w:tc>
          <w:tcPr>
            <w:tcW w:w="4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$22.8 million</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Senior secured debt</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Required Rate of Return</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8.0% – 60.0%</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Leverage Ratio</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0.6x</w:t>
            </w:r>
          </w:p>
        </w:tc>
        <w:tc>
          <w:tcPr>
            <w:tcW w:w="1900" w:type="dxa"/>
            <w:vAlign w:val="bottom"/>
          </w:tcPr>
          <w:p>
            <w:pPr>
              <w:ind w:left="20"/>
              <w:spacing w:after="0"/>
              <w:rPr>
                <w:sz w:val="20"/>
                <w:szCs w:val="20"/>
                <w:color w:val="auto"/>
              </w:rPr>
            </w:pPr>
            <w:r>
              <w:rPr>
                <w:rFonts w:ascii="Arial" w:cs="Arial" w:eastAsia="Arial" w:hAnsi="Arial"/>
                <w:sz w:val="16"/>
                <w:szCs w:val="16"/>
                <w:color w:val="auto"/>
              </w:rPr>
              <w:t>– 6.2x</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3.5x</w:t>
            </w: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7"/>
              </w:rPr>
              <w:t>202.5 million</w:t>
            </w: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$2.0 million – $162.1 million</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$26.9 million</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Senior secured debt</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vMerge w:val="restart"/>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EBITDA Multiple</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4.5x</w:t>
            </w:r>
          </w:p>
        </w:tc>
        <w:tc>
          <w:tcPr>
            <w:tcW w:w="1900" w:type="dxa"/>
            <w:vAlign w:val="bottom"/>
          </w:tcPr>
          <w:p>
            <w:pPr>
              <w:ind w:left="20"/>
              <w:spacing w:after="0"/>
              <w:rPr>
                <w:sz w:val="20"/>
                <w:szCs w:val="20"/>
                <w:color w:val="auto"/>
              </w:rPr>
            </w:pPr>
            <w:r>
              <w:rPr>
                <w:rFonts w:ascii="Arial" w:cs="Arial" w:eastAsia="Arial" w:hAnsi="Arial"/>
                <w:sz w:val="16"/>
                <w:szCs w:val="16"/>
                <w:color w:val="auto"/>
              </w:rPr>
              <w:t>– 4.5x</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4.5x</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ind w:left="100"/>
              <w:spacing w:after="0" w:line="162" w:lineRule="exact"/>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4"/>
                <w:szCs w:val="14"/>
                <w:color w:val="auto"/>
              </w:rPr>
            </w:pPr>
          </w:p>
        </w:tc>
        <w:tc>
          <w:tcPr>
            <w:tcW w:w="228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$13.5 million – $13.5 million</w:t>
            </w:r>
          </w:p>
        </w:tc>
        <w:tc>
          <w:tcPr>
            <w:tcW w:w="40" w:type="dxa"/>
            <w:vAlign w:val="bottom"/>
          </w:tcPr>
          <w:p>
            <w:pPr>
              <w:spacing w:after="0"/>
              <w:rPr>
                <w:sz w:val="14"/>
                <w:szCs w:val="14"/>
                <w:color w:val="auto"/>
              </w:rPr>
            </w:pPr>
          </w:p>
        </w:tc>
        <w:tc>
          <w:tcPr>
            <w:tcW w:w="1040" w:type="dxa"/>
            <w:vAlign w:val="bottom"/>
          </w:tcPr>
          <w:p>
            <w:pPr>
              <w:ind w:left="60"/>
              <w:spacing w:after="0" w:line="162" w:lineRule="exact"/>
              <w:rPr>
                <w:sz w:val="20"/>
                <w:szCs w:val="20"/>
                <w:color w:val="auto"/>
              </w:rPr>
            </w:pPr>
            <w:r>
              <w:rPr>
                <w:rFonts w:ascii="Arial" w:cs="Arial" w:eastAsia="Arial" w:hAnsi="Arial"/>
                <w:sz w:val="16"/>
                <w:szCs w:val="16"/>
                <w:color w:val="auto"/>
              </w:rPr>
              <w:t>$13.5 million</w:t>
            </w:r>
          </w:p>
        </w:tc>
        <w:tc>
          <w:tcPr>
            <w:tcW w:w="0" w:type="dxa"/>
            <w:vAlign w:val="bottom"/>
          </w:tcPr>
          <w:p>
            <w:pPr>
              <w:spacing w:after="0"/>
              <w:rPr>
                <w:sz w:val="1"/>
                <w:szCs w:val="1"/>
                <w:color w:val="auto"/>
              </w:rPr>
            </w:pPr>
          </w:p>
        </w:tc>
      </w:tr>
      <w:tr>
        <w:trPr>
          <w:trHeight w:val="202"/>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Waterfall</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Revenue Multiple</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3.5x</w:t>
            </w:r>
          </w:p>
        </w:tc>
        <w:tc>
          <w:tcPr>
            <w:tcW w:w="1900" w:type="dxa"/>
            <w:vAlign w:val="bottom"/>
          </w:tcPr>
          <w:p>
            <w:pPr>
              <w:ind w:left="20"/>
              <w:spacing w:after="0"/>
              <w:rPr>
                <w:sz w:val="20"/>
                <w:szCs w:val="20"/>
                <w:color w:val="auto"/>
              </w:rPr>
            </w:pPr>
            <w:r>
              <w:rPr>
                <w:rFonts w:ascii="Arial" w:cs="Arial" w:eastAsia="Arial" w:hAnsi="Arial"/>
                <w:sz w:val="16"/>
                <w:szCs w:val="16"/>
                <w:color w:val="auto"/>
              </w:rPr>
              <w:t>– 3.5x</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3.5x</w:t>
            </w:r>
          </w:p>
        </w:tc>
        <w:tc>
          <w:tcPr>
            <w:tcW w:w="0" w:type="dxa"/>
            <w:vAlign w:val="bottom"/>
          </w:tcPr>
          <w:p>
            <w:pPr>
              <w:spacing w:after="0"/>
              <w:rPr>
                <w:sz w:val="1"/>
                <w:szCs w:val="1"/>
                <w:color w:val="auto"/>
              </w:rPr>
            </w:pPr>
          </w:p>
        </w:tc>
      </w:tr>
      <w:tr>
        <w:trPr>
          <w:trHeight w:val="244"/>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16.1 million</w:t>
            </w:r>
          </w:p>
        </w:tc>
        <w:tc>
          <w:tcPr>
            <w:tcW w:w="40" w:type="dxa"/>
            <w:vAlign w:val="bottom"/>
          </w:tcPr>
          <w:p>
            <w:pPr>
              <w:spacing w:after="0"/>
              <w:rPr>
                <w:sz w:val="21"/>
                <w:szCs w:val="21"/>
                <w:color w:val="auto"/>
              </w:rPr>
            </w:pPr>
          </w:p>
        </w:tc>
        <w:tc>
          <w:tcPr>
            <w:tcW w:w="1360" w:type="dxa"/>
            <w:vAlign w:val="bottom"/>
          </w:tcPr>
          <w:p>
            <w:pPr>
              <w:ind w:left="80"/>
              <w:spacing w:after="0" w:line="244" w:lineRule="exact"/>
              <w:rPr>
                <w:sz w:val="20"/>
                <w:szCs w:val="20"/>
                <w:color w:val="auto"/>
              </w:rPr>
            </w:pPr>
            <w:r>
              <w:rPr>
                <w:rFonts w:ascii="Arial" w:cs="Arial" w:eastAsia="Arial" w:hAnsi="Arial"/>
                <w:sz w:val="16"/>
                <w:szCs w:val="16"/>
                <w:color w:val="auto"/>
              </w:rPr>
              <w:t>and Asset</w:t>
            </w:r>
            <w:r>
              <w:rPr>
                <w:rFonts w:ascii="Arial" w:cs="Arial" w:eastAsia="Arial" w:hAnsi="Arial"/>
                <w:sz w:val="27"/>
                <w:szCs w:val="27"/>
                <w:color w:val="auto"/>
                <w:vertAlign w:val="superscript"/>
              </w:rPr>
              <w:t>(1)</w:t>
            </w:r>
          </w:p>
        </w:tc>
        <w:tc>
          <w:tcPr>
            <w:tcW w:w="40" w:type="dxa"/>
            <w:vAlign w:val="bottom"/>
          </w:tcPr>
          <w:p>
            <w:pPr>
              <w:spacing w:after="0"/>
              <w:rPr>
                <w:sz w:val="21"/>
                <w:szCs w:val="21"/>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Revenue</w:t>
            </w:r>
          </w:p>
        </w:tc>
        <w:tc>
          <w:tcPr>
            <w:tcW w:w="40" w:type="dxa"/>
            <w:vAlign w:val="bottom"/>
          </w:tcPr>
          <w:p>
            <w:pPr>
              <w:spacing w:after="0"/>
              <w:rPr>
                <w:sz w:val="21"/>
                <w:szCs w:val="21"/>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$22.8 million – $22.8 million</w:t>
            </w:r>
          </w:p>
        </w:tc>
        <w:tc>
          <w:tcPr>
            <w:tcW w:w="40" w:type="dxa"/>
            <w:vAlign w:val="bottom"/>
          </w:tcPr>
          <w:p>
            <w:pPr>
              <w:spacing w:after="0"/>
              <w:rPr>
                <w:sz w:val="21"/>
                <w:szCs w:val="21"/>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$22.8 million</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Equity and warrants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Required Rate of Return</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12.0% – 12.0%</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Leverage Ratio</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2.0x</w:t>
            </w:r>
          </w:p>
        </w:tc>
        <w:tc>
          <w:tcPr>
            <w:tcW w:w="1900" w:type="dxa"/>
            <w:vAlign w:val="bottom"/>
          </w:tcPr>
          <w:p>
            <w:pPr>
              <w:ind w:left="20"/>
              <w:spacing w:after="0"/>
              <w:rPr>
                <w:sz w:val="20"/>
                <w:szCs w:val="20"/>
                <w:color w:val="auto"/>
              </w:rPr>
            </w:pPr>
            <w:r>
              <w:rPr>
                <w:rFonts w:ascii="Arial" w:cs="Arial" w:eastAsia="Arial" w:hAnsi="Arial"/>
                <w:sz w:val="16"/>
                <w:szCs w:val="16"/>
                <w:color w:val="auto"/>
              </w:rPr>
              <w:t>– 2.0x</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2.0x</w:t>
            </w: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7"/>
              </w:rPr>
              <w:t>6.3 million</w:t>
            </w: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$344.5 million – $344.5 million</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w w:val="97"/>
              </w:rPr>
              <w:t>$344.5 million</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Equity and warrants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Revenue Multiple</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3.5x</w:t>
            </w:r>
          </w:p>
        </w:tc>
        <w:tc>
          <w:tcPr>
            <w:tcW w:w="1900" w:type="dxa"/>
            <w:vAlign w:val="bottom"/>
          </w:tcPr>
          <w:p>
            <w:pPr>
              <w:ind w:left="20"/>
              <w:spacing w:after="0"/>
              <w:rPr>
                <w:sz w:val="20"/>
                <w:szCs w:val="20"/>
                <w:color w:val="auto"/>
              </w:rPr>
            </w:pPr>
            <w:r>
              <w:rPr>
                <w:rFonts w:ascii="Arial" w:cs="Arial" w:eastAsia="Arial" w:hAnsi="Arial"/>
                <w:sz w:val="16"/>
                <w:szCs w:val="16"/>
                <w:color w:val="auto"/>
              </w:rPr>
              <w:t>– 3.5x</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3.5x</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Revenue</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$22.8 million – $22.8 million</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$22.8 million</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4.5x</w:t>
            </w:r>
          </w:p>
        </w:tc>
        <w:tc>
          <w:tcPr>
            <w:tcW w:w="1900" w:type="dxa"/>
            <w:vAlign w:val="bottom"/>
          </w:tcPr>
          <w:p>
            <w:pPr>
              <w:ind w:left="20"/>
              <w:spacing w:after="0"/>
              <w:rPr>
                <w:sz w:val="20"/>
                <w:szCs w:val="20"/>
                <w:color w:val="auto"/>
              </w:rPr>
            </w:pPr>
            <w:r>
              <w:rPr>
                <w:rFonts w:ascii="Arial" w:cs="Arial" w:eastAsia="Arial" w:hAnsi="Arial"/>
                <w:sz w:val="16"/>
                <w:szCs w:val="16"/>
                <w:color w:val="auto"/>
              </w:rPr>
              <w:t>– 11.0x</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7.3x</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Multiple</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92.2 million</w:t>
            </w: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Waterfall</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$2.0 million – $69.8 million</w:t>
            </w:r>
          </w:p>
        </w:tc>
        <w:tc>
          <w:tcPr>
            <w:tcW w:w="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$18.6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172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$7.5 million in subordinated notes and $5.0 million in senior notes were valued using the asset approach.</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Excludes our $17.9 million investment in CSLLF, measured at NAV.</w:t>
      </w: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of assets as of</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61829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160020</wp:posOffset>
            </wp:positionV>
            <wp:extent cx="618299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4"/>
                <w:szCs w:val="14"/>
                <w:color w:val="auto"/>
              </w:rPr>
            </w:pPr>
          </w:p>
        </w:tc>
        <w:tc>
          <w:tcPr>
            <w:tcW w:w="1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Valuation Approach</w:t>
            </w:r>
          </w:p>
        </w:tc>
        <w:tc>
          <w:tcPr>
            <w:tcW w:w="40" w:type="dxa"/>
            <w:vAlign w:val="bottom"/>
          </w:tcPr>
          <w:p>
            <w:pPr>
              <w:spacing w:after="0"/>
              <w:rPr>
                <w:sz w:val="14"/>
                <w:szCs w:val="14"/>
                <w:color w:val="auto"/>
              </w:rPr>
            </w:pPr>
          </w:p>
        </w:tc>
        <w:tc>
          <w:tcPr>
            <w:tcW w:w="18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Level 3 Input</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Range of Inputs</w:t>
            </w:r>
          </w:p>
        </w:tc>
        <w:tc>
          <w:tcPr>
            <w:tcW w:w="4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6"/>
        </w:trPr>
        <w:tc>
          <w:tcPr>
            <w:tcW w:w="1900" w:type="dxa"/>
            <w:vAlign w:val="bottom"/>
          </w:tcPr>
          <w:p>
            <w:pPr>
              <w:spacing w:after="0"/>
              <w:rPr>
                <w:sz w:val="20"/>
                <w:szCs w:val="20"/>
                <w:color w:val="auto"/>
              </w:rPr>
            </w:pPr>
            <w:r>
              <w:rPr>
                <w:rFonts w:ascii="Arial" w:cs="Arial" w:eastAsia="Arial" w:hAnsi="Arial"/>
                <w:sz w:val="16"/>
                <w:szCs w:val="16"/>
                <w:color w:val="auto"/>
              </w:rPr>
              <w:t>Subordinated debt</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Required Rate of Return</w:t>
            </w:r>
          </w:p>
        </w:tc>
        <w:tc>
          <w:tcPr>
            <w:tcW w:w="40" w:type="dxa"/>
            <w:vAlign w:val="bottom"/>
          </w:tcPr>
          <w:p>
            <w:pPr>
              <w:spacing w:after="0"/>
              <w:rPr>
                <w:sz w:val="16"/>
                <w:szCs w:val="16"/>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10.0% – 20.0%</w:t>
            </w:r>
          </w:p>
        </w:tc>
        <w:tc>
          <w:tcPr>
            <w:tcW w:w="40" w:type="dxa"/>
            <w:vAlign w:val="bottom"/>
          </w:tcPr>
          <w:p>
            <w:pPr>
              <w:spacing w:after="0"/>
              <w:rPr>
                <w:sz w:val="16"/>
                <w:szCs w:val="16"/>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Leverage Ratio</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0.8x</w:t>
            </w:r>
          </w:p>
        </w:tc>
        <w:tc>
          <w:tcPr>
            <w:tcW w:w="1900" w:type="dxa"/>
            <w:vAlign w:val="bottom"/>
          </w:tcPr>
          <w:p>
            <w:pPr>
              <w:ind w:left="20"/>
              <w:spacing w:after="0"/>
              <w:rPr>
                <w:sz w:val="20"/>
                <w:szCs w:val="20"/>
                <w:color w:val="auto"/>
              </w:rPr>
            </w:pPr>
            <w:r>
              <w:rPr>
                <w:rFonts w:ascii="Arial" w:cs="Arial" w:eastAsia="Arial" w:hAnsi="Arial"/>
                <w:sz w:val="16"/>
                <w:szCs w:val="16"/>
                <w:color w:val="auto"/>
              </w:rPr>
              <w:t>– 8.0x</w:t>
            </w:r>
          </w:p>
        </w:tc>
        <w:tc>
          <w:tcPr>
            <w:tcW w:w="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3.8x</w:t>
            </w: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7"/>
              </w:rPr>
              <w:t>195.0 million</w:t>
            </w: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$2.1 million – $204.1 million</w:t>
            </w:r>
          </w:p>
        </w:tc>
        <w:tc>
          <w:tcPr>
            <w:tcW w:w="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$44.6 million</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Subordinated debt</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vMerge w:val="restart"/>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Multiple</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3.3x</w:t>
            </w:r>
          </w:p>
        </w:tc>
        <w:tc>
          <w:tcPr>
            <w:tcW w:w="1900" w:type="dxa"/>
            <w:vAlign w:val="bottom"/>
          </w:tcPr>
          <w:p>
            <w:pPr>
              <w:ind w:left="20"/>
              <w:spacing w:after="0"/>
              <w:rPr>
                <w:sz w:val="20"/>
                <w:szCs w:val="20"/>
                <w:color w:val="auto"/>
              </w:rPr>
            </w:pPr>
            <w:r>
              <w:rPr>
                <w:rFonts w:ascii="Arial" w:cs="Arial" w:eastAsia="Arial" w:hAnsi="Arial"/>
                <w:sz w:val="16"/>
                <w:szCs w:val="16"/>
                <w:color w:val="auto"/>
              </w:rPr>
              <w:t>– 5.5x</w:t>
            </w:r>
          </w:p>
        </w:tc>
        <w:tc>
          <w:tcPr>
            <w:tcW w:w="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4.3x</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ind w:left="100"/>
              <w:spacing w:after="0" w:line="162" w:lineRule="exact"/>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4"/>
                <w:szCs w:val="14"/>
                <w:color w:val="auto"/>
              </w:rPr>
            </w:pPr>
          </w:p>
        </w:tc>
        <w:tc>
          <w:tcPr>
            <w:tcW w:w="228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$1.6 million – $2.0 million</w:t>
            </w:r>
          </w:p>
        </w:tc>
        <w:tc>
          <w:tcPr>
            <w:tcW w:w="40" w:type="dxa"/>
            <w:vAlign w:val="bottom"/>
          </w:tcPr>
          <w:p>
            <w:pPr>
              <w:spacing w:after="0"/>
              <w:rPr>
                <w:sz w:val="14"/>
                <w:szCs w:val="14"/>
                <w:color w:val="auto"/>
              </w:rPr>
            </w:pPr>
          </w:p>
        </w:tc>
        <w:tc>
          <w:tcPr>
            <w:tcW w:w="1040" w:type="dxa"/>
            <w:vAlign w:val="bottom"/>
          </w:tcPr>
          <w:p>
            <w:pPr>
              <w:ind w:left="100"/>
              <w:spacing w:after="0" w:line="162" w:lineRule="exact"/>
              <w:rPr>
                <w:sz w:val="20"/>
                <w:szCs w:val="20"/>
                <w:color w:val="auto"/>
              </w:rPr>
            </w:pPr>
            <w:r>
              <w:rPr>
                <w:rFonts w:ascii="Arial" w:cs="Arial" w:eastAsia="Arial" w:hAnsi="Arial"/>
                <w:sz w:val="16"/>
                <w:szCs w:val="16"/>
                <w:color w:val="auto"/>
              </w:rPr>
              <w:t>$1.8 million</w:t>
            </w:r>
          </w:p>
        </w:tc>
        <w:tc>
          <w:tcPr>
            <w:tcW w:w="0" w:type="dxa"/>
            <w:vAlign w:val="bottom"/>
          </w:tcPr>
          <w:p>
            <w:pPr>
              <w:spacing w:after="0"/>
              <w:rPr>
                <w:sz w:val="1"/>
                <w:szCs w:val="1"/>
                <w:color w:val="auto"/>
              </w:rPr>
            </w:pPr>
          </w:p>
        </w:tc>
      </w:tr>
      <w:tr>
        <w:trPr>
          <w:trHeight w:val="202"/>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Waterfall and</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Revenue Multiple</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0.4x</w:t>
            </w:r>
          </w:p>
        </w:tc>
        <w:tc>
          <w:tcPr>
            <w:tcW w:w="1900" w:type="dxa"/>
            <w:vAlign w:val="bottom"/>
          </w:tcPr>
          <w:p>
            <w:pPr>
              <w:ind w:left="20"/>
              <w:spacing w:after="0"/>
              <w:rPr>
                <w:sz w:val="20"/>
                <w:szCs w:val="20"/>
                <w:color w:val="auto"/>
              </w:rPr>
            </w:pPr>
            <w:r>
              <w:rPr>
                <w:rFonts w:ascii="Arial" w:cs="Arial" w:eastAsia="Arial" w:hAnsi="Arial"/>
                <w:sz w:val="16"/>
                <w:szCs w:val="16"/>
                <w:color w:val="auto"/>
              </w:rPr>
              <w:t>– 2.5x</w:t>
            </w:r>
          </w:p>
        </w:tc>
        <w:tc>
          <w:tcPr>
            <w:tcW w:w="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1.5x</w:t>
            </w:r>
          </w:p>
        </w:tc>
        <w:tc>
          <w:tcPr>
            <w:tcW w:w="0" w:type="dxa"/>
            <w:vAlign w:val="bottom"/>
          </w:tcPr>
          <w:p>
            <w:pPr>
              <w:spacing w:after="0"/>
              <w:rPr>
                <w:sz w:val="1"/>
                <w:szCs w:val="1"/>
                <w:color w:val="auto"/>
              </w:rPr>
            </w:pPr>
          </w:p>
        </w:tc>
      </w:tr>
      <w:tr>
        <w:trPr>
          <w:trHeight w:val="244"/>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27.3 million</w:t>
            </w:r>
          </w:p>
        </w:tc>
        <w:tc>
          <w:tcPr>
            <w:tcW w:w="40" w:type="dxa"/>
            <w:vAlign w:val="bottom"/>
          </w:tcPr>
          <w:p>
            <w:pPr>
              <w:spacing w:after="0"/>
              <w:rPr>
                <w:sz w:val="21"/>
                <w:szCs w:val="21"/>
                <w:color w:val="auto"/>
              </w:rPr>
            </w:pPr>
          </w:p>
        </w:tc>
        <w:tc>
          <w:tcPr>
            <w:tcW w:w="1360" w:type="dxa"/>
            <w:vAlign w:val="bottom"/>
          </w:tcPr>
          <w:p>
            <w:pPr>
              <w:ind w:left="80"/>
              <w:spacing w:after="0" w:line="244" w:lineRule="exact"/>
              <w:rPr>
                <w:sz w:val="20"/>
                <w:szCs w:val="20"/>
                <w:color w:val="auto"/>
              </w:rPr>
            </w:pPr>
            <w:r>
              <w:rPr>
                <w:rFonts w:ascii="Arial" w:cs="Arial" w:eastAsia="Arial" w:hAnsi="Arial"/>
                <w:sz w:val="16"/>
                <w:szCs w:val="16"/>
                <w:color w:val="auto"/>
              </w:rPr>
              <w:t>Asset</w:t>
            </w:r>
            <w:r>
              <w:rPr>
                <w:rFonts w:ascii="Arial" w:cs="Arial" w:eastAsia="Arial" w:hAnsi="Arial"/>
                <w:sz w:val="27"/>
                <w:szCs w:val="27"/>
                <w:color w:val="auto"/>
                <w:vertAlign w:val="superscript"/>
              </w:rPr>
              <w:t>(1)</w:t>
            </w:r>
          </w:p>
        </w:tc>
        <w:tc>
          <w:tcPr>
            <w:tcW w:w="40" w:type="dxa"/>
            <w:vAlign w:val="bottom"/>
          </w:tcPr>
          <w:p>
            <w:pPr>
              <w:spacing w:after="0"/>
              <w:rPr>
                <w:sz w:val="21"/>
                <w:szCs w:val="21"/>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Revenue</w:t>
            </w:r>
          </w:p>
        </w:tc>
        <w:tc>
          <w:tcPr>
            <w:tcW w:w="40" w:type="dxa"/>
            <w:vAlign w:val="bottom"/>
          </w:tcPr>
          <w:p>
            <w:pPr>
              <w:spacing w:after="0"/>
              <w:rPr>
                <w:sz w:val="21"/>
                <w:szCs w:val="21"/>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$17.2 million – $39.7 million</w:t>
            </w:r>
          </w:p>
        </w:tc>
        <w:tc>
          <w:tcPr>
            <w:tcW w:w="4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$27.6 million</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Senior secured debt</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Required Rate of Return</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6.8% – 33.3%</w:t>
            </w:r>
          </w:p>
        </w:tc>
        <w:tc>
          <w:tcPr>
            <w:tcW w:w="1080" w:type="dxa"/>
            <w:vAlign w:val="bottom"/>
            <w:gridSpan w:val="2"/>
          </w:tcPr>
          <w:p>
            <w:pPr>
              <w:ind w:left="14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Leverage Ratio</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1.1x</w:t>
            </w:r>
          </w:p>
        </w:tc>
        <w:tc>
          <w:tcPr>
            <w:tcW w:w="1900" w:type="dxa"/>
            <w:vAlign w:val="bottom"/>
          </w:tcPr>
          <w:p>
            <w:pPr>
              <w:ind w:left="20"/>
              <w:spacing w:after="0"/>
              <w:rPr>
                <w:sz w:val="20"/>
                <w:szCs w:val="20"/>
                <w:color w:val="auto"/>
              </w:rPr>
            </w:pPr>
            <w:r>
              <w:rPr>
                <w:rFonts w:ascii="Arial" w:cs="Arial" w:eastAsia="Arial" w:hAnsi="Arial"/>
                <w:sz w:val="16"/>
                <w:szCs w:val="16"/>
                <w:color w:val="auto"/>
              </w:rPr>
              <w:t>– 6.2x</w:t>
            </w:r>
          </w:p>
        </w:tc>
        <w:tc>
          <w:tcPr>
            <w:tcW w:w="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3.7x</w:t>
            </w:r>
          </w:p>
        </w:tc>
        <w:tc>
          <w:tcPr>
            <w:tcW w:w="0" w:type="dxa"/>
            <w:vAlign w:val="bottom"/>
          </w:tcPr>
          <w:p>
            <w:pPr>
              <w:spacing w:after="0"/>
              <w:rPr>
                <w:sz w:val="1"/>
                <w:szCs w:val="1"/>
                <w:color w:val="auto"/>
              </w:rPr>
            </w:pPr>
          </w:p>
        </w:tc>
      </w:tr>
      <w:tr>
        <w:trPr>
          <w:trHeight w:val="203"/>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7"/>
              </w:rPr>
              <w:t>127.8 million</w:t>
            </w: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$1.0 million – $95.4 million</w:t>
            </w:r>
          </w:p>
        </w:tc>
        <w:tc>
          <w:tcPr>
            <w:tcW w:w="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$22.0 million</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Senior secured debt</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Waterfall and</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Revenue Multiple</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0.4x</w:t>
            </w:r>
          </w:p>
        </w:tc>
        <w:tc>
          <w:tcPr>
            <w:tcW w:w="1900" w:type="dxa"/>
            <w:vAlign w:val="bottom"/>
          </w:tcPr>
          <w:p>
            <w:pPr>
              <w:ind w:left="20"/>
              <w:spacing w:after="0"/>
              <w:rPr>
                <w:sz w:val="20"/>
                <w:szCs w:val="20"/>
                <w:color w:val="auto"/>
              </w:rPr>
            </w:pPr>
            <w:r>
              <w:rPr>
                <w:rFonts w:ascii="Arial" w:cs="Arial" w:eastAsia="Arial" w:hAnsi="Arial"/>
                <w:sz w:val="16"/>
                <w:szCs w:val="16"/>
                <w:color w:val="auto"/>
              </w:rPr>
              <w:t>– 2.5x</w:t>
            </w:r>
          </w:p>
        </w:tc>
        <w:tc>
          <w:tcPr>
            <w:tcW w:w="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0.5x</w:t>
            </w:r>
          </w:p>
        </w:tc>
        <w:tc>
          <w:tcPr>
            <w:tcW w:w="0" w:type="dxa"/>
            <w:vAlign w:val="bottom"/>
          </w:tcPr>
          <w:p>
            <w:pPr>
              <w:spacing w:after="0"/>
              <w:rPr>
                <w:sz w:val="1"/>
                <w:szCs w:val="1"/>
                <w:color w:val="auto"/>
              </w:rPr>
            </w:pPr>
          </w:p>
        </w:tc>
      </w:tr>
      <w:tr>
        <w:trPr>
          <w:trHeight w:val="244"/>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18.5 million</w:t>
            </w:r>
          </w:p>
        </w:tc>
        <w:tc>
          <w:tcPr>
            <w:tcW w:w="40" w:type="dxa"/>
            <w:vAlign w:val="bottom"/>
          </w:tcPr>
          <w:p>
            <w:pPr>
              <w:spacing w:after="0"/>
              <w:rPr>
                <w:sz w:val="21"/>
                <w:szCs w:val="21"/>
                <w:color w:val="auto"/>
              </w:rPr>
            </w:pPr>
          </w:p>
        </w:tc>
        <w:tc>
          <w:tcPr>
            <w:tcW w:w="1360" w:type="dxa"/>
            <w:vAlign w:val="bottom"/>
          </w:tcPr>
          <w:p>
            <w:pPr>
              <w:ind w:left="80"/>
              <w:spacing w:after="0" w:line="244" w:lineRule="exact"/>
              <w:rPr>
                <w:sz w:val="20"/>
                <w:szCs w:val="20"/>
                <w:color w:val="auto"/>
              </w:rPr>
            </w:pPr>
            <w:r>
              <w:rPr>
                <w:rFonts w:ascii="Arial" w:cs="Arial" w:eastAsia="Arial" w:hAnsi="Arial"/>
                <w:sz w:val="16"/>
                <w:szCs w:val="16"/>
                <w:color w:val="auto"/>
              </w:rPr>
              <w:t>Asset</w:t>
            </w:r>
            <w:r>
              <w:rPr>
                <w:rFonts w:ascii="Arial" w:cs="Arial" w:eastAsia="Arial" w:hAnsi="Arial"/>
                <w:sz w:val="27"/>
                <w:szCs w:val="27"/>
                <w:color w:val="auto"/>
                <w:vertAlign w:val="superscript"/>
              </w:rPr>
              <w:t>(1)</w:t>
            </w:r>
          </w:p>
        </w:tc>
        <w:tc>
          <w:tcPr>
            <w:tcW w:w="40" w:type="dxa"/>
            <w:vAlign w:val="bottom"/>
          </w:tcPr>
          <w:p>
            <w:pPr>
              <w:spacing w:after="0"/>
              <w:rPr>
                <w:sz w:val="21"/>
                <w:szCs w:val="21"/>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Revenue</w:t>
            </w:r>
          </w:p>
        </w:tc>
        <w:tc>
          <w:tcPr>
            <w:tcW w:w="40" w:type="dxa"/>
            <w:vAlign w:val="bottom"/>
          </w:tcPr>
          <w:p>
            <w:pPr>
              <w:spacing w:after="0"/>
              <w:rPr>
                <w:sz w:val="21"/>
                <w:szCs w:val="21"/>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$17.2 million – $39.7 million</w:t>
            </w:r>
          </w:p>
        </w:tc>
        <w:tc>
          <w:tcPr>
            <w:tcW w:w="4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$37.7 million</w:t>
            </w:r>
          </w:p>
        </w:tc>
        <w:tc>
          <w:tcPr>
            <w:tcW w:w="0" w:type="dxa"/>
            <w:vAlign w:val="bottom"/>
          </w:tcPr>
          <w:p>
            <w:pPr>
              <w:spacing w:after="0"/>
              <w:rPr>
                <w:sz w:val="1"/>
                <w:szCs w:val="1"/>
                <w:color w:val="auto"/>
              </w:rPr>
            </w:pPr>
          </w:p>
        </w:tc>
      </w:tr>
      <w:tr>
        <w:trPr>
          <w:trHeight w:val="203"/>
        </w:trPr>
        <w:tc>
          <w:tcPr>
            <w:tcW w:w="2000" w:type="dxa"/>
            <w:vAlign w:val="bottom"/>
            <w:gridSpan w:val="2"/>
          </w:tcPr>
          <w:p>
            <w:pPr>
              <w:spacing w:after="0"/>
              <w:rPr>
                <w:sz w:val="20"/>
                <w:szCs w:val="20"/>
                <w:color w:val="auto"/>
              </w:rPr>
            </w:pPr>
            <w:r>
              <w:rPr>
                <w:rFonts w:ascii="Arial" w:cs="Arial" w:eastAsia="Arial" w:hAnsi="Arial"/>
                <w:sz w:val="16"/>
                <w:szCs w:val="16"/>
                <w:color w:val="auto"/>
              </w:rPr>
              <w:t>Equity and warrants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Multiple</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w w:val="92"/>
              </w:rPr>
              <w:t>5.0x</w:t>
            </w:r>
          </w:p>
        </w:tc>
        <w:tc>
          <w:tcPr>
            <w:tcW w:w="1900" w:type="dxa"/>
            <w:vAlign w:val="bottom"/>
          </w:tcPr>
          <w:p>
            <w:pPr>
              <w:ind w:left="20"/>
              <w:spacing w:after="0"/>
              <w:rPr>
                <w:sz w:val="20"/>
                <w:szCs w:val="20"/>
                <w:color w:val="auto"/>
              </w:rPr>
            </w:pPr>
            <w:r>
              <w:rPr>
                <w:rFonts w:ascii="Arial" w:cs="Arial" w:eastAsia="Arial" w:hAnsi="Arial"/>
                <w:sz w:val="16"/>
                <w:szCs w:val="16"/>
                <w:color w:val="auto"/>
              </w:rPr>
              <w:t>– 10.5x</w:t>
            </w:r>
          </w:p>
        </w:tc>
        <w:tc>
          <w:tcPr>
            <w:tcW w:w="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7.0x</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Enterprise Value</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Adjusted EBITDA</w:t>
            </w:r>
          </w:p>
        </w:tc>
        <w:tc>
          <w:tcPr>
            <w:tcW w:w="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$1.6 million – $215.3 million</w:t>
            </w:r>
          </w:p>
        </w:tc>
        <w:tc>
          <w:tcPr>
            <w:tcW w:w="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$26.3 million</w:t>
            </w:r>
          </w:p>
        </w:tc>
        <w:tc>
          <w:tcPr>
            <w:tcW w:w="0" w:type="dxa"/>
            <w:vAlign w:val="bottom"/>
          </w:tcPr>
          <w:p>
            <w:pPr>
              <w:spacing w:after="0"/>
              <w:rPr>
                <w:sz w:val="1"/>
                <w:szCs w:val="1"/>
                <w:color w:val="auto"/>
              </w:rPr>
            </w:pPr>
          </w:p>
        </w:tc>
      </w:tr>
      <w:tr>
        <w:trPr>
          <w:trHeight w:val="206"/>
        </w:trPr>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97"/>
              </w:rPr>
              <w:t>100.8 million</w:t>
            </w:r>
          </w:p>
        </w:tc>
        <w:tc>
          <w:tcPr>
            <w:tcW w:w="40" w:type="dxa"/>
            <w:vAlign w:val="bottom"/>
          </w:tcPr>
          <w:p>
            <w:pPr>
              <w:spacing w:after="0"/>
              <w:rPr>
                <w:sz w:val="17"/>
                <w:szCs w:val="17"/>
                <w:color w:val="auto"/>
              </w:rPr>
            </w:pPr>
          </w:p>
        </w:tc>
        <w:tc>
          <w:tcPr>
            <w:tcW w:w="1360" w:type="dxa"/>
            <w:vAlign w:val="bottom"/>
          </w:tcPr>
          <w:p>
            <w:pPr>
              <w:ind w:left="80"/>
              <w:spacing w:after="0"/>
              <w:rPr>
                <w:sz w:val="20"/>
                <w:szCs w:val="20"/>
                <w:color w:val="auto"/>
              </w:rPr>
            </w:pPr>
            <w:r>
              <w:rPr>
                <w:rFonts w:ascii="Arial" w:cs="Arial" w:eastAsia="Arial" w:hAnsi="Arial"/>
                <w:sz w:val="16"/>
                <w:szCs w:val="16"/>
                <w:color w:val="auto"/>
              </w:rPr>
              <w:t>Waterfall</w:t>
            </w:r>
          </w:p>
        </w:tc>
        <w:tc>
          <w:tcPr>
            <w:tcW w:w="40" w:type="dxa"/>
            <w:vAlign w:val="bottom"/>
          </w:tcPr>
          <w:p>
            <w:pPr>
              <w:spacing w:after="0"/>
              <w:rPr>
                <w:sz w:val="17"/>
                <w:szCs w:val="17"/>
                <w:color w:val="auto"/>
              </w:rPr>
            </w:pPr>
          </w:p>
        </w:tc>
        <w:tc>
          <w:tcPr>
            <w:tcW w:w="1880" w:type="dxa"/>
            <w:vAlign w:val="bottom"/>
          </w:tcPr>
          <w:p>
            <w:pPr>
              <w:ind w:left="100"/>
              <w:spacing w:after="0"/>
              <w:rPr>
                <w:sz w:val="20"/>
                <w:szCs w:val="20"/>
                <w:color w:val="auto"/>
              </w:rPr>
            </w:pPr>
            <w:r>
              <w:rPr>
                <w:rFonts w:ascii="Arial" w:cs="Arial" w:eastAsia="Arial" w:hAnsi="Arial"/>
                <w:sz w:val="16"/>
                <w:szCs w:val="16"/>
                <w:color w:val="auto"/>
              </w:rPr>
              <w:t>Transaction Price</w:t>
            </w:r>
          </w:p>
        </w:tc>
        <w:tc>
          <w:tcPr>
            <w:tcW w:w="40" w:type="dxa"/>
            <w:vAlign w:val="bottom"/>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n/a</w:t>
            </w: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172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(1) $12.2 million in subordinated notes and $14.1 million in senior notes were valued using the asset approach.</w:t>
      </w:r>
    </w:p>
    <w:p>
      <w:pPr>
        <w:spacing w:after="0" w:line="117"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The significant unobservable inputs used in the valuation of the Company’s investments are required rate of return, adjusted EBITDA, EBITDA multiples, revenue, revenue multiples, leverage ratio, and transaction prices. Changes in any of these unobservable inputs could have a significant impact on the Company’s estimate of fair value. An increase (decrease) in the required rate of return or leverage will result in a lower (higher) estimate of fair value while an increase (decrease) in adjusted EBITDA, EBITDA multiples, revenue, revenue multiples, or transaction prices will result in a higher (lower) estimate of fair value.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Capitala Senior Liquid Loan Fund I, LLC</w:t>
      </w:r>
    </w:p>
    <w:p>
      <w:pPr>
        <w:spacing w:after="0" w:line="117"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On March 24, 2015, Capitala and Trinity Universal Insurance Company (“Trinity”), a subsidiary of Kemper Corporation (“Kemper”), entered into a limited liability company agreement to co-manage Capitala Senior Liquid Loan Fund I, LLC. The purpose and design of the joint venture is to invest primarily in broadly syndicated senior secured loans to larger middle-market companies, which will be purchased on the secondary market. Capitala and Trinity have committed to provide $25.0 million of equity to CSLLF, with Capitala providing $20.0 million and Trinity providing $5.0 million, resulting in an 80%/20% economic ownership between the two parties. The board of directors and investment committee of CSLLF are split 50/50 between Trinity and Capitala, resulting in equal voting power between the two entities.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2015, $20.0 million and $5.0 million in capital had been contributed by Capitala and Trinity, respectively.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Company’s investment in CSLLF is not redeemable; as such, the fair value of CSLLF is classified as a Level 3 measurement.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the year ended December 31, 2015, the Company received $0.9 million in dividend income from its equity interest in CSLLF.</w:t>
      </w:r>
    </w:p>
    <w:p>
      <w:pPr>
        <w:spacing w:after="0" w:line="200" w:lineRule="exact"/>
        <w:rPr>
          <w:sz w:val="20"/>
          <w:szCs w:val="20"/>
          <w:color w:val="auto"/>
        </w:rPr>
      </w:pPr>
    </w:p>
    <w:p>
      <w:pPr>
        <w:spacing w:after="0" w:line="37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On March 27, 2015, CSLLF entered into a total return swap (“TRS”) with Bank of America, N.A. (“Bank of America”) that is indexed to a basket of senior secured loans purchased by CSLLF. CSLLF will obtain the economic benefit of the loans underlying the TRS, including the net interest spread between the interest income generated by the underlying loans and the interest expense type payment under the TRS, the realized gain/(loss) on liquidated loans, and the unrealized appreciation/(depreciation) on the underlying loans.</w:t>
      </w:r>
    </w:p>
    <w:p>
      <w:pPr>
        <w:spacing w:after="0" w:line="80"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The terms of the TRS are governed by an ISDA 2002 Master Agreement, the Schedule thereto and Credit Support Annex to such Schedule, and the confirmation exchanged thereunder, between CSLLF and Bank of America, which collectively establish the TRS, and are collectively referred to herein as the “TRS Agreement.” Pursuant to the terms of the TRS Agreement, CSLLF may select a portfolio of loans with a maximum market value (determined at the time each such loan becomes subject to the TRS) of $100,000,000, which is also referred to as the maximum notional amount of the TRS. Each individual loan, and the portfolio of loans taken as a whole, must meet criteria described in the TRS Agreement. CSLLF receives from Bank of America, a periodic payment on set dates that is based upon any coupons, both earned and accrued, generated by the loans underlying the TRS, subject to limitations described in the TRS Agreement as well as any fees associated with the loans included in the portfolio. CSLLF pays to Bank of America interest at a rate equal to LIBOR plus 1.25% per annum; the LIBOR option paid by CSLLF is determined on an asset by asset basis such that the tenor of the LIBOR option (1 month, 3 month, etc.) matches the tenor of the underlying reference asset. In addition, upon the termination of any loan subject to the TRS or any repayment of the underlying reference asset, CSLLF either receives from Bank of America, the appreciation in the value of such loan, or pays to Bank of America any depreciation in the value of such loan.</w:t>
      </w:r>
    </w:p>
    <w:p>
      <w:pPr>
        <w:spacing w:after="0" w:line="80"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CSLLF is required to pay an unused facility fee of 1.25% on any amount of unused facility under the minimum facility amount of $70,000,000 as outlined in the TRS agreement. Such unused facility fee will not apply during the first 4 months and last 60 days of the term of the TRS. CSLLF will also pay Bank of America customary fees and expenses in connection with the establishment and maintenance of the TRS.</w:t>
      </w:r>
    </w:p>
    <w:p>
      <w:pPr>
        <w:spacing w:after="0" w:line="79"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color w:val="auto"/>
        </w:rPr>
        <w:t>CSLLF is required to initially cash collateralize a specified percentage of each loan (generally 20% to 35% of the market value of senior secured loans) included under the TRS in accordance with margin requirements described in the TRS Agreement. As of December 31, 2015, CSLLF has posted $19.1 million in collateral to Bank of America in relation to the TRS which is recorded on CSLLF’s statements of assets and liabilities as cash held as collateral on total return swap. CSLLF may be required to post additional collateral as a result of a decline in the mark-to-market value of the portfolio of loans subject to the TRS. The $19.1 million in cash collateral represents CSLLF’s maximum credit exposure as of December 31, 2015.</w:t>
      </w:r>
    </w:p>
    <w:p>
      <w:pPr>
        <w:spacing w:after="0" w:line="70"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In connection with the TRS, CSLLF has made customary representations and warranties and is required to comply with various covenants, reporting requirements and other customary requirements for similar transactions governed by an ISDA 2002 Master Agreement. As of December 31, 2015, CSLLF is in compliance with regards to any covenants or requirements of the TRS.</w:t>
      </w:r>
    </w:p>
    <w:p>
      <w:pPr>
        <w:spacing w:after="0" w:line="39"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CSLLF’s receivable due on total return swap represents realized amounts from payments on underlying loans in the total return swap portfolio. At December 31, 2015, the receivable due on total return swap was $0.5 million and is recorded on CSLLF’s statements of assets and liabilities below. CSLLF does not offset collateral posted in relation to the TRS with any unrealized appreciation or depreciation outstanding in the statements of assets and liabilities as of December 31, 2015.</w:t>
      </w:r>
    </w:p>
    <w:p>
      <w:pPr>
        <w:spacing w:after="0" w:line="200" w:lineRule="exact"/>
        <w:rPr>
          <w:sz w:val="20"/>
          <w:szCs w:val="20"/>
          <w:color w:val="auto"/>
        </w:rPr>
      </w:pPr>
    </w:p>
    <w:p>
      <w:pPr>
        <w:spacing w:after="0" w:line="3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3" w:name="page124"/>
    <w:bookmarkEnd w:id="12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121" w:lineRule="exact"/>
        <w:rPr>
          <w:sz w:val="20"/>
          <w:szCs w:val="20"/>
          <w:color w:val="auto"/>
        </w:rPr>
      </w:pPr>
    </w:p>
    <w:p>
      <w:pPr>
        <w:ind w:left="60" w:right="799" w:firstLine="270"/>
        <w:spacing w:after="0" w:line="277" w:lineRule="auto"/>
        <w:rPr>
          <w:sz w:val="20"/>
          <w:szCs w:val="20"/>
          <w:color w:val="auto"/>
        </w:rPr>
      </w:pPr>
      <w:r>
        <w:rPr>
          <w:rFonts w:ascii="Arial" w:cs="Arial" w:eastAsia="Arial" w:hAnsi="Arial"/>
          <w:sz w:val="18"/>
          <w:szCs w:val="18"/>
          <w:color w:val="auto"/>
        </w:rPr>
        <w:t>Transactions in TRS contracts during the year ended December 31, 2015 resulted in $1.4 million in realized gains and $(2.8) million in unrealized depreciation which is recorded on CSLLF’s statements of operations below.</w:t>
      </w:r>
    </w:p>
    <w:p>
      <w:pPr>
        <w:spacing w:after="0" w:line="62" w:lineRule="exact"/>
        <w:rPr>
          <w:sz w:val="20"/>
          <w:szCs w:val="20"/>
          <w:color w:val="auto"/>
        </w:rPr>
      </w:pPr>
    </w:p>
    <w:p>
      <w:pPr>
        <w:ind w:left="60" w:right="699" w:firstLine="270"/>
        <w:spacing w:after="0" w:line="259" w:lineRule="auto"/>
        <w:rPr>
          <w:sz w:val="20"/>
          <w:szCs w:val="20"/>
          <w:color w:val="auto"/>
        </w:rPr>
      </w:pPr>
      <w:r>
        <w:rPr>
          <w:rFonts w:ascii="Arial" w:cs="Arial" w:eastAsia="Arial" w:hAnsi="Arial"/>
          <w:sz w:val="18"/>
          <w:szCs w:val="18"/>
          <w:color w:val="auto"/>
        </w:rPr>
        <w:t>CSLLF only held one derivative position as of December 31, 2015 and the derivative held is subject to a netting arrangement. The following table represents CSLLF’s gross and net amounts after offset under Master Agreements (“MA”) of the derivative assets and liabilities presented by the derivative type net of the related collateral pledged by the CSLLF as of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1398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5"/>
              <w:spacing w:after="0"/>
              <w:rPr>
                <w:sz w:val="20"/>
                <w:szCs w:val="20"/>
                <w:color w:val="auto"/>
              </w:rPr>
            </w:pPr>
            <w:r>
              <w:rPr>
                <w:rFonts w:ascii="Arial" w:cs="Arial" w:eastAsia="Arial" w:hAnsi="Arial"/>
                <w:sz w:val="14"/>
                <w:szCs w:val="14"/>
                <w:b w:val="1"/>
                <w:bCs w:val="1"/>
                <w:color w:val="auto"/>
                <w:w w:val="95"/>
              </w:rPr>
              <w:t>Net 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Gross Derivative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Cash</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Assets/(Liabilities)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7"/>
              </w:rPr>
              <w:t>Collateral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5"/>
              </w:rPr>
              <w:t>of 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Subject to MA</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Offset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Received</w:t>
            </w:r>
          </w:p>
        </w:tc>
        <w:tc>
          <w:tcPr>
            <w:tcW w:w="10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Assets/(Liabilities)</w:t>
            </w:r>
          </w:p>
        </w:tc>
        <w:tc>
          <w:tcPr>
            <w:tcW w:w="0" w:type="dxa"/>
            <w:vAlign w:val="bottom"/>
          </w:tcPr>
          <w:p>
            <w:pPr>
              <w:spacing w:after="0"/>
              <w:rPr>
                <w:sz w:val="1"/>
                <w:szCs w:val="1"/>
                <w:color w:val="auto"/>
              </w:rPr>
            </w:pPr>
          </w:p>
        </w:tc>
      </w:tr>
      <w:tr>
        <w:trPr>
          <w:trHeight w:val="169"/>
        </w:trPr>
        <w:tc>
          <w:tcPr>
            <w:tcW w:w="2500" w:type="dxa"/>
            <w:vAlign w:val="bottom"/>
            <w:gridSpan w:val="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December 31, 2015</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Total Return Swap</w:t>
            </w:r>
            <w:r>
              <w:rPr>
                <w:rFonts w:ascii="Arial" w:cs="Arial" w:eastAsia="Arial" w:hAnsi="Arial"/>
                <w:sz w:val="30"/>
                <w:szCs w:val="30"/>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(2,828)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45"/>
              <w:spacing w:after="0"/>
              <w:rPr>
                <w:sz w:val="20"/>
                <w:szCs w:val="20"/>
                <w:color w:val="auto"/>
              </w:rPr>
            </w:pPr>
            <w:r>
              <w:rPr>
                <w:rFonts w:ascii="Arial" w:cs="Arial" w:eastAsia="Arial" w:hAnsi="Arial"/>
                <w:sz w:val="18"/>
                <w:szCs w:val="18"/>
                <w:color w:val="auto"/>
              </w:rPr>
              <w:t>(2,828)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2"/>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ind w:left="300" w:right="679" w:hanging="272"/>
        <w:spacing w:after="0" w:line="277"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was posted for initial margin requirements for the total return swap as of December 31, 2015 and is reported on CSLLF’s statements of assets and liabilities as cash collateral on total return swap.</w:t>
      </w:r>
    </w:p>
    <w:p>
      <w:pPr>
        <w:spacing w:after="0" w:line="62"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The following represents the volume of the CSLLF’s derivative transactions during the year ended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8" w:lineRule="exact"/>
        <w:rPr>
          <w:sz w:val="20"/>
          <w:szCs w:val="20"/>
          <w:color w:val="auto"/>
        </w:rPr>
      </w:pPr>
    </w:p>
    <w:p>
      <w:pPr>
        <w:jc w:val="center"/>
        <w:ind w:left="2560"/>
        <w:spacing w:after="0"/>
        <w:rPr>
          <w:sz w:val="20"/>
          <w:szCs w:val="20"/>
          <w:color w:val="auto"/>
        </w:rPr>
      </w:pPr>
      <w:r>
        <w:rPr>
          <w:rFonts w:ascii="Arial" w:cs="Arial" w:eastAsia="Arial" w:hAnsi="Arial"/>
          <w:sz w:val="14"/>
          <w:szCs w:val="14"/>
          <w:b w:val="1"/>
          <w:bCs w:val="1"/>
          <w:color w:val="auto"/>
        </w:rPr>
        <w:t>For the year ended</w:t>
      </w:r>
    </w:p>
    <w:p>
      <w:pPr>
        <w:jc w:val="center"/>
        <w:ind w:left="2560"/>
        <w:spacing w:after="0"/>
        <w:rPr>
          <w:sz w:val="20"/>
          <w:szCs w:val="20"/>
          <w:color w:val="auto"/>
        </w:rPr>
      </w:pPr>
      <w:r>
        <w:rPr>
          <w:rFonts w:ascii="Arial" w:cs="Arial" w:eastAsia="Arial" w:hAnsi="Arial"/>
          <w:sz w:val="14"/>
          <w:szCs w:val="14"/>
          <w:b w:val="1"/>
          <w:bCs w:val="1"/>
          <w:color w:val="auto"/>
        </w:rPr>
        <w:t>December 31,</w:t>
      </w:r>
    </w:p>
    <w:p>
      <w:pPr>
        <w:ind w:left="6660"/>
        <w:spacing w:after="0" w:line="184" w:lineRule="auto"/>
        <w:rPr>
          <w:sz w:val="20"/>
          <w:szCs w:val="20"/>
          <w:color w:val="auto"/>
        </w:rPr>
      </w:pPr>
      <w:r>
        <w:rPr>
          <w:rFonts w:ascii="Arial" w:cs="Arial" w:eastAsia="Arial" w:hAnsi="Arial"/>
          <w:sz w:val="14"/>
          <w:szCs w:val="14"/>
          <w:b w:val="1"/>
          <w:bCs w:val="1"/>
          <w:color w:val="auto"/>
        </w:rPr>
        <w:t>2015</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4751070"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ind w:left="20"/>
        <w:spacing w:after="0"/>
        <w:tabs>
          <w:tab w:leader="none" w:pos="6220" w:val="left"/>
          <w:tab w:leader="none" w:pos="6840" w:val="left"/>
        </w:tabs>
        <w:rPr>
          <w:sz w:val="20"/>
          <w:szCs w:val="20"/>
          <w:color w:val="auto"/>
        </w:rPr>
      </w:pPr>
      <w:r>
        <w:rPr>
          <w:rFonts w:ascii="Arial" w:cs="Arial" w:eastAsia="Arial" w:hAnsi="Arial"/>
          <w:sz w:val="18"/>
          <w:szCs w:val="18"/>
          <w:color w:val="auto"/>
        </w:rPr>
        <w:t>Average notional par amount of contract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61,306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176530</wp:posOffset>
            </wp:positionV>
            <wp:extent cx="6172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Average calculated from period of TRS inception, March 27, 2015 to December 31, 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TRS reference assets as of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1747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118110</wp:posOffset>
            </wp:positionV>
            <wp:extent cx="617474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ind w:left="340"/>
              <w:spacing w:after="0"/>
              <w:rPr>
                <w:sz w:val="20"/>
                <w:szCs w:val="20"/>
                <w:color w:val="auto"/>
              </w:rPr>
            </w:pPr>
            <w:r>
              <w:rPr>
                <w:rFonts w:ascii="Arial" w:cs="Arial" w:eastAsia="Arial" w:hAnsi="Arial"/>
                <w:sz w:val="13"/>
                <w:szCs w:val="13"/>
                <w:b w:val="1"/>
                <w:bCs w:val="1"/>
                <w:color w:val="auto"/>
              </w:rPr>
              <w:t>Current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ind w:right="85"/>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Unrealized</w:t>
            </w:r>
          </w:p>
        </w:tc>
        <w:tc>
          <w:tcPr>
            <w:tcW w:w="0" w:type="dxa"/>
            <w:vAlign w:val="bottom"/>
          </w:tcPr>
          <w:p>
            <w:pPr>
              <w:spacing w:after="0"/>
              <w:rPr>
                <w:sz w:val="1"/>
                <w:szCs w:val="1"/>
                <w:color w:val="auto"/>
              </w:rPr>
            </w:pPr>
          </w:p>
        </w:tc>
      </w:tr>
      <w:tr>
        <w:trPr>
          <w:trHeight w:val="105"/>
        </w:trPr>
        <w:tc>
          <w:tcPr>
            <w:tcW w:w="10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5"/>
              </w:rPr>
              <w:t>Portfolio Company</w:t>
            </w:r>
          </w:p>
        </w:tc>
        <w:tc>
          <w:tcPr>
            <w:tcW w:w="1580" w:type="dxa"/>
            <w:vAlign w:val="bottom"/>
          </w:tcPr>
          <w:p>
            <w:pPr>
              <w:jc w:val="right"/>
              <w:ind w:right="1408"/>
              <w:spacing w:after="0" w:line="106" w:lineRule="exact"/>
              <w:rPr>
                <w:sz w:val="20"/>
                <w:szCs w:val="20"/>
                <w:color w:val="auto"/>
              </w:rPr>
            </w:pPr>
            <w:r>
              <w:rPr>
                <w:rFonts w:ascii="Arial" w:cs="Arial" w:eastAsia="Arial" w:hAnsi="Arial"/>
                <w:sz w:val="10"/>
                <w:szCs w:val="10"/>
                <w:b w:val="1"/>
                <w:bCs w:val="1"/>
                <w:color w:val="auto"/>
                <w:w w:val="81"/>
              </w:rPr>
              <w:t>(4)</w:t>
            </w:r>
          </w:p>
        </w:tc>
        <w:tc>
          <w:tcPr>
            <w:tcW w:w="40" w:type="dxa"/>
            <w:vAlign w:val="bottom"/>
          </w:tcPr>
          <w:p>
            <w:pPr>
              <w:spacing w:after="0"/>
              <w:rPr>
                <w:sz w:val="9"/>
                <w:szCs w:val="9"/>
                <w:color w:val="auto"/>
              </w:rPr>
            </w:pPr>
          </w:p>
        </w:tc>
        <w:tc>
          <w:tcPr>
            <w:tcW w:w="250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Business Description</w:t>
            </w:r>
          </w:p>
        </w:tc>
        <w:tc>
          <w:tcPr>
            <w:tcW w:w="40" w:type="dxa"/>
            <w:vAlign w:val="bottom"/>
          </w:tcPr>
          <w:p>
            <w:pPr>
              <w:spacing w:after="0"/>
              <w:rPr>
                <w:sz w:val="9"/>
                <w:szCs w:val="9"/>
                <w:color w:val="auto"/>
              </w:rPr>
            </w:pPr>
          </w:p>
        </w:tc>
        <w:tc>
          <w:tcPr>
            <w:tcW w:w="10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Maturity Date</w:t>
            </w: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86"/>
              </w:rPr>
              <w:t>Interest Rate</w:t>
            </w:r>
          </w:p>
        </w:tc>
        <w:tc>
          <w:tcPr>
            <w:tcW w:w="260" w:type="dxa"/>
            <w:vAlign w:val="bottom"/>
          </w:tcPr>
          <w:p>
            <w:pPr>
              <w:jc w:val="right"/>
              <w:ind w:right="88"/>
              <w:spacing w:after="0" w:line="106" w:lineRule="exact"/>
              <w:rPr>
                <w:sz w:val="20"/>
                <w:szCs w:val="20"/>
                <w:color w:val="auto"/>
              </w:rPr>
            </w:pPr>
            <w:r>
              <w:rPr>
                <w:rFonts w:ascii="Arial" w:cs="Arial" w:eastAsia="Arial" w:hAnsi="Arial"/>
                <w:sz w:val="10"/>
                <w:szCs w:val="10"/>
                <w:b w:val="1"/>
                <w:bCs w:val="1"/>
                <w:color w:val="auto"/>
                <w:w w:val="81"/>
              </w:rPr>
              <w:t>(2)</w:t>
            </w:r>
          </w:p>
        </w:tc>
        <w:tc>
          <w:tcPr>
            <w:tcW w:w="4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4"/>
              </w:rPr>
              <w:t>Principal</w:t>
            </w:r>
          </w:p>
        </w:tc>
        <w:tc>
          <w:tcPr>
            <w:tcW w:w="50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Cost</w:t>
            </w:r>
          </w:p>
        </w:tc>
        <w:tc>
          <w:tcPr>
            <w:tcW w:w="540" w:type="dxa"/>
            <w:vAlign w:val="bottom"/>
            <w:gridSpan w:val="2"/>
          </w:tcPr>
          <w:p>
            <w:pPr>
              <w:jc w:val="right"/>
              <w:spacing w:after="0" w:line="106" w:lineRule="exact"/>
              <w:rPr>
                <w:sz w:val="20"/>
                <w:szCs w:val="20"/>
                <w:color w:val="auto"/>
              </w:rPr>
            </w:pPr>
            <w:r>
              <w:rPr>
                <w:rFonts w:ascii="Arial" w:cs="Arial" w:eastAsia="Arial" w:hAnsi="Arial"/>
                <w:sz w:val="10"/>
                <w:szCs w:val="10"/>
                <w:b w:val="1"/>
                <w:bCs w:val="1"/>
                <w:color w:val="auto"/>
              </w:rPr>
              <w:t>(1)</w:t>
            </w: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jc w:val="right"/>
              <w:ind w:right="105"/>
              <w:spacing w:after="0" w:line="81" w:lineRule="exact"/>
              <w:rPr>
                <w:sz w:val="20"/>
                <w:szCs w:val="20"/>
                <w:color w:val="auto"/>
              </w:rPr>
            </w:pPr>
            <w:r>
              <w:rPr>
                <w:rFonts w:ascii="Arial" w:cs="Arial" w:eastAsia="Arial" w:hAnsi="Arial"/>
                <w:sz w:val="9"/>
                <w:szCs w:val="9"/>
                <w:b w:val="1"/>
                <w:bCs w:val="1"/>
                <w:color w:val="auto"/>
              </w:rPr>
              <w:t>Value</w:t>
            </w:r>
          </w:p>
        </w:tc>
        <w:tc>
          <w:tcPr>
            <w:tcW w:w="40" w:type="dxa"/>
            <w:vAlign w:val="bottom"/>
          </w:tcPr>
          <w:p>
            <w:pPr>
              <w:spacing w:after="0"/>
              <w:rPr>
                <w:sz w:val="7"/>
                <w:szCs w:val="7"/>
                <w:color w:val="auto"/>
              </w:rPr>
            </w:pPr>
          </w:p>
        </w:tc>
        <w:tc>
          <w:tcPr>
            <w:tcW w:w="68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Gain/(Loss)</w:t>
            </w:r>
          </w:p>
        </w:tc>
        <w:tc>
          <w:tcPr>
            <w:tcW w:w="0" w:type="dxa"/>
            <w:vAlign w:val="bottom"/>
          </w:tcPr>
          <w:p>
            <w:pPr>
              <w:spacing w:after="0"/>
              <w:rPr>
                <w:sz w:val="1"/>
                <w:szCs w:val="1"/>
                <w:color w:val="auto"/>
              </w:rPr>
            </w:pPr>
          </w:p>
        </w:tc>
      </w:tr>
      <w:tr>
        <w:trPr>
          <w:trHeight w:val="123"/>
        </w:trPr>
        <w:tc>
          <w:tcPr>
            <w:tcW w:w="2620" w:type="dxa"/>
            <w:vAlign w:val="bottom"/>
            <w:tcBorders>
              <w:top w:val="single" w:sz="8" w:color="auto"/>
            </w:tcBorders>
            <w:gridSpan w:val="2"/>
            <w:shd w:val="clear" w:color="auto" w:fill="CCEEFF"/>
          </w:tcPr>
          <w:p>
            <w:pPr>
              <w:ind w:left="20"/>
              <w:spacing w:after="0" w:line="123" w:lineRule="exact"/>
              <w:rPr>
                <w:sz w:val="20"/>
                <w:szCs w:val="20"/>
                <w:color w:val="auto"/>
              </w:rPr>
            </w:pPr>
            <w:r>
              <w:rPr>
                <w:rFonts w:ascii="Arial" w:cs="Arial" w:eastAsia="Arial" w:hAnsi="Arial"/>
                <w:sz w:val="14"/>
                <w:szCs w:val="14"/>
                <w:color w:val="auto"/>
              </w:rPr>
              <w:t>21st Century Oncology, Inc.</w:t>
            </w:r>
          </w:p>
        </w:tc>
        <w:tc>
          <w:tcPr>
            <w:tcW w:w="40" w:type="dxa"/>
            <w:vAlign w:val="bottom"/>
            <w:shd w:val="clear" w:color="auto" w:fill="CCEEFF"/>
          </w:tcPr>
          <w:p>
            <w:pPr>
              <w:spacing w:after="0"/>
              <w:rPr>
                <w:sz w:val="10"/>
                <w:szCs w:val="10"/>
                <w:color w:val="auto"/>
              </w:rPr>
            </w:pPr>
          </w:p>
        </w:tc>
        <w:tc>
          <w:tcPr>
            <w:tcW w:w="25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00" w:type="dxa"/>
            <w:vAlign w:val="bottom"/>
            <w:tcBorders>
              <w:top w:val="single" w:sz="8" w:color="auto"/>
            </w:tcBorders>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Libor + 5.5%,</w:t>
            </w:r>
          </w:p>
        </w:tc>
        <w:tc>
          <w:tcPr>
            <w:tcW w:w="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Healthcare, Education and Childcare</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April, 2022</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 floor</w:t>
            </w:r>
          </w:p>
        </w:tc>
        <w:tc>
          <w:tcPr>
            <w:tcW w:w="2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1,990</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1,662</w:t>
            </w:r>
          </w:p>
        </w:tc>
        <w:tc>
          <w:tcPr>
            <w:tcW w:w="720" w:type="dxa"/>
            <w:vAlign w:val="bottom"/>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62"/>
        </w:trPr>
        <w:tc>
          <w:tcPr>
            <w:tcW w:w="2620" w:type="dxa"/>
            <w:vAlign w:val="bottom"/>
            <w:gridSpan w:val="2"/>
          </w:tcPr>
          <w:p>
            <w:pPr>
              <w:ind w:left="20"/>
              <w:spacing w:after="0" w:line="162" w:lineRule="exact"/>
              <w:rPr>
                <w:sz w:val="20"/>
                <w:szCs w:val="20"/>
                <w:color w:val="auto"/>
              </w:rPr>
            </w:pPr>
            <w:r>
              <w:rPr>
                <w:rFonts w:ascii="Arial" w:cs="Arial" w:eastAsia="Arial" w:hAnsi="Arial"/>
                <w:sz w:val="12"/>
                <w:szCs w:val="12"/>
                <w:color w:val="auto"/>
              </w:rPr>
              <w:t>ABG Intermediate Holdings 2, LLC</w:t>
            </w:r>
            <w:r>
              <w:rPr>
                <w:rFonts w:ascii="Arial" w:cs="Arial" w:eastAsia="Arial" w:hAnsi="Arial"/>
                <w:sz w:val="18"/>
                <w:szCs w:val="18"/>
                <w:color w:val="auto"/>
                <w:vertAlign w:val="superscript"/>
              </w:rPr>
              <w:t>(5)</w:t>
            </w:r>
          </w:p>
        </w:tc>
        <w:tc>
          <w:tcPr>
            <w:tcW w:w="40" w:type="dxa"/>
            <w:vAlign w:val="bottom"/>
          </w:tcPr>
          <w:p>
            <w:pPr>
              <w:spacing w:after="0"/>
              <w:rPr>
                <w:sz w:val="14"/>
                <w:szCs w:val="14"/>
                <w:color w:val="auto"/>
              </w:rPr>
            </w:pPr>
          </w:p>
        </w:tc>
        <w:tc>
          <w:tcPr>
            <w:tcW w:w="2500" w:type="dxa"/>
            <w:vAlign w:val="bottom"/>
            <w:vMerge w:val="restart"/>
          </w:tcPr>
          <w:p>
            <w:pPr>
              <w:ind w:left="80"/>
              <w:spacing w:after="0"/>
              <w:rPr>
                <w:sz w:val="20"/>
                <w:szCs w:val="20"/>
                <w:color w:val="auto"/>
              </w:rPr>
            </w:pPr>
            <w:r>
              <w:rPr>
                <w:rFonts w:ascii="Arial" w:cs="Arial" w:eastAsia="Arial" w:hAnsi="Arial"/>
                <w:sz w:val="14"/>
                <w:szCs w:val="14"/>
                <w:color w:val="auto"/>
              </w:rPr>
              <w:t>Textiles and Leather</w:t>
            </w:r>
          </w:p>
        </w:tc>
        <w:tc>
          <w:tcPr>
            <w:tcW w:w="40" w:type="dxa"/>
            <w:vAlign w:val="bottom"/>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color w:val="auto"/>
              </w:rPr>
              <w:t>May, 2021</w:t>
            </w:r>
          </w:p>
        </w:tc>
        <w:tc>
          <w:tcPr>
            <w:tcW w:w="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Libor + 4.5%,</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color w:val="auto"/>
              </w:rPr>
              <w:t>1,733</w:t>
            </w:r>
          </w:p>
        </w:tc>
        <w:tc>
          <w:tcPr>
            <w:tcW w:w="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1,715</w:t>
            </w:r>
          </w:p>
        </w:tc>
        <w:tc>
          <w:tcPr>
            <w:tcW w:w="540" w:type="dxa"/>
            <w:vAlign w:val="bottom"/>
            <w:gridSpan w:val="2"/>
            <w:vMerge w:val="restart"/>
          </w:tcPr>
          <w:p>
            <w:pPr>
              <w:jc w:val="right"/>
              <w:ind w:right="5"/>
              <w:spacing w:after="0"/>
              <w:rPr>
                <w:sz w:val="20"/>
                <w:szCs w:val="20"/>
                <w:color w:val="auto"/>
              </w:rPr>
            </w:pPr>
            <w:r>
              <w:rPr>
                <w:rFonts w:ascii="Arial" w:cs="Arial" w:eastAsia="Arial" w:hAnsi="Arial"/>
                <w:sz w:val="14"/>
                <w:szCs w:val="14"/>
                <w:color w:val="auto"/>
              </w:rPr>
              <w:t>1,698</w:t>
            </w:r>
          </w:p>
        </w:tc>
        <w:tc>
          <w:tcPr>
            <w:tcW w:w="720" w:type="dxa"/>
            <w:vAlign w:val="bottom"/>
            <w:gridSpan w:val="2"/>
            <w:vMerge w:val="restart"/>
          </w:tcPr>
          <w:p>
            <w:pPr>
              <w:jc w:val="right"/>
              <w:ind w:right="56"/>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American Rock Salt Company, LLC</w:t>
            </w:r>
          </w:p>
        </w:tc>
        <w:tc>
          <w:tcPr>
            <w:tcW w:w="40" w:type="dxa"/>
            <w:vAlign w:val="bottom"/>
            <w:shd w:val="clear" w:color="auto" w:fill="CCEEFF"/>
          </w:tcPr>
          <w:p>
            <w:pPr>
              <w:spacing w:after="0"/>
              <w:rPr>
                <w:sz w:val="11"/>
                <w:szCs w:val="11"/>
                <w:color w:val="auto"/>
              </w:rPr>
            </w:pPr>
          </w:p>
        </w:tc>
        <w:tc>
          <w:tcPr>
            <w:tcW w:w="25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Mining, Steel, Iron and Non Precious</w:t>
            </w: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Libor + 3.75%,</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Metals</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May, 2021</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 floor</w:t>
            </w:r>
          </w:p>
        </w:tc>
        <w:tc>
          <w:tcPr>
            <w:tcW w:w="2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1,892</w:t>
            </w:r>
          </w:p>
        </w:tc>
        <w:tc>
          <w:tcPr>
            <w:tcW w:w="720" w:type="dxa"/>
            <w:vAlign w:val="bottom"/>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0"/>
        </w:trPr>
        <w:tc>
          <w:tcPr>
            <w:tcW w:w="262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Anchor Glass Container Corp</w:t>
            </w:r>
          </w:p>
        </w:tc>
        <w:tc>
          <w:tcPr>
            <w:tcW w:w="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Libor + 3.50%,</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Arial" w:cs="Arial" w:eastAsia="Arial" w:hAnsi="Arial"/>
                <w:sz w:val="14"/>
                <w:szCs w:val="14"/>
                <w:color w:val="auto"/>
              </w:rPr>
              <w:t>Containers, Packaging and Glass</w:t>
            </w:r>
          </w:p>
        </w:tc>
        <w:tc>
          <w:tcPr>
            <w:tcW w:w="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4"/>
                <w:szCs w:val="14"/>
                <w:color w:val="auto"/>
              </w:rPr>
              <w:t>July, 2022</w:t>
            </w:r>
          </w:p>
        </w:tc>
        <w:tc>
          <w:tcPr>
            <w:tcW w:w="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482</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479</w:t>
            </w:r>
          </w:p>
        </w:tc>
        <w:tc>
          <w:tcPr>
            <w:tcW w:w="540" w:type="dxa"/>
            <w:vAlign w:val="bottom"/>
            <w:gridSpan w:val="2"/>
          </w:tcPr>
          <w:p>
            <w:pPr>
              <w:jc w:val="right"/>
              <w:ind w:right="5"/>
              <w:spacing w:after="0"/>
              <w:rPr>
                <w:sz w:val="20"/>
                <w:szCs w:val="20"/>
                <w:color w:val="auto"/>
              </w:rPr>
            </w:pPr>
            <w:r>
              <w:rPr>
                <w:rFonts w:ascii="Arial" w:cs="Arial" w:eastAsia="Arial" w:hAnsi="Arial"/>
                <w:sz w:val="14"/>
                <w:szCs w:val="14"/>
                <w:color w:val="auto"/>
              </w:rPr>
              <w:t>479</w:t>
            </w:r>
          </w:p>
        </w:tc>
        <w:tc>
          <w:tcPr>
            <w:tcW w:w="40" w:type="dxa"/>
            <w:vAlign w:val="bottom"/>
          </w:tcPr>
          <w:p>
            <w:pPr>
              <w:spacing w:after="0"/>
              <w:rPr>
                <w:sz w:val="14"/>
                <w:szCs w:val="14"/>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Ardent Legacy Acquisitions, Inc.</w:t>
            </w:r>
          </w:p>
        </w:tc>
        <w:tc>
          <w:tcPr>
            <w:tcW w:w="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Libor + 5.5%,</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Healthcare, Education and Childcare</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August, 2021</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 floor</w:t>
            </w:r>
          </w:p>
        </w:tc>
        <w:tc>
          <w:tcPr>
            <w:tcW w:w="2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1,995</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1,975</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62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Aspen Dental Management, Inc.</w:t>
            </w:r>
          </w:p>
        </w:tc>
        <w:tc>
          <w:tcPr>
            <w:tcW w:w="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Libor + 4.5%,</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Arial" w:cs="Arial" w:eastAsia="Arial" w:hAnsi="Arial"/>
                <w:sz w:val="14"/>
                <w:szCs w:val="14"/>
                <w:color w:val="auto"/>
              </w:rPr>
              <w:t>Healthcare, Education and Childcare</w:t>
            </w:r>
          </w:p>
        </w:tc>
        <w:tc>
          <w:tcPr>
            <w:tcW w:w="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4"/>
                <w:szCs w:val="14"/>
                <w:color w:val="auto"/>
              </w:rPr>
              <w:t>April, 2022</w:t>
            </w:r>
          </w:p>
        </w:tc>
        <w:tc>
          <w:tcPr>
            <w:tcW w:w="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1,493</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1,485</w:t>
            </w:r>
          </w:p>
        </w:tc>
        <w:tc>
          <w:tcPr>
            <w:tcW w:w="540" w:type="dxa"/>
            <w:vAlign w:val="bottom"/>
            <w:gridSpan w:val="2"/>
          </w:tcPr>
          <w:p>
            <w:pPr>
              <w:jc w:val="right"/>
              <w:ind w:right="5"/>
              <w:spacing w:after="0"/>
              <w:rPr>
                <w:sz w:val="20"/>
                <w:szCs w:val="20"/>
                <w:color w:val="auto"/>
              </w:rPr>
            </w:pPr>
            <w:r>
              <w:rPr>
                <w:rFonts w:ascii="Arial" w:cs="Arial" w:eastAsia="Arial" w:hAnsi="Arial"/>
                <w:sz w:val="14"/>
                <w:szCs w:val="14"/>
                <w:color w:val="auto"/>
              </w:rPr>
              <w:t>1,487</w:t>
            </w:r>
          </w:p>
        </w:tc>
        <w:tc>
          <w:tcPr>
            <w:tcW w:w="720" w:type="dxa"/>
            <w:vAlign w:val="bottom"/>
            <w:gridSpan w:val="2"/>
          </w:tcPr>
          <w:p>
            <w:pPr>
              <w:jc w:val="right"/>
              <w:ind w:right="116"/>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Asurion, LLC</w:t>
            </w: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Libor + 4.0%,</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Insurance</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August, 2022</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 floor</w:t>
            </w:r>
          </w:p>
        </w:tc>
        <w:tc>
          <w:tcPr>
            <w:tcW w:w="2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2,239</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2,043</w:t>
            </w:r>
          </w:p>
        </w:tc>
        <w:tc>
          <w:tcPr>
            <w:tcW w:w="720" w:type="dxa"/>
            <w:vAlign w:val="bottom"/>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30"/>
        </w:trPr>
        <w:tc>
          <w:tcPr>
            <w:tcW w:w="262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Bass Pro Group, LLC</w:t>
            </w:r>
          </w:p>
        </w:tc>
        <w:tc>
          <w:tcPr>
            <w:tcW w:w="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Libor + 3.25%,</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Arial" w:cs="Arial" w:eastAsia="Arial" w:hAnsi="Arial"/>
                <w:sz w:val="14"/>
                <w:szCs w:val="14"/>
                <w:color w:val="auto"/>
              </w:rPr>
              <w:t>Retail Stores</w:t>
            </w:r>
          </w:p>
        </w:tc>
        <w:tc>
          <w:tcPr>
            <w:tcW w:w="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4"/>
                <w:szCs w:val="14"/>
                <w:color w:val="auto"/>
              </w:rPr>
              <w:t>June, 2020</w:t>
            </w:r>
          </w:p>
        </w:tc>
        <w:tc>
          <w:tcPr>
            <w:tcW w:w="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.75% floor</w:t>
            </w:r>
          </w:p>
        </w:tc>
        <w:tc>
          <w:tcPr>
            <w:tcW w:w="2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992</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989</w:t>
            </w:r>
          </w:p>
        </w:tc>
        <w:tc>
          <w:tcPr>
            <w:tcW w:w="540" w:type="dxa"/>
            <w:vAlign w:val="bottom"/>
            <w:gridSpan w:val="2"/>
          </w:tcPr>
          <w:p>
            <w:pPr>
              <w:jc w:val="right"/>
              <w:ind w:right="5"/>
              <w:spacing w:after="0"/>
              <w:rPr>
                <w:sz w:val="20"/>
                <w:szCs w:val="20"/>
                <w:color w:val="auto"/>
              </w:rPr>
            </w:pPr>
            <w:r>
              <w:rPr>
                <w:rFonts w:ascii="Arial" w:cs="Arial" w:eastAsia="Arial" w:hAnsi="Arial"/>
                <w:sz w:val="14"/>
                <w:szCs w:val="14"/>
                <w:color w:val="auto"/>
              </w:rPr>
              <w:t>951</w:t>
            </w:r>
          </w:p>
        </w:tc>
        <w:tc>
          <w:tcPr>
            <w:tcW w:w="720" w:type="dxa"/>
            <w:vAlign w:val="bottom"/>
            <w:gridSpan w:val="2"/>
          </w:tcPr>
          <w:p>
            <w:pPr>
              <w:jc w:val="right"/>
              <w:ind w:right="56"/>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10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Belk, Inc.</w:t>
            </w: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Libor + 4.75%,</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Retail Stores</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4"/>
              </w:rPr>
              <w:t>December, 2022</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 floor</w:t>
            </w:r>
          </w:p>
        </w:tc>
        <w:tc>
          <w:tcPr>
            <w:tcW w:w="2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1,758</w:t>
            </w:r>
          </w:p>
        </w:tc>
        <w:tc>
          <w:tcPr>
            <w:tcW w:w="720" w:type="dxa"/>
            <w:vAlign w:val="bottom"/>
            <w:gridSpan w:val="2"/>
            <w:shd w:val="clear" w:color="auto" w:fill="CCEEFF"/>
          </w:tcPr>
          <w:p>
            <w:pPr>
              <w:jc w:val="right"/>
              <w:ind w:right="56"/>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262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Bioplan USA, Inc.</w:t>
            </w:r>
          </w:p>
        </w:tc>
        <w:tc>
          <w:tcPr>
            <w:tcW w:w="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Libor + 4.75%,</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Arial" w:cs="Arial" w:eastAsia="Arial" w:hAnsi="Arial"/>
                <w:sz w:val="14"/>
                <w:szCs w:val="14"/>
                <w:color w:val="auto"/>
              </w:rPr>
              <w:t>Diversified/Conglomerate Service</w:t>
            </w:r>
          </w:p>
        </w:tc>
        <w:tc>
          <w:tcPr>
            <w:tcW w:w="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4"/>
                <w:szCs w:val="14"/>
                <w:color w:val="auto"/>
                <w:w w:val="91"/>
              </w:rPr>
              <w:t>September, 2021</w:t>
            </w:r>
          </w:p>
        </w:tc>
        <w:tc>
          <w:tcPr>
            <w:tcW w:w="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992</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843</w:t>
            </w:r>
          </w:p>
        </w:tc>
        <w:tc>
          <w:tcPr>
            <w:tcW w:w="540" w:type="dxa"/>
            <w:vAlign w:val="bottom"/>
            <w:gridSpan w:val="2"/>
          </w:tcPr>
          <w:p>
            <w:pPr>
              <w:jc w:val="right"/>
              <w:ind w:right="5"/>
              <w:spacing w:after="0"/>
              <w:rPr>
                <w:sz w:val="20"/>
                <w:szCs w:val="20"/>
                <w:color w:val="auto"/>
              </w:rPr>
            </w:pPr>
            <w:r>
              <w:rPr>
                <w:rFonts w:ascii="Arial" w:cs="Arial" w:eastAsia="Arial" w:hAnsi="Arial"/>
                <w:sz w:val="14"/>
                <w:szCs w:val="14"/>
                <w:color w:val="auto"/>
              </w:rPr>
              <w:t>831</w:t>
            </w:r>
          </w:p>
        </w:tc>
        <w:tc>
          <w:tcPr>
            <w:tcW w:w="720" w:type="dxa"/>
            <w:vAlign w:val="bottom"/>
            <w:gridSpan w:val="2"/>
          </w:tcPr>
          <w:p>
            <w:pPr>
              <w:jc w:val="right"/>
              <w:ind w:right="56"/>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62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Blue Coat Systems, Inc.</w:t>
            </w:r>
          </w:p>
        </w:tc>
        <w:tc>
          <w:tcPr>
            <w:tcW w:w="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Libor + 3.5%,</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Electronics</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May, 2022</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 floor</w:t>
            </w:r>
          </w:p>
        </w:tc>
        <w:tc>
          <w:tcPr>
            <w:tcW w:w="2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1,928</w:t>
            </w:r>
          </w:p>
        </w:tc>
        <w:tc>
          <w:tcPr>
            <w:tcW w:w="720" w:type="dxa"/>
            <w:vAlign w:val="bottom"/>
            <w:gridSpan w:val="2"/>
            <w:shd w:val="clear" w:color="auto" w:fill="CCEEFF"/>
          </w:tcPr>
          <w:p>
            <w:pPr>
              <w:jc w:val="right"/>
              <w:ind w:right="116"/>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617474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61747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w:t>
      </w:r>
      <w:r>
        <w:rPr>
          <w:rFonts w:ascii="Arial" w:cs="Arial" w:eastAsia="Arial" w:hAnsi="Arial"/>
          <w:sz w:val="20"/>
          <w:szCs w:val="20"/>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16554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Brock Holdings III, Inc.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CDS U.S. Intermediate Holdings,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Chelsea Petroleum Products I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Communications Sales &amp; Leasing,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Concordia Healthcare Corp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Convatec Healthcare E S.A.</w:t>
      </w:r>
    </w:p>
    <w:p>
      <w:pPr>
        <w:spacing w:after="0" w:line="136" w:lineRule="exact"/>
        <w:rPr>
          <w:sz w:val="20"/>
          <w:szCs w:val="20"/>
          <w:color w:val="auto"/>
        </w:rPr>
      </w:pPr>
    </w:p>
    <w:p>
      <w:pPr>
        <w:ind w:right="20"/>
        <w:spacing w:after="0" w:line="442" w:lineRule="auto"/>
        <w:rPr>
          <w:sz w:val="20"/>
          <w:szCs w:val="20"/>
          <w:color w:val="auto"/>
        </w:rPr>
      </w:pPr>
      <w:r>
        <w:rPr>
          <w:rFonts w:ascii="Arial" w:cs="Arial" w:eastAsia="Arial" w:hAnsi="Arial"/>
          <w:sz w:val="14"/>
          <w:szCs w:val="14"/>
          <w:color w:val="auto"/>
        </w:rPr>
        <w:t>Emerging Markets Communications, LLC Eresearch Technology, Inc.</w:t>
      </w:r>
    </w:p>
    <w:p>
      <w:pPr>
        <w:spacing w:after="0" w:line="1" w:lineRule="exact"/>
        <w:rPr>
          <w:sz w:val="20"/>
          <w:szCs w:val="20"/>
          <w:color w:val="auto"/>
        </w:rPr>
      </w:pPr>
    </w:p>
    <w:p>
      <w:pPr>
        <w:ind w:right="660"/>
        <w:spacing w:after="0" w:line="442" w:lineRule="auto"/>
        <w:rPr>
          <w:sz w:val="20"/>
          <w:szCs w:val="20"/>
          <w:color w:val="auto"/>
        </w:rPr>
      </w:pPr>
      <w:r>
        <w:rPr>
          <w:rFonts w:ascii="Arial" w:cs="Arial" w:eastAsia="Arial" w:hAnsi="Arial"/>
          <w:sz w:val="14"/>
          <w:szCs w:val="14"/>
          <w:color w:val="auto"/>
        </w:rPr>
        <w:t>Genoa Healthcare Group, LLC Hostess Brands, Inc.</w:t>
      </w:r>
    </w:p>
    <w:p>
      <w:pPr>
        <w:spacing w:after="0" w:line="1" w:lineRule="exact"/>
        <w:rPr>
          <w:sz w:val="20"/>
          <w:szCs w:val="20"/>
          <w:color w:val="auto"/>
        </w:rPr>
      </w:pPr>
    </w:p>
    <w:p>
      <w:pPr>
        <w:ind w:right="1040"/>
        <w:spacing w:after="0" w:line="435" w:lineRule="auto"/>
        <w:rPr>
          <w:sz w:val="20"/>
          <w:szCs w:val="20"/>
          <w:color w:val="auto"/>
        </w:rPr>
      </w:pPr>
      <w:r>
        <w:rPr>
          <w:rFonts w:ascii="Arial" w:cs="Arial" w:eastAsia="Arial" w:hAnsi="Arial"/>
          <w:sz w:val="13"/>
          <w:szCs w:val="13"/>
          <w:color w:val="auto"/>
        </w:rPr>
        <w:t>IMG Worldwide, Inc. Infiltrator Systems, Inc. Informatica Corporation Integra Telecom, Inc. JILL Holdings, LLC LPL Holdings, Inc</w:t>
      </w:r>
      <w:r>
        <w:rPr>
          <w:rFonts w:ascii="Arial" w:cs="Arial" w:eastAsia="Arial" w:hAnsi="Arial"/>
          <w:sz w:val="21"/>
          <w:szCs w:val="21"/>
          <w:color w:val="auto"/>
          <w:vertAlign w:val="superscript"/>
        </w:rPr>
        <w:t>(3)</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LS Deco, LLC</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LTF Merger Sub,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Mitel Networks Corp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Mohegan Tribal Gaming Authority</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Navios Maritime Midstream Partners, LP</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Novelis,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Penn Products Terminals, LLC</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Pharmaceutical Product Development Inc.</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Securus Technologies,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Skillsoft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Sterigenics-Nordion Holdings,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STG-Fairway Acquisitions, Inc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Tekni-Plex Incorporated</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ind w:left="340"/>
              <w:spacing w:after="0"/>
              <w:rPr>
                <w:sz w:val="20"/>
                <w:szCs w:val="20"/>
                <w:color w:val="auto"/>
              </w:rPr>
            </w:pPr>
            <w:r>
              <w:rPr>
                <w:rFonts w:ascii="Arial" w:cs="Arial" w:eastAsia="Arial" w:hAnsi="Arial"/>
                <w:sz w:val="13"/>
                <w:szCs w:val="13"/>
                <w:b w:val="1"/>
                <w:bCs w:val="1"/>
                <w:color w:val="auto"/>
              </w:rPr>
              <w:t>Current</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right"/>
              <w:ind w:right="85"/>
              <w:spacing w:after="0"/>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Unrealized</w:t>
            </w:r>
          </w:p>
        </w:tc>
        <w:tc>
          <w:tcPr>
            <w:tcW w:w="0" w:type="dxa"/>
            <w:vAlign w:val="bottom"/>
          </w:tcPr>
          <w:p>
            <w:pPr>
              <w:spacing w:after="0"/>
              <w:rPr>
                <w:sz w:val="1"/>
                <w:szCs w:val="1"/>
                <w:color w:val="auto"/>
              </w:rPr>
            </w:pPr>
          </w:p>
        </w:tc>
      </w:tr>
      <w:tr>
        <w:trPr>
          <w:trHeight w:val="105"/>
        </w:trPr>
        <w:tc>
          <w:tcPr>
            <w:tcW w:w="250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Business Description</w:t>
            </w:r>
          </w:p>
        </w:tc>
        <w:tc>
          <w:tcPr>
            <w:tcW w:w="40" w:type="dxa"/>
            <w:vAlign w:val="bottom"/>
          </w:tcPr>
          <w:p>
            <w:pPr>
              <w:spacing w:after="0"/>
              <w:rPr>
                <w:sz w:val="9"/>
                <w:szCs w:val="9"/>
                <w:color w:val="auto"/>
              </w:rPr>
            </w:pPr>
          </w:p>
        </w:tc>
        <w:tc>
          <w:tcPr>
            <w:tcW w:w="10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Maturity Date</w:t>
            </w: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86"/>
              </w:rPr>
              <w:t>Interest Rate</w:t>
            </w:r>
          </w:p>
        </w:tc>
        <w:tc>
          <w:tcPr>
            <w:tcW w:w="260" w:type="dxa"/>
            <w:vAlign w:val="bottom"/>
          </w:tcPr>
          <w:p>
            <w:pPr>
              <w:jc w:val="right"/>
              <w:ind w:right="88"/>
              <w:spacing w:after="0" w:line="106" w:lineRule="exact"/>
              <w:rPr>
                <w:sz w:val="20"/>
                <w:szCs w:val="20"/>
                <w:color w:val="auto"/>
              </w:rPr>
            </w:pPr>
            <w:r>
              <w:rPr>
                <w:rFonts w:ascii="Arial" w:cs="Arial" w:eastAsia="Arial" w:hAnsi="Arial"/>
                <w:sz w:val="10"/>
                <w:szCs w:val="10"/>
                <w:b w:val="1"/>
                <w:bCs w:val="1"/>
                <w:color w:val="auto"/>
                <w:w w:val="81"/>
              </w:rPr>
              <w:t>(2)</w:t>
            </w:r>
          </w:p>
        </w:tc>
        <w:tc>
          <w:tcPr>
            <w:tcW w:w="4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4"/>
              </w:rPr>
              <w:t>Principal</w:t>
            </w:r>
          </w:p>
        </w:tc>
        <w:tc>
          <w:tcPr>
            <w:tcW w:w="500" w:type="dxa"/>
            <w:vAlign w:val="bottom"/>
            <w:vMerge w:val="restart"/>
          </w:tcPr>
          <w:p>
            <w:pPr>
              <w:jc w:val="right"/>
              <w:ind w:right="48"/>
              <w:spacing w:after="0"/>
              <w:rPr>
                <w:sz w:val="20"/>
                <w:szCs w:val="20"/>
                <w:color w:val="auto"/>
              </w:rPr>
            </w:pPr>
            <w:r>
              <w:rPr>
                <w:rFonts w:ascii="Arial" w:cs="Arial" w:eastAsia="Arial" w:hAnsi="Arial"/>
                <w:sz w:val="13"/>
                <w:szCs w:val="13"/>
                <w:b w:val="1"/>
                <w:bCs w:val="1"/>
                <w:color w:val="auto"/>
              </w:rPr>
              <w:t>Cost</w:t>
            </w:r>
          </w:p>
        </w:tc>
        <w:tc>
          <w:tcPr>
            <w:tcW w:w="540" w:type="dxa"/>
            <w:vAlign w:val="bottom"/>
            <w:gridSpan w:val="2"/>
          </w:tcPr>
          <w:p>
            <w:pPr>
              <w:jc w:val="right"/>
              <w:spacing w:after="0" w:line="106" w:lineRule="exact"/>
              <w:rPr>
                <w:sz w:val="20"/>
                <w:szCs w:val="20"/>
                <w:color w:val="auto"/>
              </w:rPr>
            </w:pPr>
            <w:r>
              <w:rPr>
                <w:rFonts w:ascii="Arial" w:cs="Arial" w:eastAsia="Arial" w:hAnsi="Arial"/>
                <w:sz w:val="10"/>
                <w:szCs w:val="10"/>
                <w:b w:val="1"/>
                <w:bCs w:val="1"/>
                <w:color w:val="auto"/>
              </w:rPr>
              <w:t>(1)</w:t>
            </w: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jc w:val="right"/>
              <w:ind w:right="105"/>
              <w:spacing w:after="0" w:line="81" w:lineRule="exact"/>
              <w:rPr>
                <w:sz w:val="20"/>
                <w:szCs w:val="20"/>
                <w:color w:val="auto"/>
              </w:rPr>
            </w:pPr>
            <w:r>
              <w:rPr>
                <w:rFonts w:ascii="Arial" w:cs="Arial" w:eastAsia="Arial" w:hAnsi="Arial"/>
                <w:sz w:val="9"/>
                <w:szCs w:val="9"/>
                <w:b w:val="1"/>
                <w:bCs w:val="1"/>
                <w:color w:val="auto"/>
              </w:rPr>
              <w:t>Value</w:t>
            </w:r>
          </w:p>
        </w:tc>
        <w:tc>
          <w:tcPr>
            <w:tcW w:w="40" w:type="dxa"/>
            <w:vAlign w:val="bottom"/>
          </w:tcPr>
          <w:p>
            <w:pPr>
              <w:spacing w:after="0"/>
              <w:rPr>
                <w:sz w:val="7"/>
                <w:szCs w:val="7"/>
                <w:color w:val="auto"/>
              </w:rPr>
            </w:pPr>
          </w:p>
        </w:tc>
        <w:tc>
          <w:tcPr>
            <w:tcW w:w="68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Gain/(Loss)</w:t>
            </w:r>
          </w:p>
        </w:tc>
        <w:tc>
          <w:tcPr>
            <w:tcW w:w="0" w:type="dxa"/>
            <w:vAlign w:val="bottom"/>
          </w:tcPr>
          <w:p>
            <w:pPr>
              <w:spacing w:after="0"/>
              <w:rPr>
                <w:sz w:val="1"/>
                <w:szCs w:val="1"/>
                <w:color w:val="auto"/>
              </w:rPr>
            </w:pPr>
          </w:p>
        </w:tc>
      </w:tr>
      <w:tr>
        <w:trPr>
          <w:trHeight w:val="123"/>
        </w:trPr>
        <w:tc>
          <w:tcPr>
            <w:tcW w:w="2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Borders>
              <w:top w:val="single" w:sz="8" w:color="auto"/>
            </w:tcBorders>
            <w:gridSpan w:val="2"/>
          </w:tcPr>
          <w:p>
            <w:pPr>
              <w:ind w:left="80"/>
              <w:spacing w:after="0" w:line="123" w:lineRule="exact"/>
              <w:rPr>
                <w:sz w:val="20"/>
                <w:szCs w:val="20"/>
                <w:color w:val="auto"/>
              </w:rPr>
            </w:pPr>
            <w:r>
              <w:rPr>
                <w:rFonts w:ascii="Arial" w:cs="Arial" w:eastAsia="Arial" w:hAnsi="Arial"/>
                <w:sz w:val="14"/>
                <w:szCs w:val="14"/>
                <w:color w:val="auto"/>
              </w:rPr>
              <w:t>Libor + 4.5%,</w:t>
            </w: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Buildings and Real Estate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March, 2017</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1.5%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1,488</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1,480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1,383</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+ 4.0%,</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Leisure, Amusement, Entertainment</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July,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997</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995</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940</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Oil &amp; Gas</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October,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485</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+ 4.0%,</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Finance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October,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1,950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1,838</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 Childcare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October, 2021</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958</w:t>
            </w:r>
          </w:p>
        </w:tc>
        <w:tc>
          <w:tcPr>
            <w:tcW w:w="7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+ 3.25%,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 Childcare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June, 2020</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1,988</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1,951</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+ 5.75%,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July, 2021</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2,487</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2,450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2,332</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 Childcare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2,487</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2,475</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2,434</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+ 3.5%,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 Childcare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1,980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1,930</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+ 3.5%,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Beverage, Food and Tobacco</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August,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1,990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1,983</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Leisure, Amusement, Entertainment</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May, 2021</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1,995</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1,953</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Containers, Packaging and Glass</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988</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+ 3.5%,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Electronics</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August,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2,494</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2,489</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2,394</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August, 2020</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2,977</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2,963</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2,873</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+ 5.0%,</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Retail Stores</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1,985</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1,905</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+ 4.00%,</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Finance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w w:val="94"/>
              </w:rPr>
              <w:t>November,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.75%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1,485</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1,466</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Buildings and Real Estate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1,375</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1,361</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1,334</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+ 3.25%,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Leisure, Amusement, Entertainment</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June,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1,493</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1,488</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1,452</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April,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2,985</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2,955</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2,951</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Leisure, Amusement, Entertainment</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w w:val="94"/>
              </w:rPr>
              <w:t>November, 2019</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1,929</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1,927</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1,881</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Cargo Transport</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June, 2020</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1,970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1,964</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Mining, Steel, Iron and Non Precious</w:t>
            </w: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+ 3.25%,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Metals</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June,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.75%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2,488</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2,475</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2,369</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+ 3.75%,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Cargo Transport</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April,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744</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696</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+ 3.25%,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 Childcare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August,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1,980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1,930</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April, 2020</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1,980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1,425</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+ 4.75%,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Electronics</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April, 2021</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1,970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1,672</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+ 3.25%,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Healthcare, Education and Childcare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May,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1,990</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1,935</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+ 5.25%,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80"/>
              <w:spacing w:after="0" w:line="149" w:lineRule="exact"/>
              <w:rPr>
                <w:sz w:val="20"/>
                <w:szCs w:val="20"/>
                <w:color w:val="auto"/>
              </w:rPr>
            </w:pPr>
            <w:r>
              <w:rPr>
                <w:rFonts w:ascii="Arial" w:cs="Arial" w:eastAsia="Arial" w:hAnsi="Arial"/>
                <w:sz w:val="14"/>
                <w:szCs w:val="14"/>
                <w:color w:val="auto"/>
              </w:rPr>
              <w:t>Diversified/Conglomerate Service</w:t>
            </w:r>
          </w:p>
        </w:tc>
        <w:tc>
          <w:tcPr>
            <w:tcW w:w="40" w:type="dxa"/>
            <w:vAlign w:val="bottom"/>
          </w:tcPr>
          <w:p>
            <w:pPr>
              <w:spacing w:after="0"/>
              <w:rPr>
                <w:sz w:val="12"/>
                <w:szCs w:val="12"/>
                <w:color w:val="auto"/>
              </w:rPr>
            </w:pPr>
          </w:p>
        </w:tc>
        <w:tc>
          <w:tcPr>
            <w:tcW w:w="1060" w:type="dxa"/>
            <w:vAlign w:val="bottom"/>
          </w:tcPr>
          <w:p>
            <w:pPr>
              <w:ind w:left="60"/>
              <w:spacing w:after="0" w:line="149" w:lineRule="exact"/>
              <w:rPr>
                <w:sz w:val="20"/>
                <w:szCs w:val="20"/>
                <w:color w:val="auto"/>
              </w:rPr>
            </w:pPr>
            <w:r>
              <w:rPr>
                <w:rFonts w:ascii="Arial" w:cs="Arial" w:eastAsia="Arial" w:hAnsi="Arial"/>
                <w:sz w:val="14"/>
                <w:szCs w:val="14"/>
                <w:color w:val="auto"/>
              </w:rPr>
              <w:t>June, 2022</w:t>
            </w:r>
          </w:p>
        </w:tc>
        <w:tc>
          <w:tcPr>
            <w:tcW w:w="40" w:type="dxa"/>
            <w:vAlign w:val="bottom"/>
          </w:tcPr>
          <w:p>
            <w:pPr>
              <w:spacing w:after="0"/>
              <w:rPr>
                <w:sz w:val="12"/>
                <w:szCs w:val="12"/>
                <w:color w:val="auto"/>
              </w:rPr>
            </w:pPr>
          </w:p>
        </w:tc>
        <w:tc>
          <w:tcPr>
            <w:tcW w:w="840" w:type="dxa"/>
            <w:vAlign w:val="bottom"/>
          </w:tcPr>
          <w:p>
            <w:pPr>
              <w:ind w:left="80"/>
              <w:spacing w:after="0" w:line="149" w:lineRule="exact"/>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2,486</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2,449</w:t>
            </w:r>
          </w:p>
        </w:tc>
        <w:tc>
          <w:tcPr>
            <w:tcW w:w="540" w:type="dxa"/>
            <w:vAlign w:val="bottom"/>
            <w:gridSpan w:val="2"/>
          </w:tcPr>
          <w:p>
            <w:pPr>
              <w:jc w:val="right"/>
              <w:ind w:right="5"/>
              <w:spacing w:after="0" w:line="149" w:lineRule="exact"/>
              <w:rPr>
                <w:sz w:val="20"/>
                <w:szCs w:val="20"/>
                <w:color w:val="auto"/>
              </w:rPr>
            </w:pPr>
            <w:r>
              <w:rPr>
                <w:rFonts w:ascii="Arial" w:cs="Arial" w:eastAsia="Arial" w:hAnsi="Arial"/>
                <w:sz w:val="14"/>
                <w:szCs w:val="14"/>
                <w:color w:val="auto"/>
              </w:rPr>
              <w:t>2,430</w:t>
            </w:r>
          </w:p>
        </w:tc>
        <w:tc>
          <w:tcPr>
            <w:tcW w:w="7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+ 3.5%,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00" w:type="dxa"/>
            <w:vAlign w:val="bottom"/>
          </w:tcPr>
          <w:p>
            <w:pPr>
              <w:ind w:left="80"/>
              <w:spacing w:after="0"/>
              <w:rPr>
                <w:sz w:val="20"/>
                <w:szCs w:val="20"/>
                <w:color w:val="auto"/>
              </w:rPr>
            </w:pPr>
            <w:r>
              <w:rPr>
                <w:rFonts w:ascii="Arial" w:cs="Arial" w:eastAsia="Arial" w:hAnsi="Arial"/>
                <w:sz w:val="14"/>
                <w:szCs w:val="14"/>
                <w:color w:val="auto"/>
              </w:rPr>
              <w:t>Containers, Packaging and Glass</w:t>
            </w:r>
          </w:p>
        </w:tc>
        <w:tc>
          <w:tcPr>
            <w:tcW w:w="4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4"/>
                <w:szCs w:val="14"/>
                <w:color w:val="auto"/>
              </w:rPr>
              <w:t>June, 2022</w:t>
            </w:r>
          </w:p>
        </w:tc>
        <w:tc>
          <w:tcPr>
            <w:tcW w:w="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 floor</w:t>
            </w:r>
          </w:p>
        </w:tc>
        <w:tc>
          <w:tcPr>
            <w:tcW w:w="2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2,487</w:t>
            </w:r>
          </w:p>
        </w:tc>
        <w:tc>
          <w:tcPr>
            <w:tcW w:w="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2,475</w:t>
            </w:r>
          </w:p>
        </w:tc>
        <w:tc>
          <w:tcPr>
            <w:tcW w:w="540" w:type="dxa"/>
            <w:vAlign w:val="bottom"/>
            <w:gridSpan w:val="2"/>
          </w:tcPr>
          <w:p>
            <w:pPr>
              <w:jc w:val="right"/>
              <w:ind w:right="5"/>
              <w:spacing w:after="0"/>
              <w:rPr>
                <w:sz w:val="20"/>
                <w:szCs w:val="20"/>
                <w:color w:val="auto"/>
              </w:rPr>
            </w:pPr>
            <w:r>
              <w:rPr>
                <w:rFonts w:ascii="Arial" w:cs="Arial" w:eastAsia="Arial" w:hAnsi="Arial"/>
                <w:sz w:val="14"/>
                <w:szCs w:val="14"/>
                <w:color w:val="auto"/>
              </w:rPr>
              <w:t>2,475</w:t>
            </w:r>
          </w:p>
        </w:tc>
        <w:tc>
          <w:tcPr>
            <w:tcW w:w="40" w:type="dxa"/>
            <w:vAlign w:val="bottom"/>
          </w:tcPr>
          <w:p>
            <w:pPr>
              <w:spacing w:after="0"/>
              <w:rPr>
                <w:sz w:val="15"/>
                <w:szCs w:val="15"/>
                <w:color w:val="auto"/>
              </w:rPr>
            </w:pPr>
          </w:p>
        </w:tc>
        <w:tc>
          <w:tcPr>
            <w:tcW w:w="680" w:type="dxa"/>
            <w:vAlign w:val="bottom"/>
          </w:tcPr>
          <w:p>
            <w:pPr>
              <w:jc w:val="right"/>
              <w:ind w:right="1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-5480050</wp:posOffset>
            </wp:positionV>
            <wp:extent cx="617474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-5102860</wp:posOffset>
            </wp:positionV>
            <wp:extent cx="617474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-4725670</wp:posOffset>
            </wp:positionV>
            <wp:extent cx="617474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-4348480</wp:posOffset>
            </wp:positionV>
            <wp:extent cx="617474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-3970655</wp:posOffset>
            </wp:positionV>
            <wp:extent cx="6174740" cy="1885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-3593465</wp:posOffset>
            </wp:positionV>
            <wp:extent cx="6174740" cy="188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-3216275</wp:posOffset>
            </wp:positionV>
            <wp:extent cx="6174740"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-2839085</wp:posOffset>
            </wp:positionV>
            <wp:extent cx="6174740"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-2461260</wp:posOffset>
            </wp:positionV>
            <wp:extent cx="6174740"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-2084070</wp:posOffset>
            </wp:positionV>
            <wp:extent cx="617474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-1706880</wp:posOffset>
            </wp:positionV>
            <wp:extent cx="6174740" cy="1885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-1329690</wp:posOffset>
            </wp:positionV>
            <wp:extent cx="6174740" cy="1885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-952500</wp:posOffset>
            </wp:positionV>
            <wp:extent cx="617474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-574675</wp:posOffset>
            </wp:positionV>
            <wp:extent cx="6174740"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174740" cy="188595"/>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-197485</wp:posOffset>
            </wp:positionV>
            <wp:extent cx="617474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7474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200"/>
            <w:col w:w="7439"/>
          </w:cols>
          <w:pgMar w:left="380" w:top="792" w:right="1440" w:bottom="1440" w:gutter="0" w:footer="0" w:header="0"/>
          <w:type w:val="continuous"/>
        </w:sect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120015</wp:posOffset>
            </wp:positionV>
            <wp:extent cx="6114415" cy="596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25" w:name="page126"/>
    <w:bookmarkEnd w:id="125"/>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-41910</wp:posOffset>
            </wp:positionV>
            <wp:extent cx="622617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51435</wp:posOffset>
            </wp:positionV>
            <wp:extent cx="622617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ind w:left="340"/>
              <w:spacing w:after="0"/>
              <w:rPr>
                <w:sz w:val="20"/>
                <w:szCs w:val="20"/>
                <w:color w:val="auto"/>
              </w:rPr>
            </w:pPr>
            <w:r>
              <w:rPr>
                <w:rFonts w:ascii="Arial" w:cs="Arial" w:eastAsia="Arial" w:hAnsi="Arial"/>
                <w:sz w:val="13"/>
                <w:szCs w:val="13"/>
                <w:b w:val="1"/>
                <w:bCs w:val="1"/>
                <w:color w:val="auto"/>
              </w:rPr>
              <w:t>Current</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b w:val="1"/>
                <w:bCs w:val="1"/>
                <w:color w:val="auto"/>
              </w:rPr>
              <w:t>Fair</w:t>
            </w:r>
          </w:p>
        </w:tc>
        <w:tc>
          <w:tcPr>
            <w:tcW w:w="680" w:type="dxa"/>
            <w:vAlign w:val="bottom"/>
            <w:gridSpan w:val="3"/>
            <w:vMerge w:val="restart"/>
          </w:tcPr>
          <w:p>
            <w:pPr>
              <w:jc w:val="right"/>
              <w:ind w:right="40"/>
              <w:spacing w:after="0"/>
              <w:rPr>
                <w:sz w:val="20"/>
                <w:szCs w:val="20"/>
                <w:color w:val="auto"/>
              </w:rPr>
            </w:pPr>
            <w:r>
              <w:rPr>
                <w:rFonts w:ascii="Arial" w:cs="Arial" w:eastAsia="Arial" w:hAnsi="Arial"/>
                <w:sz w:val="13"/>
                <w:szCs w:val="13"/>
                <w:b w:val="1"/>
                <w:bCs w:val="1"/>
                <w:color w:val="auto"/>
                <w:w w:val="94"/>
              </w:rPr>
              <w:t>Unrealized</w:t>
            </w:r>
          </w:p>
        </w:tc>
        <w:tc>
          <w:tcPr>
            <w:tcW w:w="0" w:type="dxa"/>
            <w:vAlign w:val="bottom"/>
          </w:tcPr>
          <w:p>
            <w:pPr>
              <w:spacing w:after="0"/>
              <w:rPr>
                <w:sz w:val="1"/>
                <w:szCs w:val="1"/>
                <w:color w:val="auto"/>
              </w:rPr>
            </w:pPr>
          </w:p>
        </w:tc>
      </w:tr>
      <w:tr>
        <w:trPr>
          <w:trHeight w:val="105"/>
        </w:trPr>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85"/>
              </w:rPr>
              <w:t>Portfolio Company</w:t>
            </w:r>
          </w:p>
        </w:tc>
        <w:tc>
          <w:tcPr>
            <w:tcW w:w="1580" w:type="dxa"/>
            <w:vAlign w:val="bottom"/>
          </w:tcPr>
          <w:p>
            <w:pPr>
              <w:jc w:val="right"/>
              <w:ind w:right="1408"/>
              <w:spacing w:after="0" w:line="106" w:lineRule="exact"/>
              <w:rPr>
                <w:sz w:val="20"/>
                <w:szCs w:val="20"/>
                <w:color w:val="auto"/>
              </w:rPr>
            </w:pPr>
            <w:r>
              <w:rPr>
                <w:rFonts w:ascii="Arial" w:cs="Arial" w:eastAsia="Arial" w:hAnsi="Arial"/>
                <w:sz w:val="10"/>
                <w:szCs w:val="10"/>
                <w:b w:val="1"/>
                <w:bCs w:val="1"/>
                <w:color w:val="auto"/>
                <w:w w:val="81"/>
              </w:rPr>
              <w:t>(4)</w:t>
            </w:r>
          </w:p>
        </w:tc>
        <w:tc>
          <w:tcPr>
            <w:tcW w:w="40" w:type="dxa"/>
            <w:vAlign w:val="bottom"/>
          </w:tcPr>
          <w:p>
            <w:pPr>
              <w:spacing w:after="0"/>
              <w:rPr>
                <w:sz w:val="9"/>
                <w:szCs w:val="9"/>
                <w:color w:val="auto"/>
              </w:rPr>
            </w:pPr>
          </w:p>
        </w:tc>
        <w:tc>
          <w:tcPr>
            <w:tcW w:w="250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Business Description</w:t>
            </w:r>
          </w:p>
        </w:tc>
        <w:tc>
          <w:tcPr>
            <w:tcW w:w="40" w:type="dxa"/>
            <w:vAlign w:val="bottom"/>
          </w:tcPr>
          <w:p>
            <w:pPr>
              <w:spacing w:after="0"/>
              <w:rPr>
                <w:sz w:val="9"/>
                <w:szCs w:val="9"/>
                <w:color w:val="auto"/>
              </w:rPr>
            </w:pPr>
          </w:p>
        </w:tc>
        <w:tc>
          <w:tcPr>
            <w:tcW w:w="10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Maturity Date</w:t>
            </w:r>
          </w:p>
        </w:tc>
        <w:tc>
          <w:tcPr>
            <w:tcW w:w="40" w:type="dxa"/>
            <w:vAlign w:val="bottom"/>
          </w:tcPr>
          <w:p>
            <w:pPr>
              <w:spacing w:after="0"/>
              <w:rPr>
                <w:sz w:val="9"/>
                <w:szCs w:val="9"/>
                <w:color w:val="auto"/>
              </w:rPr>
            </w:pPr>
          </w:p>
        </w:tc>
        <w:tc>
          <w:tcPr>
            <w:tcW w:w="840" w:type="dxa"/>
            <w:vAlign w:val="bottom"/>
            <w:vMerge w:val="restart"/>
          </w:tcPr>
          <w:p>
            <w:pPr>
              <w:ind w:left="140"/>
              <w:spacing w:after="0"/>
              <w:rPr>
                <w:sz w:val="20"/>
                <w:szCs w:val="20"/>
                <w:color w:val="auto"/>
              </w:rPr>
            </w:pPr>
            <w:r>
              <w:rPr>
                <w:rFonts w:ascii="Arial" w:cs="Arial" w:eastAsia="Arial" w:hAnsi="Arial"/>
                <w:sz w:val="13"/>
                <w:szCs w:val="13"/>
                <w:b w:val="1"/>
                <w:bCs w:val="1"/>
                <w:color w:val="auto"/>
                <w:w w:val="86"/>
              </w:rPr>
              <w:t>Interest Rate</w:t>
            </w:r>
          </w:p>
        </w:tc>
        <w:tc>
          <w:tcPr>
            <w:tcW w:w="300" w:type="dxa"/>
            <w:vAlign w:val="bottom"/>
          </w:tcPr>
          <w:p>
            <w:pPr>
              <w:jc w:val="right"/>
              <w:ind w:right="128"/>
              <w:spacing w:after="0" w:line="106" w:lineRule="exact"/>
              <w:rPr>
                <w:sz w:val="20"/>
                <w:szCs w:val="20"/>
                <w:color w:val="auto"/>
              </w:rPr>
            </w:pPr>
            <w:r>
              <w:rPr>
                <w:rFonts w:ascii="Arial" w:cs="Arial" w:eastAsia="Arial" w:hAnsi="Arial"/>
                <w:sz w:val="10"/>
                <w:szCs w:val="10"/>
                <w:b w:val="1"/>
                <w:bCs w:val="1"/>
                <w:color w:val="auto"/>
                <w:w w:val="81"/>
              </w:rPr>
              <w:t>(2)</w:t>
            </w: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0"/>
              </w:rPr>
              <w:t>Principal</w:t>
            </w:r>
          </w:p>
        </w:tc>
        <w:tc>
          <w:tcPr>
            <w:tcW w:w="5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Cost</w:t>
            </w:r>
          </w:p>
        </w:tc>
        <w:tc>
          <w:tcPr>
            <w:tcW w:w="560" w:type="dxa"/>
            <w:vAlign w:val="bottom"/>
          </w:tcPr>
          <w:p>
            <w:pPr>
              <w:jc w:val="right"/>
              <w:ind w:right="14"/>
              <w:spacing w:after="0" w:line="106" w:lineRule="exact"/>
              <w:rPr>
                <w:sz w:val="20"/>
                <w:szCs w:val="20"/>
                <w:color w:val="auto"/>
              </w:rPr>
            </w:pPr>
            <w:r>
              <w:rPr>
                <w:rFonts w:ascii="Arial" w:cs="Arial" w:eastAsia="Arial" w:hAnsi="Arial"/>
                <w:sz w:val="10"/>
                <w:szCs w:val="10"/>
                <w:b w:val="1"/>
                <w:bCs w:val="1"/>
                <w:color w:val="auto"/>
              </w:rPr>
              <w:t>(1)</w:t>
            </w:r>
          </w:p>
        </w:tc>
        <w:tc>
          <w:tcPr>
            <w:tcW w:w="6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40" w:type="dxa"/>
            <w:vAlign w:val="bottom"/>
            <w:gridSpan w:val="3"/>
            <w:vMerge w:val="continue"/>
          </w:tcPr>
          <w:p>
            <w:pPr>
              <w:spacing w:after="0"/>
              <w:rPr>
                <w:sz w:val="7"/>
                <w:szCs w:val="7"/>
                <w:color w:val="auto"/>
              </w:rPr>
            </w:pPr>
          </w:p>
        </w:tc>
        <w:tc>
          <w:tcPr>
            <w:tcW w:w="1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jc w:val="right"/>
              <w:ind w:right="134"/>
              <w:spacing w:after="0" w:line="81" w:lineRule="exact"/>
              <w:rPr>
                <w:sz w:val="20"/>
                <w:szCs w:val="20"/>
                <w:color w:val="auto"/>
              </w:rPr>
            </w:pPr>
            <w:r>
              <w:rPr>
                <w:rFonts w:ascii="Arial" w:cs="Arial" w:eastAsia="Arial" w:hAnsi="Arial"/>
                <w:sz w:val="9"/>
                <w:szCs w:val="9"/>
                <w:b w:val="1"/>
                <w:bCs w:val="1"/>
                <w:color w:val="auto"/>
              </w:rPr>
              <w:t>Value</w:t>
            </w:r>
          </w:p>
        </w:tc>
        <w:tc>
          <w:tcPr>
            <w:tcW w:w="680" w:type="dxa"/>
            <w:vAlign w:val="bottom"/>
            <w:gridSpan w:val="3"/>
          </w:tcPr>
          <w:p>
            <w:pPr>
              <w:jc w:val="right"/>
              <w:ind w:right="20"/>
              <w:spacing w:after="0" w:line="81" w:lineRule="exact"/>
              <w:rPr>
                <w:sz w:val="20"/>
                <w:szCs w:val="20"/>
                <w:color w:val="auto"/>
              </w:rPr>
            </w:pPr>
            <w:r>
              <w:rPr>
                <w:rFonts w:ascii="Arial" w:cs="Arial" w:eastAsia="Arial" w:hAnsi="Arial"/>
                <w:sz w:val="9"/>
                <w:szCs w:val="9"/>
                <w:b w:val="1"/>
                <w:bCs w:val="1"/>
                <w:color w:val="auto"/>
              </w:rPr>
              <w:t>Gain/(Loss)</w:t>
            </w:r>
          </w:p>
        </w:tc>
        <w:tc>
          <w:tcPr>
            <w:tcW w:w="0" w:type="dxa"/>
            <w:vAlign w:val="bottom"/>
          </w:tcPr>
          <w:p>
            <w:pPr>
              <w:spacing w:after="0"/>
              <w:rPr>
                <w:sz w:val="1"/>
                <w:szCs w:val="1"/>
                <w:color w:val="auto"/>
              </w:rPr>
            </w:pPr>
          </w:p>
        </w:tc>
      </w:tr>
      <w:tr>
        <w:trPr>
          <w:trHeight w:val="123"/>
        </w:trPr>
        <w:tc>
          <w:tcPr>
            <w:tcW w:w="2620" w:type="dxa"/>
            <w:vAlign w:val="bottom"/>
            <w:tcBorders>
              <w:top w:val="single" w:sz="8" w:color="auto"/>
            </w:tcBorders>
            <w:gridSpan w:val="4"/>
            <w:shd w:val="clear" w:color="auto" w:fill="CCEEFF"/>
          </w:tcPr>
          <w:p>
            <w:pPr>
              <w:ind w:left="20"/>
              <w:spacing w:after="0" w:line="123" w:lineRule="exact"/>
              <w:rPr>
                <w:sz w:val="20"/>
                <w:szCs w:val="20"/>
                <w:color w:val="auto"/>
              </w:rPr>
            </w:pPr>
            <w:r>
              <w:rPr>
                <w:rFonts w:ascii="Arial" w:cs="Arial" w:eastAsia="Arial" w:hAnsi="Arial"/>
                <w:sz w:val="14"/>
                <w:szCs w:val="14"/>
                <w:color w:val="auto"/>
              </w:rPr>
              <w:t>Touchtunes Music Corp</w:t>
            </w:r>
          </w:p>
        </w:tc>
        <w:tc>
          <w:tcPr>
            <w:tcW w:w="40" w:type="dxa"/>
            <w:vAlign w:val="bottom"/>
            <w:shd w:val="clear" w:color="auto" w:fill="CCEEFF"/>
          </w:tcPr>
          <w:p>
            <w:pPr>
              <w:spacing w:after="0"/>
              <w:rPr>
                <w:sz w:val="10"/>
                <w:szCs w:val="10"/>
                <w:color w:val="auto"/>
              </w:rPr>
            </w:pPr>
          </w:p>
        </w:tc>
        <w:tc>
          <w:tcPr>
            <w:tcW w:w="25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tcBorders>
              <w:top w:val="single" w:sz="8" w:color="auto"/>
              <w:right w:val="single" w:sz="8" w:color="CCEEFF"/>
            </w:tcBorders>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Libor + 4.75%,</w:t>
            </w: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580" w:type="dxa"/>
            <w:vAlign w:val="bottom"/>
            <w:tcBorders>
              <w:top w:val="single" w:sz="8" w:color="auto"/>
              <w:right w:val="single" w:sz="8" w:color="CCEEFF"/>
            </w:tcBorders>
            <w:shd w:val="clear" w:color="auto" w:fill="CCEEFF"/>
          </w:tcPr>
          <w:p>
            <w:pPr>
              <w:spacing w:after="0"/>
              <w:rPr>
                <w:sz w:val="10"/>
                <w:szCs w:val="10"/>
                <w:color w:val="auto"/>
              </w:rPr>
            </w:pPr>
          </w:p>
        </w:tc>
        <w:tc>
          <w:tcPr>
            <w:tcW w:w="560" w:type="dxa"/>
            <w:vAlign w:val="bottom"/>
            <w:tcBorders>
              <w:top w:val="single" w:sz="8" w:color="auto"/>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Electronics</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May, 2022</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 floor</w:t>
            </w:r>
          </w:p>
        </w:tc>
        <w:tc>
          <w:tcPr>
            <w:tcW w:w="3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1,493</w:t>
            </w:r>
          </w:p>
        </w:tc>
        <w:tc>
          <w:tcPr>
            <w:tcW w:w="5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1,485</w:t>
            </w:r>
          </w:p>
        </w:tc>
        <w:tc>
          <w:tcPr>
            <w:tcW w:w="56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1,448</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0"/>
        </w:trPr>
        <w:tc>
          <w:tcPr>
            <w:tcW w:w="262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TWCC Holding Corp</w:t>
            </w:r>
          </w:p>
        </w:tc>
        <w:tc>
          <w:tcPr>
            <w:tcW w:w="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Libor + 5.0%,</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Arial" w:cs="Arial" w:eastAsia="Arial" w:hAnsi="Arial"/>
                <w:sz w:val="14"/>
                <w:szCs w:val="14"/>
                <w:color w:val="auto"/>
              </w:rPr>
              <w:t>Broadcasting &amp; Entertainment</w:t>
            </w:r>
          </w:p>
        </w:tc>
        <w:tc>
          <w:tcPr>
            <w:tcW w:w="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4"/>
                <w:szCs w:val="14"/>
                <w:color w:val="auto"/>
              </w:rPr>
              <w:t>February, 2020</w:t>
            </w:r>
          </w:p>
        </w:tc>
        <w:tc>
          <w:tcPr>
            <w:tcW w:w="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.75% floor</w:t>
            </w:r>
          </w:p>
        </w:tc>
        <w:tc>
          <w:tcPr>
            <w:tcW w:w="300" w:type="dxa"/>
            <w:vAlign w:val="bottom"/>
          </w:tcPr>
          <w:p>
            <w:pPr>
              <w:spacing w:after="0"/>
              <w:rPr>
                <w:sz w:val="14"/>
                <w:szCs w:val="14"/>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1,985</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1,965</w:t>
            </w:r>
          </w:p>
        </w:tc>
        <w:tc>
          <w:tcPr>
            <w:tcW w:w="560" w:type="dxa"/>
            <w:vAlign w:val="bottom"/>
          </w:tcPr>
          <w:p>
            <w:pPr>
              <w:jc w:val="right"/>
              <w:ind w:right="14"/>
              <w:spacing w:after="0"/>
              <w:rPr>
                <w:sz w:val="20"/>
                <w:szCs w:val="20"/>
                <w:color w:val="auto"/>
              </w:rPr>
            </w:pPr>
            <w:r>
              <w:rPr>
                <w:rFonts w:ascii="Arial" w:cs="Arial" w:eastAsia="Arial" w:hAnsi="Arial"/>
                <w:sz w:val="14"/>
                <w:szCs w:val="14"/>
                <w:color w:val="auto"/>
              </w:rPr>
              <w:t>1,983</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4"/>
            <w:shd w:val="clear" w:color="auto" w:fill="CCEEFF"/>
          </w:tcPr>
          <w:p>
            <w:pPr>
              <w:ind w:left="20"/>
              <w:spacing w:after="0" w:line="162" w:lineRule="exact"/>
              <w:rPr>
                <w:sz w:val="20"/>
                <w:szCs w:val="20"/>
                <w:color w:val="auto"/>
              </w:rPr>
            </w:pPr>
            <w:r>
              <w:rPr>
                <w:rFonts w:ascii="Arial" w:cs="Arial" w:eastAsia="Arial" w:hAnsi="Arial"/>
                <w:sz w:val="12"/>
                <w:szCs w:val="12"/>
                <w:color w:val="auto"/>
              </w:rPr>
              <w:t>US Renal Care, Inc</w:t>
            </w:r>
            <w:r>
              <w:rPr>
                <w:rFonts w:ascii="Arial" w:cs="Arial" w:eastAsia="Arial" w:hAnsi="Arial"/>
                <w:sz w:val="18"/>
                <w:szCs w:val="18"/>
                <w:color w:val="auto"/>
                <w:vertAlign w:val="superscript"/>
              </w:rPr>
              <w:t>(3)</w:t>
            </w:r>
          </w:p>
        </w:tc>
        <w:tc>
          <w:tcPr>
            <w:tcW w:w="40" w:type="dxa"/>
            <w:vAlign w:val="bottom"/>
            <w:shd w:val="clear" w:color="auto" w:fill="CCEEFF"/>
          </w:tcPr>
          <w:p>
            <w:pPr>
              <w:spacing w:after="0"/>
              <w:rPr>
                <w:sz w:val="14"/>
                <w:szCs w:val="14"/>
                <w:color w:val="auto"/>
              </w:rPr>
            </w:pPr>
          </w:p>
        </w:tc>
        <w:tc>
          <w:tcPr>
            <w:tcW w:w="250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Healthcare, Education and Childcare</w:t>
            </w:r>
          </w:p>
        </w:tc>
        <w:tc>
          <w:tcPr>
            <w:tcW w:w="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w w:val="94"/>
              </w:rPr>
              <w:t>November, 2022</w:t>
            </w:r>
          </w:p>
        </w:tc>
        <w:tc>
          <w:tcPr>
            <w:tcW w:w="40" w:type="dxa"/>
            <w:vAlign w:val="bottom"/>
            <w:shd w:val="clear" w:color="auto" w:fill="CCEEFF"/>
          </w:tcPr>
          <w:p>
            <w:pPr>
              <w:spacing w:after="0"/>
              <w:rPr>
                <w:sz w:val="14"/>
                <w:szCs w:val="14"/>
                <w:color w:val="auto"/>
              </w:rPr>
            </w:pPr>
          </w:p>
        </w:tc>
        <w:tc>
          <w:tcPr>
            <w:tcW w:w="11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Libor + 4.25%,</w:t>
            </w:r>
          </w:p>
        </w:tc>
        <w:tc>
          <w:tcPr>
            <w:tcW w:w="56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2,000</w:t>
            </w:r>
          </w:p>
        </w:tc>
        <w:tc>
          <w:tcPr>
            <w:tcW w:w="58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1,980</w:t>
            </w:r>
          </w:p>
        </w:tc>
        <w:tc>
          <w:tcPr>
            <w:tcW w:w="560" w:type="dxa"/>
            <w:vAlign w:val="bottom"/>
            <w:tcBorders>
              <w:right w:val="single" w:sz="8" w:color="CCEEFF"/>
            </w:tcBorders>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1,980</w:t>
            </w:r>
          </w:p>
        </w:tc>
        <w:tc>
          <w:tcPr>
            <w:tcW w:w="1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50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Arial" w:cs="Arial" w:eastAsia="Arial" w:hAnsi="Arial"/>
                <w:sz w:val="14"/>
                <w:szCs w:val="14"/>
                <w:color w:val="auto"/>
              </w:rPr>
              <w:t>1% floor</w:t>
            </w:r>
          </w:p>
        </w:tc>
        <w:tc>
          <w:tcPr>
            <w:tcW w:w="3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58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20" w:type="dxa"/>
            <w:vAlign w:val="bottom"/>
            <w:gridSpan w:val="4"/>
          </w:tcPr>
          <w:p>
            <w:pPr>
              <w:ind w:left="20"/>
              <w:spacing w:after="0" w:line="130" w:lineRule="exact"/>
              <w:rPr>
                <w:sz w:val="20"/>
                <w:szCs w:val="20"/>
                <w:color w:val="auto"/>
              </w:rPr>
            </w:pPr>
            <w:r>
              <w:rPr>
                <w:rFonts w:ascii="Arial" w:cs="Arial" w:eastAsia="Arial" w:hAnsi="Arial"/>
                <w:sz w:val="14"/>
                <w:szCs w:val="14"/>
                <w:color w:val="auto"/>
              </w:rPr>
              <w:t>USAGM Holdco LLC</w:t>
            </w:r>
          </w:p>
        </w:tc>
        <w:tc>
          <w:tcPr>
            <w:tcW w:w="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Libor + 3.75%,</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Arial" w:cs="Arial" w:eastAsia="Arial" w:hAnsi="Arial"/>
                <w:sz w:val="14"/>
                <w:szCs w:val="14"/>
                <w:color w:val="auto"/>
              </w:rPr>
              <w:t>Diversified/Conglomerate Service</w:t>
            </w:r>
          </w:p>
        </w:tc>
        <w:tc>
          <w:tcPr>
            <w:tcW w:w="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4"/>
                <w:szCs w:val="14"/>
                <w:color w:val="auto"/>
              </w:rPr>
              <w:t>July, 2022</w:t>
            </w:r>
          </w:p>
        </w:tc>
        <w:tc>
          <w:tcPr>
            <w:tcW w:w="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color w:val="auto"/>
              </w:rPr>
              <w:t>1% floor</w:t>
            </w:r>
          </w:p>
        </w:tc>
        <w:tc>
          <w:tcPr>
            <w:tcW w:w="300" w:type="dxa"/>
            <w:vAlign w:val="bottom"/>
          </w:tcPr>
          <w:p>
            <w:pPr>
              <w:spacing w:after="0"/>
              <w:rPr>
                <w:sz w:val="14"/>
                <w:szCs w:val="14"/>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2,000</w:t>
            </w: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1,980</w:t>
            </w:r>
          </w:p>
        </w:tc>
        <w:tc>
          <w:tcPr>
            <w:tcW w:w="560" w:type="dxa"/>
            <w:vAlign w:val="bottom"/>
          </w:tcPr>
          <w:p>
            <w:pPr>
              <w:jc w:val="right"/>
              <w:ind w:right="14"/>
              <w:spacing w:after="0"/>
              <w:rPr>
                <w:sz w:val="20"/>
                <w:szCs w:val="20"/>
                <w:color w:val="auto"/>
              </w:rPr>
            </w:pPr>
            <w:r>
              <w:rPr>
                <w:rFonts w:ascii="Arial" w:cs="Arial" w:eastAsia="Arial" w:hAnsi="Arial"/>
                <w:sz w:val="14"/>
                <w:szCs w:val="14"/>
                <w:color w:val="auto"/>
              </w:rPr>
              <w:t>1,903</w:t>
            </w:r>
          </w:p>
        </w:tc>
        <w:tc>
          <w:tcPr>
            <w:tcW w:w="1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140" w:type="dxa"/>
            <w:vAlign w:val="bottom"/>
            <w:tcBorders>
              <w:right w:val="single" w:sz="8" w:color="CCEEFF"/>
            </w:tcBorders>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Libor + 4.75%,</w:t>
            </w:r>
          </w:p>
        </w:tc>
        <w:tc>
          <w:tcPr>
            <w:tcW w:w="560" w:type="dxa"/>
            <w:vAlign w:val="bottom"/>
            <w:tcBorders>
              <w:right w:val="single" w:sz="8" w:color="CCEEFF"/>
            </w:tcBorders>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Zep, Inc.</w:t>
            </w:r>
          </w:p>
        </w:tc>
        <w:tc>
          <w:tcPr>
            <w:tcW w:w="1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Non Durable Consumer Products</w:t>
            </w: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June, 2022</w:t>
            </w: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1% floor</w:t>
            </w:r>
          </w:p>
        </w:tc>
        <w:tc>
          <w:tcPr>
            <w:tcW w:w="3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995</w:t>
            </w:r>
          </w:p>
        </w:tc>
        <w:tc>
          <w:tcPr>
            <w:tcW w:w="58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990</w:t>
            </w:r>
          </w:p>
        </w:tc>
        <w:tc>
          <w:tcPr>
            <w:tcW w:w="56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989</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ind w:right="9"/>
              <w:spacing w:after="0" w:line="142"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81,201</w:t>
            </w:r>
          </w:p>
        </w:tc>
        <w:tc>
          <w:tcPr>
            <w:tcW w:w="580" w:type="dxa"/>
            <w:vAlign w:val="bottom"/>
          </w:tcPr>
          <w:p>
            <w:pPr>
              <w:jc w:val="right"/>
              <w:ind w:right="9"/>
              <w:spacing w:after="0" w:line="142"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80,268</w:t>
            </w:r>
          </w:p>
        </w:tc>
        <w:tc>
          <w:tcPr>
            <w:tcW w:w="560" w:type="dxa"/>
            <w:vAlign w:val="bottom"/>
          </w:tcPr>
          <w:p>
            <w:pPr>
              <w:jc w:val="right"/>
              <w:ind w:right="14"/>
              <w:spacing w:after="0" w:line="142"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77,334</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5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840" w:type="dxa"/>
            <w:vAlign w:val="bottom"/>
            <w:tcBorders>
              <w:bottom w:val="single" w:sz="8" w:color="CCEEFF"/>
              <w:right w:val="single" w:sz="8" w:color="CCEEFF"/>
            </w:tcBorders>
            <w:gridSpan w:val="5"/>
            <w:shd w:val="clear" w:color="auto" w:fill="CCEEFF"/>
          </w:tcPr>
          <w:p>
            <w:pPr>
              <w:ind w:left="600"/>
              <w:spacing w:after="0" w:line="142" w:lineRule="exact"/>
              <w:rPr>
                <w:sz w:val="20"/>
                <w:szCs w:val="20"/>
                <w:color w:val="auto"/>
              </w:rPr>
            </w:pPr>
            <w:r>
              <w:rPr>
                <w:rFonts w:ascii="Arial" w:cs="Arial" w:eastAsia="Arial" w:hAnsi="Arial"/>
                <w:sz w:val="14"/>
                <w:szCs w:val="14"/>
                <w:color w:val="auto"/>
                <w:w w:val="91"/>
              </w:rPr>
              <w:t>Total accrued interest, net of expenses</w:t>
            </w: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w:t>
            </w:r>
          </w:p>
        </w:tc>
        <w:tc>
          <w:tcPr>
            <w:tcW w:w="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6"/>
          </w:tcPr>
          <w:p>
            <w:pPr>
              <w:jc w:val="right"/>
              <w:spacing w:after="0" w:line="142" w:lineRule="exact"/>
              <w:rPr>
                <w:sz w:val="20"/>
                <w:szCs w:val="20"/>
                <w:color w:val="auto"/>
              </w:rPr>
            </w:pPr>
            <w:r>
              <w:rPr>
                <w:rFonts w:ascii="Arial" w:cs="Arial" w:eastAsia="Arial" w:hAnsi="Arial"/>
                <w:sz w:val="14"/>
                <w:szCs w:val="14"/>
                <w:color w:val="auto"/>
              </w:rPr>
              <w:t>Total unrealized depreciation on TRS $</w:t>
            </w:r>
          </w:p>
        </w:tc>
        <w:tc>
          <w:tcPr>
            <w:tcW w:w="5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(2,828)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-556895</wp:posOffset>
            </wp:positionV>
            <wp:extent cx="6226175"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26175" cy="13716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-325120</wp:posOffset>
            </wp:positionV>
            <wp:extent cx="6226175"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spacing w:after="0" w:line="236" w:lineRule="exact"/>
        <w:rPr>
          <w:sz w:val="20"/>
          <w:szCs w:val="20"/>
          <w:color w:val="auto"/>
        </w:rPr>
      </w:pPr>
    </w:p>
    <w:p>
      <w:pPr>
        <w:ind w:left="420" w:right="619" w:hanging="272"/>
        <w:spacing w:after="0" w:line="277" w:lineRule="auto"/>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fair value determined in accordance with ASC Topic 820. The determination of fair value is outside the scope of the Board’s valuation process described herein</w:t>
      </w:r>
    </w:p>
    <w:p>
      <w:pPr>
        <w:spacing w:after="0" w:line="62" w:lineRule="exact"/>
        <w:rPr>
          <w:rFonts w:ascii="Arial" w:cs="Arial" w:eastAsia="Arial" w:hAnsi="Arial"/>
          <w:sz w:val="18"/>
          <w:szCs w:val="18"/>
          <w:color w:val="auto"/>
        </w:rPr>
      </w:pPr>
    </w:p>
    <w:p>
      <w:pPr>
        <w:ind w:left="420" w:hanging="27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interest is payable in cash</w:t>
      </w:r>
    </w:p>
    <w:p>
      <w:pPr>
        <w:spacing w:after="0" w:line="117" w:lineRule="exact"/>
        <w:rPr>
          <w:rFonts w:ascii="Arial" w:cs="Arial" w:eastAsia="Arial" w:hAnsi="Arial"/>
          <w:sz w:val="18"/>
          <w:szCs w:val="18"/>
          <w:color w:val="auto"/>
        </w:rPr>
      </w:pPr>
    </w:p>
    <w:p>
      <w:pPr>
        <w:ind w:left="420" w:hanging="27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referenced asset is unsettled as of December 31, 2015</w:t>
      </w:r>
    </w:p>
    <w:p>
      <w:pPr>
        <w:spacing w:after="0" w:line="117" w:lineRule="exact"/>
        <w:rPr>
          <w:rFonts w:ascii="Arial" w:cs="Arial" w:eastAsia="Arial" w:hAnsi="Arial"/>
          <w:sz w:val="18"/>
          <w:szCs w:val="18"/>
          <w:color w:val="auto"/>
        </w:rPr>
      </w:pPr>
    </w:p>
    <w:p>
      <w:pPr>
        <w:ind w:left="420" w:hanging="27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referenced assets are senior secured loans</w:t>
      </w:r>
    </w:p>
    <w:p>
      <w:pPr>
        <w:spacing w:after="0" w:line="117" w:lineRule="exact"/>
        <w:rPr>
          <w:rFonts w:ascii="Arial" w:cs="Arial" w:eastAsia="Arial" w:hAnsi="Arial"/>
          <w:sz w:val="18"/>
          <w:szCs w:val="18"/>
          <w:color w:val="auto"/>
        </w:rPr>
      </w:pPr>
    </w:p>
    <w:p>
      <w:pPr>
        <w:ind w:left="420" w:hanging="27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referenced asset has an unfunded commitment of $0.3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certain summarized financial information for CSLLF as of December 31, 2015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39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(in thousands)</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 on Total Return Swap</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Cash held as collateral on Total Return Swap</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19,145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Non-collateral cash and cash equivalents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Receivable due on Total Return Swap</w:t>
            </w:r>
          </w:p>
        </w:tc>
        <w:tc>
          <w:tcPr>
            <w:tcW w:w="2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22,355</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LIABILITIES</w:t>
            </w:r>
          </w:p>
        </w:tc>
        <w:tc>
          <w:tcPr>
            <w:tcW w:w="2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2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Paid in capital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25,000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realized income from operations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Unrealized depreciation on Total Return Swap</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(2,828)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net assets</w:t>
            </w:r>
          </w:p>
        </w:tc>
        <w:tc>
          <w:tcPr>
            <w:tcW w:w="2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22,334</w:t>
            </w:r>
          </w:p>
        </w:tc>
        <w:tc>
          <w:tcPr>
            <w:tcW w:w="260" w:type="dxa"/>
            <w:vAlign w:val="bottom"/>
            <w:tcBorders>
              <w:bottom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Total liabilities and net assets</w:t>
            </w:r>
          </w:p>
        </w:tc>
        <w:tc>
          <w:tcPr>
            <w:tcW w:w="2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22,355</w:t>
            </w: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0" w:type="dxa"/>
            <w:vAlign w:val="bottom"/>
            <w:gridSpan w:val="2"/>
          </w:tcPr>
          <w:p>
            <w:pPr>
              <w:jc w:val="right"/>
              <w:ind w:right="1410"/>
              <w:spacing w:after="0"/>
              <w:rPr>
                <w:sz w:val="20"/>
                <w:szCs w:val="20"/>
                <w:color w:val="auto"/>
              </w:rPr>
            </w:pPr>
            <w:r>
              <w:rPr>
                <w:rFonts w:ascii="Arial" w:cs="Arial" w:eastAsia="Arial" w:hAnsi="Arial"/>
                <w:sz w:val="18"/>
                <w:szCs w:val="18"/>
                <w:color w:val="auto"/>
              </w:rPr>
              <w:t>F-36</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940" w:type="dxa"/>
            <w:vAlign w:val="bottom"/>
            <w:tcBorders>
              <w:bottom w:val="single" w:sz="8" w:color="9A9A9A"/>
            </w:tcBorders>
          </w:tcPr>
          <w:p>
            <w:pPr>
              <w:spacing w:after="0"/>
              <w:rPr>
                <w:sz w:val="14"/>
                <w:szCs w:val="14"/>
                <w:color w:val="auto"/>
              </w:rPr>
            </w:pPr>
          </w:p>
        </w:tc>
        <w:tc>
          <w:tcPr>
            <w:tcW w:w="22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94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-1963420</wp:posOffset>
            </wp:positionV>
            <wp:extent cx="4751070"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-1654810</wp:posOffset>
            </wp:positionV>
            <wp:extent cx="475107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-805180</wp:posOffset>
            </wp:positionV>
            <wp:extent cx="4751070" cy="1803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26" w:name="page127"/>
    <w:bookmarkEnd w:id="12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7510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period from</w:t>
            </w:r>
          </w:p>
        </w:tc>
      </w:tr>
      <w:tr>
        <w:trPr>
          <w:trHeight w:val="149"/>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March 27, 2015 to</w:t>
            </w:r>
          </w:p>
        </w:tc>
      </w:tr>
      <w:tr>
        <w:trPr>
          <w:trHeight w:val="171"/>
        </w:trPr>
        <w:tc>
          <w:tcPr>
            <w:tcW w:w="616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2015</w:t>
            </w:r>
          </w:p>
        </w:tc>
      </w:tr>
      <w:tr>
        <w:trPr>
          <w:trHeight w:val="195"/>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thousands)</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Administrative and legal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r>
      <w:tr>
        <w:trPr>
          <w:trHeight w:val="216"/>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realized gain on Total Return Swap:</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210"/>
        </w:trPr>
        <w:tc>
          <w:tcPr>
            <w:tcW w:w="6160" w:type="dxa"/>
            <w:vAlign w:val="bottom"/>
          </w:tcPr>
          <w:p>
            <w:pPr>
              <w:ind w:left="200"/>
              <w:spacing w:after="0"/>
              <w:rPr>
                <w:sz w:val="20"/>
                <w:szCs w:val="20"/>
                <w:color w:val="auto"/>
              </w:rPr>
            </w:pPr>
            <w:r>
              <w:rPr>
                <w:rFonts w:ascii="Arial" w:cs="Arial" w:eastAsia="Arial" w:hAnsi="Arial"/>
                <w:sz w:val="18"/>
                <w:szCs w:val="18"/>
                <w:color w:val="auto"/>
              </w:rPr>
              <w:t>Total realized income from operations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260" w:type="dxa"/>
            <w:vAlign w:val="bottom"/>
          </w:tcPr>
          <w:p>
            <w:pPr>
              <w:spacing w:after="0"/>
              <w:rPr>
                <w:sz w:val="18"/>
                <w:szCs w:val="18"/>
                <w:color w:val="auto"/>
              </w:rPr>
            </w:pP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on Total Return Swap:</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(2,828)</w:t>
            </w:r>
          </w:p>
        </w:tc>
      </w:tr>
      <w:tr>
        <w:trPr>
          <w:trHeight w:val="20"/>
        </w:trPr>
        <w:tc>
          <w:tcPr>
            <w:tcW w:w="6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10"/>
        </w:trPr>
        <w:tc>
          <w:tcPr>
            <w:tcW w:w="6160" w:type="dxa"/>
            <w:vAlign w:val="bottom"/>
          </w:tcPr>
          <w:p>
            <w:pPr>
              <w:ind w:left="20"/>
              <w:spacing w:after="0"/>
              <w:rPr>
                <w:sz w:val="20"/>
                <w:szCs w:val="20"/>
                <w:color w:val="auto"/>
              </w:rPr>
            </w:pPr>
            <w:r>
              <w:rPr>
                <w:rFonts w:ascii="Arial" w:cs="Arial" w:eastAsia="Arial" w:hAnsi="Arial"/>
                <w:sz w:val="18"/>
                <w:szCs w:val="18"/>
                <w:color w:val="auto"/>
              </w:rPr>
              <w:t>NET DECREASE IN NET ASSETS RESULTING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(1,566)</w:t>
            </w:r>
          </w:p>
        </w:tc>
      </w:tr>
      <w:tr>
        <w:trPr>
          <w:trHeight w:val="21"/>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-471170</wp:posOffset>
            </wp:positionV>
            <wp:extent cx="475107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Fair Value of Financial Instruments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117"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following table presents the carrying value and fair value of the Company’s financial liabilities disclosed, but not carried, at fair value as of December 31, 2015, and the level of each financial liability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 debentures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$ 184,200</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$ 184,951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184,951</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Notes</w:t>
            </w:r>
          </w:p>
        </w:tc>
        <w:tc>
          <w:tcPr>
            <w:tcW w:w="720" w:type="dxa"/>
            <w:vAlign w:val="bottom"/>
          </w:tcPr>
          <w:p>
            <w:pPr>
              <w:jc w:val="right"/>
              <w:spacing w:after="0"/>
              <w:rPr>
                <w:sz w:val="20"/>
                <w:szCs w:val="20"/>
                <w:color w:val="auto"/>
              </w:rPr>
            </w:pPr>
            <w:r>
              <w:rPr>
                <w:rFonts w:ascii="Arial" w:cs="Arial" w:eastAsia="Arial" w:hAnsi="Arial"/>
                <w:sz w:val="18"/>
                <w:szCs w:val="18"/>
                <w:color w:val="auto"/>
              </w:rPr>
              <w:t>113,438</w:t>
            </w:r>
          </w:p>
        </w:tc>
        <w:tc>
          <w:tcPr>
            <w:tcW w:w="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113,211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113,211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69,932</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$ 367,638</w:t>
            </w:r>
          </w:p>
        </w:tc>
        <w:tc>
          <w:tcPr>
            <w:tcW w:w="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$ 368,094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113,211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254,883</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following table presents the carrying value and fair value of the Company’s financial liabilities disclosed, but not carried, at fair value as of December 31, 2014, and the level of each financial liability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SBA debentures</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$ 192,200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$ 191,947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191,947</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Notes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113,438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115,479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115,479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$ 305,638</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$ 307,426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115,479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191,947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1039" w:firstLine="270"/>
        <w:spacing w:after="0" w:line="277" w:lineRule="auto"/>
        <w:rPr>
          <w:sz w:val="20"/>
          <w:szCs w:val="20"/>
          <w:color w:val="auto"/>
        </w:rPr>
      </w:pPr>
      <w:r>
        <w:rPr>
          <w:rFonts w:ascii="Arial" w:cs="Arial" w:eastAsia="Arial" w:hAnsi="Arial"/>
          <w:sz w:val="18"/>
          <w:szCs w:val="18"/>
          <w:color w:val="auto"/>
        </w:rPr>
        <w:t>The estimated fair value of the Company’s SBA debentures was based on future contractual cash payments discounted at market interest rates to borrow from the SBA as of the measurement date.</w:t>
      </w:r>
    </w:p>
    <w:p>
      <w:pPr>
        <w:spacing w:after="0" w:line="62" w:lineRule="exact"/>
        <w:rPr>
          <w:sz w:val="20"/>
          <w:szCs w:val="20"/>
          <w:color w:val="auto"/>
        </w:rPr>
      </w:pPr>
    </w:p>
    <w:p>
      <w:pPr>
        <w:ind w:left="60" w:right="699" w:firstLine="270"/>
        <w:spacing w:after="0" w:line="264"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estimated fair value of the Notes was based on the closing price as of the measurement date as the Notes are traded on the New York Stock Exchange under the ticker “CLA.”</w:t>
      </w:r>
    </w:p>
    <w:p>
      <w:pPr>
        <w:spacing w:after="0" w:line="73" w:lineRule="exact"/>
        <w:rPr>
          <w:sz w:val="20"/>
          <w:szCs w:val="20"/>
          <w:color w:val="auto"/>
        </w:rPr>
      </w:pPr>
    </w:p>
    <w:p>
      <w:pPr>
        <w:ind w:left="60" w:right="1179" w:firstLine="270"/>
        <w:spacing w:after="0" w:line="277" w:lineRule="auto"/>
        <w:rPr>
          <w:sz w:val="20"/>
          <w:szCs w:val="20"/>
          <w:color w:val="auto"/>
        </w:rPr>
      </w:pPr>
      <w:r>
        <w:rPr>
          <w:rFonts w:ascii="Arial" w:cs="Arial" w:eastAsia="Arial" w:hAnsi="Arial"/>
          <w:sz w:val="18"/>
          <w:szCs w:val="18"/>
          <w:color w:val="auto"/>
        </w:rPr>
        <w:t>The estimated fair value of the Company’s Credit Facility was based on future contractual cash payments discounted at estimated market interest rates for similar debt.</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7" w:name="page128"/>
    <w:bookmarkEnd w:id="12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Transactions With Affiliated Companies</w:t>
      </w:r>
    </w:p>
    <w:p>
      <w:pPr>
        <w:spacing w:after="0" w:line="121" w:lineRule="exact"/>
        <w:rPr>
          <w:sz w:val="20"/>
          <w:szCs w:val="20"/>
          <w:color w:val="auto"/>
        </w:rPr>
      </w:pPr>
    </w:p>
    <w:p>
      <w:pPr>
        <w:ind w:left="60" w:right="619" w:firstLine="270"/>
        <w:spacing w:after="0" w:line="277" w:lineRule="auto"/>
        <w:rPr>
          <w:sz w:val="20"/>
          <w:szCs w:val="20"/>
          <w:color w:val="auto"/>
        </w:rPr>
      </w:pPr>
      <w:r>
        <w:rPr>
          <w:rFonts w:ascii="Arial" w:cs="Arial" w:eastAsia="Arial" w:hAnsi="Arial"/>
          <w:sz w:val="18"/>
          <w:szCs w:val="18"/>
          <w:color w:val="auto"/>
        </w:rPr>
        <w:t>During the year ended December 31, 2015, the Company had investments in portfolio companies designated as affiliates under the 1940 Act. Transactions with affiliates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615759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83185</wp:posOffset>
            </wp:positionV>
            <wp:extent cx="615759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Amount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Portfolio Company</w:t>
            </w:r>
            <w:r>
              <w:rPr>
                <w:rFonts w:ascii="Arial" w:cs="Arial" w:eastAsia="Arial" w:hAnsi="Arial"/>
                <w:sz w:val="20"/>
                <w:szCs w:val="20"/>
                <w:b w:val="1"/>
                <w:bCs w:val="1"/>
                <w:color w:val="auto"/>
                <w:vertAlign w:val="superscript"/>
              </w:rPr>
              <w:t>(4)</w:t>
            </w: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Credited to</w:t>
            </w:r>
          </w:p>
        </w:tc>
        <w:tc>
          <w:tcPr>
            <w:tcW w:w="4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2"/>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5"/>
              </w:rPr>
              <w:t>Gross</w:t>
            </w:r>
          </w:p>
        </w:tc>
        <w:tc>
          <w:tcPr>
            <w:tcW w:w="800" w:type="dxa"/>
            <w:vAlign w:val="bottom"/>
            <w:gridSpan w:val="2"/>
          </w:tcPr>
          <w:p>
            <w:pPr>
              <w:jc w:val="right"/>
              <w:ind w:right="208"/>
              <w:spacing w:after="0"/>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Realized</w:t>
            </w:r>
          </w:p>
        </w:tc>
        <w:tc>
          <w:tcPr>
            <w:tcW w:w="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1"/>
              </w:rPr>
              <w:t>Income</w:t>
            </w:r>
            <w:r>
              <w:rPr>
                <w:rFonts w:ascii="Arial" w:cs="Arial" w:eastAsia="Arial" w:hAnsi="Arial"/>
                <w:sz w:val="18"/>
                <w:szCs w:val="18"/>
                <w:b w:val="1"/>
                <w:bCs w:val="1"/>
                <w:color w:val="auto"/>
                <w:w w:val="91"/>
                <w:vertAlign w:val="superscript"/>
              </w:rPr>
              <w:t>(1)</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9"/>
              </w:rPr>
              <w:t>2014 Value</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1"/>
              </w:rPr>
              <w:t>Additions</w:t>
            </w:r>
            <w:r>
              <w:rPr>
                <w:rFonts w:ascii="Arial" w:cs="Arial" w:eastAsia="Arial" w:hAnsi="Arial"/>
                <w:sz w:val="18"/>
                <w:szCs w:val="18"/>
                <w:b w:val="1"/>
                <w:bCs w:val="1"/>
                <w:color w:val="auto"/>
                <w:w w:val="91"/>
                <w:vertAlign w:val="superscript"/>
              </w:rPr>
              <w:t>(2)</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2"/>
                <w:szCs w:val="12"/>
                <w:b w:val="1"/>
                <w:bCs w:val="1"/>
                <w:color w:val="auto"/>
                <w:w w:val="89"/>
              </w:rPr>
              <w:t>Reductions</w:t>
            </w:r>
            <w:r>
              <w:rPr>
                <w:rFonts w:ascii="Arial" w:cs="Arial" w:eastAsia="Arial" w:hAnsi="Arial"/>
                <w:sz w:val="18"/>
                <w:szCs w:val="18"/>
                <w:b w:val="1"/>
                <w:bCs w:val="1"/>
                <w:color w:val="auto"/>
                <w:w w:val="89"/>
                <w:vertAlign w:val="superscript"/>
              </w:rPr>
              <w:t>(3)</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6"/>
              </w:rPr>
              <w:t>Gain/(Loss)</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9"/>
              </w:rPr>
              <w:t>2015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20" w:type="dxa"/>
            <w:vAlign w:val="bottom"/>
            <w:gridSpan w:val="2"/>
          </w:tcPr>
          <w:p>
            <w:pPr>
              <w:spacing w:after="0" w:line="129" w:lineRule="exact"/>
              <w:rPr>
                <w:sz w:val="20"/>
                <w:szCs w:val="20"/>
                <w:color w:val="auto"/>
              </w:rPr>
            </w:pPr>
            <w:r>
              <w:rPr>
                <w:rFonts w:ascii="Arial" w:cs="Arial" w:eastAsia="Arial" w:hAnsi="Arial"/>
                <w:sz w:val="14"/>
                <w:szCs w:val="14"/>
                <w:b w:val="1"/>
                <w:bCs w:val="1"/>
                <w:i w:val="1"/>
                <w:iCs w:val="1"/>
                <w:color w:val="auto"/>
                <w:w w:val="99"/>
              </w:rPr>
              <w:t>Control investments:</w:t>
            </w:r>
          </w:p>
        </w:tc>
        <w:tc>
          <w:tcPr>
            <w:tcW w:w="40" w:type="dxa"/>
            <w:vAlign w:val="bottom"/>
          </w:tcPr>
          <w:p>
            <w:pPr>
              <w:spacing w:after="0"/>
              <w:rPr>
                <w:sz w:val="11"/>
                <w:szCs w:val="11"/>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Class A Preferred Units (89 units)</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4"/>
            <w:vMerge w:val="restart"/>
          </w:tcPr>
          <w:p>
            <w:pPr>
              <w:ind w:left="560"/>
              <w:spacing w:after="0"/>
              <w:rPr>
                <w:sz w:val="20"/>
                <w:szCs w:val="20"/>
                <w:color w:val="auto"/>
              </w:rPr>
            </w:pPr>
            <w:r>
              <w:rPr>
                <w:rFonts w:ascii="Arial" w:cs="Arial" w:eastAsia="Arial" w:hAnsi="Arial"/>
                <w:sz w:val="14"/>
                <w:szCs w:val="14"/>
                <w:color w:val="auto"/>
              </w:rPr>
              <w:t>—  $</w:t>
            </w:r>
          </w:p>
        </w:tc>
        <w:tc>
          <w:tcPr>
            <w:tcW w:w="8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(146)</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146</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Best In Class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CableOrganizer</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 (12% Cash,</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Acquisition,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4% PIK)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10,587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CableOrganizer</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Acquisition,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(1,125,000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CableOrganizer</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Acquisition,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w w:val="96"/>
              </w:rPr>
              <w:t>Common Stock Warrants (570,000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470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(466)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Capitala Senior Liquid</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11,984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Loan Fund I,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(80% ownership)</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20,000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(2,133)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17,867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KBP Investments,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ind w:left="80"/>
              <w:spacing w:after="0" w:line="155" w:lineRule="exact"/>
              <w:rPr>
                <w:sz w:val="20"/>
                <w:szCs w:val="20"/>
                <w:color w:val="auto"/>
              </w:rPr>
            </w:pPr>
            <w:r>
              <w:rPr>
                <w:rFonts w:ascii="Arial" w:cs="Arial" w:eastAsia="Arial" w:hAnsi="Arial"/>
                <w:sz w:val="14"/>
                <w:szCs w:val="14"/>
                <w:color w:val="auto"/>
              </w:rPr>
              <w:t>Class A Preferred Stock (8,270 shares,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20" w:type="dxa"/>
            <w:vAlign w:val="bottom"/>
            <w:gridSpan w:val="2"/>
          </w:tcPr>
          <w:p>
            <w:pPr>
              <w:ind w:left="180"/>
              <w:spacing w:after="0" w:line="157" w:lineRule="exact"/>
              <w:rPr>
                <w:sz w:val="20"/>
                <w:szCs w:val="20"/>
                <w:color w:val="auto"/>
              </w:rPr>
            </w:pPr>
            <w:r>
              <w:rPr>
                <w:rFonts w:ascii="Arial" w:cs="Arial" w:eastAsia="Arial" w:hAnsi="Arial"/>
                <w:sz w:val="12"/>
                <w:szCs w:val="12"/>
                <w:color w:val="auto"/>
              </w:rPr>
              <w:t>LLC</w:t>
            </w:r>
            <w:r>
              <w:rPr>
                <w:rFonts w:ascii="Arial" w:cs="Arial" w:eastAsia="Arial" w:hAnsi="Arial"/>
                <w:sz w:val="18"/>
                <w:szCs w:val="18"/>
                <w:color w:val="auto"/>
                <w:vertAlign w:val="superscript"/>
              </w:rPr>
              <w:t>(5)</w:t>
            </w:r>
          </w:p>
        </w:tc>
        <w:tc>
          <w:tcPr>
            <w:tcW w:w="40" w:type="dxa"/>
            <w:vAlign w:val="bottom"/>
          </w:tcPr>
          <w:p>
            <w:pPr>
              <w:spacing w:after="0"/>
              <w:rPr>
                <w:sz w:val="13"/>
                <w:szCs w:val="13"/>
                <w:color w:val="auto"/>
              </w:rPr>
            </w:pPr>
          </w:p>
        </w:tc>
        <w:tc>
          <w:tcPr>
            <w:tcW w:w="2660" w:type="dxa"/>
            <w:vAlign w:val="bottom"/>
          </w:tcPr>
          <w:p>
            <w:pPr>
              <w:ind w:left="80"/>
              <w:spacing w:after="0" w:line="157" w:lineRule="exact"/>
              <w:rPr>
                <w:sz w:val="20"/>
                <w:szCs w:val="20"/>
                <w:color w:val="auto"/>
              </w:rPr>
            </w:pPr>
            <w:r>
              <w:rPr>
                <w:rFonts w:ascii="Arial" w:cs="Arial" w:eastAsia="Arial" w:hAnsi="Arial"/>
                <w:sz w:val="14"/>
                <w:szCs w:val="14"/>
                <w:color w:val="auto"/>
              </w:rPr>
              <w:t>10% Cash Dividend)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309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8,269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line="157" w:lineRule="exact"/>
              <w:rPr>
                <w:sz w:val="20"/>
                <w:szCs w:val="20"/>
                <w:color w:val="auto"/>
              </w:rPr>
            </w:pPr>
            <w:r>
              <w:rPr>
                <w:rFonts w:ascii="Arial" w:cs="Arial" w:eastAsia="Arial" w:hAnsi="Arial"/>
                <w:sz w:val="14"/>
                <w:szCs w:val="14"/>
                <w:color w:val="auto"/>
              </w:rPr>
              <w:t>(8,269)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w w:val="99"/>
              </w:rPr>
              <w:t>KBP Investments,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w w:val="99"/>
              </w:rPr>
              <w:t>Class A Common Stock (380,413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9,196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(19,626)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10,430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Market E, Inc.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Senior Secured Debt (0% Cash)</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17,465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(27,895</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10,430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(985)</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Market E,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(0%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(2,876)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Market E,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Class A Common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Market E,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Class A Preferred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Market E, 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Class B Preferred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Subordinated Debt (10% Cash)</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3,331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(5,066)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186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1,862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1,862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(14% Cash, 4% PIK)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3,688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Micro Precision,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Series A Preferred Units (47 units)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1,629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 (15%,</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7,179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w w:val="98"/>
              </w:rPr>
              <w:t>Navis Holdings, Inc.</w:t>
            </w:r>
            <w:r>
              <w:rPr>
                <w:rFonts w:ascii="Arial" w:cs="Arial" w:eastAsia="Arial" w:hAnsi="Arial"/>
                <w:sz w:val="23"/>
                <w:szCs w:val="23"/>
                <w:color w:val="auto"/>
                <w:w w:val="98"/>
                <w:vertAlign w:val="superscript"/>
              </w:rPr>
              <w:t>(5)</w:t>
            </w:r>
          </w:p>
        </w:tc>
        <w:tc>
          <w:tcPr>
            <w:tcW w:w="40" w:type="dxa"/>
            <w:vAlign w:val="bottom"/>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2% PIK at Company’s option)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6,500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ind w:left="80"/>
              <w:spacing w:after="0" w:line="155" w:lineRule="exact"/>
              <w:rPr>
                <w:sz w:val="20"/>
                <w:szCs w:val="20"/>
                <w:color w:val="auto"/>
              </w:rPr>
            </w:pPr>
            <w:r>
              <w:rPr>
                <w:rFonts w:ascii="Arial" w:cs="Arial" w:eastAsia="Arial" w:hAnsi="Arial"/>
                <w:sz w:val="14"/>
                <w:szCs w:val="14"/>
                <w:color w:val="auto"/>
              </w:rPr>
              <w:t>Class A Preferred Stock (1,000 shares)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Navis Holdings, 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(300,000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3,077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2,277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(270)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270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5,354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w w:val="99"/>
              </w:rPr>
              <w:t>On-Site Fuel Services,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2,277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(14% Cash, 4% PIK)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4,783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3,399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(3,757)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w w:val="99"/>
              </w:rPr>
              <w:t>On-Site Fuel Services,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w w:val="99"/>
              </w:rPr>
              <w:t>Series A Preferred Stock (32,782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w w:val="99"/>
              </w:rPr>
              <w:t>On-Site Fuel Services,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w w:val="99"/>
              </w:rPr>
              <w:t>Series B Preferred Stock (23,648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w w:val="99"/>
              </w:rPr>
              <w:t>On-Site Fuel Services,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(33,107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 (10% Cash,</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4,783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3,399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(3,757)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2% PIK)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1,683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(18,543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(2,888)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Print Direction, 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Warrants (820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183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(128)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18,324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(3,016)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8" w:name="page129"/>
    <w:bookmarkEnd w:id="128"/>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Transactions With Affiliated Companies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5759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615759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Amount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Portfolio Company</w:t>
            </w:r>
            <w:r>
              <w:rPr>
                <w:rFonts w:ascii="Arial" w:cs="Arial" w:eastAsia="Arial" w:hAnsi="Arial"/>
                <w:sz w:val="20"/>
                <w:szCs w:val="20"/>
                <w:b w:val="1"/>
                <w:bCs w:val="1"/>
                <w:color w:val="auto"/>
                <w:vertAlign w:val="superscript"/>
              </w:rPr>
              <w:t>(4)</w:t>
            </w: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Credited to</w:t>
            </w:r>
          </w:p>
        </w:tc>
        <w:tc>
          <w:tcPr>
            <w:tcW w:w="4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2"/>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08"/>
              <w:spacing w:after="0"/>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Realized</w:t>
            </w:r>
          </w:p>
        </w:tc>
        <w:tc>
          <w:tcPr>
            <w:tcW w:w="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1"/>
              </w:rPr>
              <w:t>Income</w:t>
            </w:r>
            <w:r>
              <w:rPr>
                <w:rFonts w:ascii="Arial" w:cs="Arial" w:eastAsia="Arial" w:hAnsi="Arial"/>
                <w:sz w:val="18"/>
                <w:szCs w:val="18"/>
                <w:b w:val="1"/>
                <w:bCs w:val="1"/>
                <w:color w:val="auto"/>
                <w:w w:val="91"/>
                <w:vertAlign w:val="superscript"/>
              </w:rPr>
              <w:t>(1)</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2014 Value</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1"/>
              </w:rPr>
              <w:t>Additions</w:t>
            </w:r>
            <w:r>
              <w:rPr>
                <w:rFonts w:ascii="Arial" w:cs="Arial" w:eastAsia="Arial" w:hAnsi="Arial"/>
                <w:sz w:val="18"/>
                <w:szCs w:val="18"/>
                <w:b w:val="1"/>
                <w:bCs w:val="1"/>
                <w:color w:val="auto"/>
                <w:w w:val="91"/>
                <w:vertAlign w:val="superscript"/>
              </w:rPr>
              <w:t>(2)</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2"/>
                <w:szCs w:val="12"/>
                <w:b w:val="1"/>
                <w:bCs w:val="1"/>
                <w:color w:val="auto"/>
                <w:w w:val="89"/>
              </w:rPr>
              <w:t>Reductions</w:t>
            </w:r>
            <w:r>
              <w:rPr>
                <w:rFonts w:ascii="Arial" w:cs="Arial" w:eastAsia="Arial" w:hAnsi="Arial"/>
                <w:sz w:val="18"/>
                <w:szCs w:val="18"/>
                <w:b w:val="1"/>
                <w:bCs w:val="1"/>
                <w:color w:val="auto"/>
                <w:w w:val="89"/>
                <w:vertAlign w:val="superscript"/>
              </w:rPr>
              <w:t>(3)</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6"/>
              </w:rPr>
              <w:t>Gain/(Loss)</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9"/>
              </w:rPr>
              <w:t>2015 Value</w:t>
            </w:r>
          </w:p>
        </w:tc>
        <w:tc>
          <w:tcPr>
            <w:tcW w:w="0" w:type="dxa"/>
            <w:vAlign w:val="bottom"/>
          </w:tcPr>
          <w:p>
            <w:pPr>
              <w:spacing w:after="0"/>
              <w:rPr>
                <w:sz w:val="1"/>
                <w:szCs w:val="1"/>
                <w:color w:val="auto"/>
              </w:rPr>
            </w:pPr>
          </w:p>
        </w:tc>
      </w:tr>
      <w:tr>
        <w:trPr>
          <w:trHeight w:val="123"/>
        </w:trPr>
        <w:tc>
          <w:tcPr>
            <w:tcW w:w="14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Southern Parts and</w:t>
            </w: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Engineering</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Equity</w:t>
            </w: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7</w:t>
            </w:r>
          </w:p>
        </w:tc>
        <w:tc>
          <w:tcPr>
            <w:tcW w:w="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Total Control investments</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6,775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72,062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31,367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(38,623</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84"/>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5,787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70,593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40" w:type="dxa"/>
            <w:vAlign w:val="bottom"/>
            <w:gridSpan w:val="3"/>
          </w:tcPr>
          <w:p>
            <w:pPr>
              <w:ind w:left="20"/>
              <w:spacing w:after="0" w:line="129" w:lineRule="exact"/>
              <w:rPr>
                <w:sz w:val="20"/>
                <w:szCs w:val="20"/>
                <w:color w:val="auto"/>
              </w:rPr>
            </w:pPr>
            <w:r>
              <w:rPr>
                <w:rFonts w:ascii="Arial" w:cs="Arial" w:eastAsia="Arial" w:hAnsi="Arial"/>
                <w:sz w:val="14"/>
                <w:szCs w:val="14"/>
                <w:b w:val="1"/>
                <w:bCs w:val="1"/>
                <w:i w:val="1"/>
                <w:iCs w:val="1"/>
                <w:color w:val="auto"/>
                <w:w w:val="98"/>
              </w:rPr>
              <w:t>Affiliate investments:</w:t>
            </w: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2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Burgaflex Holdings,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Junior Subordinated Debt (12% cash)</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7,200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(1,372)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5,828</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Burgaflex Holdings,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Senior Subordinated Debt (14%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5,000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Burgaflex Holdings,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(1,253,198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3,646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(566)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3,080</w:t>
            </w: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rPr>
              <w:t>Chef’n Corporation</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Common Stock</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15,846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(3,938)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ind w:left="340"/>
              <w:spacing w:after="0" w:line="123" w:lineRule="exact"/>
              <w:rPr>
                <w:sz w:val="20"/>
                <w:szCs w:val="20"/>
                <w:color w:val="auto"/>
              </w:rPr>
            </w:pPr>
            <w:r>
              <w:rPr>
                <w:rFonts w:ascii="Arial" w:cs="Arial" w:eastAsia="Arial" w:hAnsi="Arial"/>
                <w:sz w:val="14"/>
                <w:szCs w:val="14"/>
                <w:color w:val="auto"/>
                <w:w w:val="85"/>
              </w:rPr>
              <w:t>8,213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8,231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40" w:type="dxa"/>
            <w:vAlign w:val="bottom"/>
            <w:gridSpan w:val="3"/>
          </w:tcPr>
          <w:p>
            <w:pPr>
              <w:ind w:left="20"/>
              <w:spacing w:after="0" w:line="161" w:lineRule="exact"/>
              <w:rPr>
                <w:sz w:val="20"/>
                <w:szCs w:val="20"/>
                <w:color w:val="auto"/>
              </w:rPr>
            </w:pPr>
            <w:r>
              <w:rPr>
                <w:rFonts w:ascii="Arial" w:cs="Arial" w:eastAsia="Arial" w:hAnsi="Arial"/>
                <w:sz w:val="12"/>
                <w:szCs w:val="12"/>
                <w:color w:val="auto"/>
              </w:rPr>
              <w:t>City Gear, LLC</w:t>
            </w:r>
            <w:r>
              <w:rPr>
                <w:rFonts w:ascii="Arial" w:cs="Arial" w:eastAsia="Arial" w:hAnsi="Arial"/>
                <w:sz w:val="18"/>
                <w:szCs w:val="18"/>
                <w:color w:val="auto"/>
                <w:vertAlign w:val="superscript"/>
              </w:rPr>
              <w:t>(5)</w:t>
            </w:r>
          </w:p>
        </w:tc>
        <w:tc>
          <w:tcPr>
            <w:tcW w:w="40" w:type="dxa"/>
            <w:vAlign w:val="bottom"/>
          </w:tcPr>
          <w:p>
            <w:pPr>
              <w:spacing w:after="0"/>
              <w:rPr>
                <w:sz w:val="13"/>
                <w:szCs w:val="13"/>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ind w:left="340"/>
              <w:spacing w:after="0"/>
              <w:rPr>
                <w:sz w:val="20"/>
                <w:szCs w:val="20"/>
                <w:color w:val="auto"/>
              </w:rPr>
            </w:pPr>
            <w:r>
              <w:rPr>
                <w:rFonts w:ascii="Arial" w:cs="Arial" w:eastAsia="Arial" w:hAnsi="Arial"/>
                <w:sz w:val="14"/>
                <w:szCs w:val="14"/>
                <w:color w:val="auto"/>
              </w:rPr>
              <w:t>1,269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ind w:left="80"/>
              <w:spacing w:after="0" w:line="137" w:lineRule="exact"/>
              <w:rPr>
                <w:sz w:val="20"/>
                <w:szCs w:val="20"/>
                <w:color w:val="auto"/>
              </w:rPr>
            </w:pPr>
            <w:r>
              <w:rPr>
                <w:rFonts w:ascii="Arial" w:cs="Arial" w:eastAsia="Arial" w:hAnsi="Arial"/>
                <w:sz w:val="14"/>
                <w:szCs w:val="14"/>
                <w:color w:val="auto"/>
              </w:rPr>
              <w:t>(2.78% fully diluted, 9% Cash Dividend)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City Gear,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(11.38% fully diluted)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6,205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2,977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9,182</w:t>
            </w: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w w:val="98"/>
              </w:rPr>
              <w:t>Corporate Visions, Inc.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Subordinated Debt (14% Cash, 2% PIK)</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15,687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2,995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663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11,402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95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(11,497)</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Corporate Visions,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(2,216,463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10,348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(15,945)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5,597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440" w:type="dxa"/>
            <w:vAlign w:val="bottom"/>
            <w:gridSpan w:val="3"/>
          </w:tcPr>
          <w:p>
            <w:pPr>
              <w:ind w:left="20"/>
              <w:spacing w:after="0"/>
              <w:rPr>
                <w:sz w:val="20"/>
                <w:szCs w:val="20"/>
                <w:color w:val="auto"/>
              </w:rPr>
            </w:pPr>
            <w:r>
              <w:rPr>
                <w:rFonts w:ascii="Arial" w:cs="Arial" w:eastAsia="Arial" w:hAnsi="Arial"/>
                <w:sz w:val="14"/>
                <w:szCs w:val="14"/>
                <w:color w:val="auto"/>
                <w:w w:val="98"/>
              </w:rPr>
              <w:t>Corporate Visions, 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w w:val="98"/>
              </w:rPr>
              <w:t>Common Stock Warrant (403,257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1,882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(3,369)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1,487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rPr>
              <w:t>GA Communications,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23,632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(30,811</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7,084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ind w:left="80"/>
              <w:spacing w:after="0" w:line="155" w:lineRule="exact"/>
              <w:rPr>
                <w:sz w:val="20"/>
                <w:szCs w:val="20"/>
                <w:color w:val="auto"/>
              </w:rPr>
            </w:pPr>
            <w:r>
              <w:rPr>
                <w:rFonts w:ascii="Arial" w:cs="Arial" w:eastAsia="Arial" w:hAnsi="Arial"/>
                <w:sz w:val="14"/>
                <w:szCs w:val="14"/>
                <w:color w:val="auto"/>
                <w:w w:val="98"/>
              </w:rPr>
              <w:t>Series A-1 Preferred Stock (1,998 shares,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20" w:type="dxa"/>
            <w:vAlign w:val="bottom"/>
            <w:gridSpan w:val="2"/>
          </w:tcPr>
          <w:p>
            <w:pPr>
              <w:ind w:left="180"/>
              <w:spacing w:after="0" w:line="157" w:lineRule="exact"/>
              <w:rPr>
                <w:sz w:val="20"/>
                <w:szCs w:val="20"/>
                <w:color w:val="auto"/>
              </w:rPr>
            </w:pPr>
            <w:r>
              <w:rPr>
                <w:rFonts w:ascii="Arial" w:cs="Arial" w:eastAsia="Arial" w:hAnsi="Arial"/>
                <w:sz w:val="12"/>
                <w:szCs w:val="12"/>
                <w:color w:val="auto"/>
              </w:rPr>
              <w:t>Inc.</w:t>
            </w:r>
            <w:r>
              <w:rPr>
                <w:rFonts w:ascii="Arial" w:cs="Arial" w:eastAsia="Arial" w:hAnsi="Arial"/>
                <w:sz w:val="18"/>
                <w:szCs w:val="18"/>
                <w:color w:val="auto"/>
                <w:vertAlign w:val="superscript"/>
              </w:rPr>
              <w:t>(5)</w:t>
            </w:r>
          </w:p>
        </w:tc>
        <w:tc>
          <w:tcPr>
            <w:tcW w:w="40" w:type="dxa"/>
            <w:vAlign w:val="bottom"/>
          </w:tcPr>
          <w:p>
            <w:pPr>
              <w:spacing w:after="0"/>
              <w:rPr>
                <w:sz w:val="13"/>
                <w:szCs w:val="13"/>
                <w:color w:val="auto"/>
              </w:rPr>
            </w:pPr>
          </w:p>
        </w:tc>
        <w:tc>
          <w:tcPr>
            <w:tcW w:w="2660" w:type="dxa"/>
            <w:vAlign w:val="bottom"/>
          </w:tcPr>
          <w:p>
            <w:pPr>
              <w:ind w:left="80"/>
              <w:spacing w:after="0" w:line="157" w:lineRule="exact"/>
              <w:rPr>
                <w:sz w:val="20"/>
                <w:szCs w:val="20"/>
                <w:color w:val="auto"/>
              </w:rPr>
            </w:pPr>
            <w:r>
              <w:rPr>
                <w:rFonts w:ascii="Arial" w:cs="Arial" w:eastAsia="Arial" w:hAnsi="Arial"/>
                <w:sz w:val="14"/>
                <w:szCs w:val="14"/>
                <w:color w:val="auto"/>
              </w:rPr>
              <w:t>8% PIK Dividend)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2,559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216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28"/>
              <w:spacing w:after="0" w:line="157"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2,764</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GA Communications,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w w:val="93"/>
              </w:rPr>
              <w:t>Series B-1 Common Stock (200,000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1,660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(498)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w w:val="98"/>
              </w:rPr>
              <w:t>J&amp;J Produce Holdings,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color w:val="auto"/>
                <w:w w:val="85"/>
              </w:rPr>
              <w:t>4,219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5,182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(375)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5,182</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J&amp;J Produce Holdings,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(8,182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(341)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8"/>
              </w:rPr>
              <w:t>J&amp;J Produce Holdings,</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Warrants (4,506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188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(188)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rPr>
              <w:t>LJS Partners, LLC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Common Stock (1,500,000 shares)</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360"/>
              <w:spacing w:after="0" w:line="142" w:lineRule="exact"/>
              <w:rPr>
                <w:sz w:val="20"/>
                <w:szCs w:val="20"/>
                <w:color w:val="auto"/>
              </w:rPr>
            </w:pPr>
            <w:r>
              <w:rPr>
                <w:rFonts w:ascii="Arial" w:cs="Arial" w:eastAsia="Arial" w:hAnsi="Arial"/>
                <w:sz w:val="14"/>
                <w:szCs w:val="14"/>
                <w:color w:val="auto"/>
                <w:w w:val="79"/>
              </w:rPr>
              <w:t>5,711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color w:val="auto"/>
                <w:w w:val="85"/>
              </w:rPr>
              <w:t>2,506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rPr>
              <w:t>MJC Holdings, LLC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w w:val="98"/>
              </w:rPr>
              <w:t>Series A Preferred Units (2,000,000 units)</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color w:val="auto"/>
                <w:w w:val="85"/>
              </w:rPr>
              <w:t>2,506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color w:val="auto"/>
                <w:w w:val="85"/>
              </w:rPr>
              <w:t>5,723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Senior Secured Debt (12% Cash)</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color w:val="auto"/>
                <w:w w:val="85"/>
              </w:rPr>
              <w:t>5,723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4,696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316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ind w:left="340"/>
              <w:spacing w:after="0" w:line="123" w:lineRule="exact"/>
              <w:rPr>
                <w:sz w:val="20"/>
                <w:szCs w:val="20"/>
                <w:color w:val="auto"/>
              </w:rPr>
            </w:pPr>
            <w:r>
              <w:rPr>
                <w:rFonts w:ascii="Arial" w:cs="Arial" w:eastAsia="Arial" w:hAnsi="Arial"/>
                <w:sz w:val="14"/>
                <w:szCs w:val="14"/>
                <w:color w:val="auto"/>
                <w:w w:val="85"/>
              </w:rPr>
              <w:t>2,600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2,600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(6%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1"/>
        </w:trPr>
        <w:tc>
          <w:tcPr>
            <w:tcW w:w="1440" w:type="dxa"/>
            <w:vAlign w:val="bottom"/>
            <w:gridSpan w:val="3"/>
          </w:tcPr>
          <w:p>
            <w:pPr>
              <w:ind w:left="20"/>
              <w:spacing w:after="0" w:line="181" w:lineRule="exact"/>
              <w:rPr>
                <w:sz w:val="20"/>
                <w:szCs w:val="20"/>
                <w:color w:val="auto"/>
              </w:rPr>
            </w:pPr>
            <w:r>
              <w:rPr>
                <w:rFonts w:ascii="Arial" w:cs="Arial" w:eastAsia="Arial" w:hAnsi="Arial"/>
                <w:sz w:val="13"/>
                <w:szCs w:val="13"/>
                <w:color w:val="auto"/>
              </w:rPr>
              <w:t>MMI Holdings, LLC</w:t>
            </w:r>
            <w:r>
              <w:rPr>
                <w:rFonts w:ascii="Arial" w:cs="Arial" w:eastAsia="Arial" w:hAnsi="Arial"/>
                <w:sz w:val="20"/>
                <w:szCs w:val="20"/>
                <w:color w:val="auto"/>
                <w:vertAlign w:val="superscript"/>
              </w:rPr>
              <w:t>(5)</w:t>
            </w:r>
          </w:p>
        </w:tc>
        <w:tc>
          <w:tcPr>
            <w:tcW w:w="40" w:type="dxa"/>
            <w:vAlign w:val="bottom"/>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Preferred Units (1,000 units,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ind w:left="340"/>
              <w:spacing w:after="0"/>
              <w:rPr>
                <w:sz w:val="20"/>
                <w:szCs w:val="20"/>
                <w:color w:val="auto"/>
              </w:rPr>
            </w:pPr>
            <w:r>
              <w:rPr>
                <w:rFonts w:ascii="Arial" w:cs="Arial" w:eastAsia="Arial" w:hAnsi="Arial"/>
                <w:sz w:val="14"/>
                <w:szCs w:val="14"/>
                <w:color w:val="auto"/>
              </w:rPr>
              <w:t>1,273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1,350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ind w:left="80"/>
              <w:spacing w:after="0" w:line="116" w:lineRule="exact"/>
              <w:rPr>
                <w:sz w:val="20"/>
                <w:szCs w:val="20"/>
                <w:color w:val="auto"/>
              </w:rPr>
            </w:pPr>
            <w:r>
              <w:rPr>
                <w:rFonts w:ascii="Arial" w:cs="Arial" w:eastAsia="Arial" w:hAnsi="Arial"/>
                <w:sz w:val="13"/>
                <w:szCs w:val="13"/>
                <w:color w:val="auto"/>
              </w:rPr>
              <w:t>6% PIK Dividend)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440" w:type="dxa"/>
            <w:vAlign w:val="bottom"/>
            <w:gridSpan w:val="3"/>
          </w:tcPr>
          <w:p>
            <w:pPr>
              <w:ind w:left="20"/>
              <w:spacing w:after="0"/>
              <w:rPr>
                <w:sz w:val="20"/>
                <w:szCs w:val="20"/>
                <w:color w:val="auto"/>
              </w:rPr>
            </w:pPr>
            <w:r>
              <w:rPr>
                <w:rFonts w:ascii="Arial" w:cs="Arial" w:eastAsia="Arial" w:hAnsi="Arial"/>
                <w:sz w:val="14"/>
                <w:szCs w:val="14"/>
                <w:color w:val="auto"/>
              </w:rPr>
              <w:t>MMI Holdings,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Membership Units (45 units)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126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193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40" w:type="dxa"/>
            <w:vAlign w:val="bottom"/>
            <w:gridSpan w:val="3"/>
            <w:vMerge w:val="restart"/>
          </w:tcPr>
          <w:p>
            <w:pPr>
              <w:ind w:left="20"/>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340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Arial" w:cs="Arial" w:eastAsia="Arial" w:hAnsi="Arial"/>
                <w:sz w:val="14"/>
                <w:szCs w:val="14"/>
                <w:color w:val="auto"/>
                <w:w w:val="85"/>
              </w:rPr>
              <w:t>4,399</w:t>
            </w: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273</w:t>
            </w: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4,669</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973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ind w:left="340"/>
              <w:spacing w:after="0" w:line="123" w:lineRule="exact"/>
              <w:rPr>
                <w:sz w:val="20"/>
                <w:szCs w:val="20"/>
                <w:color w:val="auto"/>
              </w:rPr>
            </w:pPr>
            <w:r>
              <w:rPr>
                <w:rFonts w:ascii="Arial" w:cs="Arial" w:eastAsia="Arial" w:hAnsi="Arial"/>
                <w:sz w:val="14"/>
                <w:szCs w:val="14"/>
                <w:color w:val="auto"/>
                <w:w w:val="85"/>
              </w:rPr>
              <w:t>8,000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8,000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440" w:type="dxa"/>
            <w:vAlign w:val="bottom"/>
            <w:gridSpan w:val="3"/>
          </w:tcPr>
          <w:p>
            <w:pPr>
              <w:ind w:left="20"/>
              <w:spacing w:after="0"/>
              <w:rPr>
                <w:sz w:val="20"/>
                <w:szCs w:val="20"/>
                <w:color w:val="auto"/>
              </w:rPr>
            </w:pPr>
            <w:r>
              <w:rPr>
                <w:rFonts w:ascii="Arial" w:cs="Arial" w:eastAsia="Arial" w:hAnsi="Arial"/>
                <w:sz w:val="14"/>
                <w:szCs w:val="14"/>
                <w:color w:val="auto"/>
              </w:rPr>
              <w:t>MTI Holdings,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Membership Units (2,000,000 units)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4,958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8,959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13,917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12,958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8,959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21,917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9" w:name="page130"/>
    <w:bookmarkEnd w:id="129"/>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Transactions With Affiliated Companies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575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51435</wp:posOffset>
            </wp:positionV>
            <wp:extent cx="615759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Amount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Portfolio Company</w:t>
            </w:r>
            <w:r>
              <w:rPr>
                <w:rFonts w:ascii="Arial" w:cs="Arial" w:eastAsia="Arial" w:hAnsi="Arial"/>
                <w:sz w:val="20"/>
                <w:szCs w:val="20"/>
                <w:b w:val="1"/>
                <w:bCs w:val="1"/>
                <w:color w:val="auto"/>
                <w:vertAlign w:val="superscript"/>
              </w:rPr>
              <w:t>(4)</w:t>
            </w: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Credited to</w:t>
            </w:r>
          </w:p>
        </w:tc>
        <w:tc>
          <w:tcPr>
            <w:tcW w:w="4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2"/>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08"/>
              <w:spacing w:after="0"/>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Realized</w:t>
            </w:r>
          </w:p>
        </w:tc>
        <w:tc>
          <w:tcPr>
            <w:tcW w:w="4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1"/>
              </w:rPr>
              <w:t>Income</w:t>
            </w:r>
            <w:r>
              <w:rPr>
                <w:rFonts w:ascii="Arial" w:cs="Arial" w:eastAsia="Arial" w:hAnsi="Arial"/>
                <w:sz w:val="18"/>
                <w:szCs w:val="18"/>
                <w:b w:val="1"/>
                <w:bCs w:val="1"/>
                <w:color w:val="auto"/>
                <w:w w:val="91"/>
                <w:vertAlign w:val="superscript"/>
              </w:rPr>
              <w:t>(1)</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9"/>
              </w:rPr>
              <w:t>2014 Value</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1"/>
              </w:rPr>
              <w:t>Additions</w:t>
            </w:r>
            <w:r>
              <w:rPr>
                <w:rFonts w:ascii="Arial" w:cs="Arial" w:eastAsia="Arial" w:hAnsi="Arial"/>
                <w:sz w:val="18"/>
                <w:szCs w:val="18"/>
                <w:b w:val="1"/>
                <w:bCs w:val="1"/>
                <w:color w:val="auto"/>
                <w:w w:val="91"/>
                <w:vertAlign w:val="superscript"/>
              </w:rPr>
              <w:t>(2)</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2"/>
                <w:szCs w:val="12"/>
                <w:b w:val="1"/>
                <w:bCs w:val="1"/>
                <w:color w:val="auto"/>
                <w:w w:val="89"/>
              </w:rPr>
              <w:t>Reductions</w:t>
            </w:r>
            <w:r>
              <w:rPr>
                <w:rFonts w:ascii="Arial" w:cs="Arial" w:eastAsia="Arial" w:hAnsi="Arial"/>
                <w:sz w:val="18"/>
                <w:szCs w:val="18"/>
                <w:b w:val="1"/>
                <w:bCs w:val="1"/>
                <w:color w:val="auto"/>
                <w:w w:val="89"/>
                <w:vertAlign w:val="superscript"/>
              </w:rPr>
              <w:t>(3)</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w w:val="86"/>
              </w:rPr>
              <w:t>Gain/(Loss)</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9"/>
              </w:rPr>
              <w:t>2015 Value</w:t>
            </w:r>
          </w:p>
        </w:tc>
        <w:tc>
          <w:tcPr>
            <w:tcW w:w="0" w:type="dxa"/>
            <w:vAlign w:val="bottom"/>
          </w:tcPr>
          <w:p>
            <w:pPr>
              <w:spacing w:after="0"/>
              <w:rPr>
                <w:sz w:val="1"/>
                <w:szCs w:val="1"/>
                <w:color w:val="auto"/>
              </w:rPr>
            </w:pPr>
          </w:p>
        </w:tc>
      </w:tr>
      <w:tr>
        <w:trPr>
          <w:trHeight w:val="123"/>
        </w:trPr>
        <w:tc>
          <w:tcPr>
            <w:tcW w:w="1440" w:type="dxa"/>
            <w:vAlign w:val="bottom"/>
          </w:tcPr>
          <w:p>
            <w:pPr>
              <w:ind w:left="20"/>
              <w:spacing w:after="0" w:line="123" w:lineRule="exact"/>
              <w:rPr>
                <w:sz w:val="20"/>
                <w:szCs w:val="20"/>
                <w:color w:val="auto"/>
              </w:rPr>
            </w:pPr>
            <w:r>
              <w:rPr>
                <w:rFonts w:ascii="Arial" w:cs="Arial" w:eastAsia="Arial" w:hAnsi="Arial"/>
                <w:sz w:val="14"/>
                <w:szCs w:val="14"/>
                <w:color w:val="auto"/>
              </w:rPr>
              <w:t>Source Capital</w:t>
            </w:r>
          </w:p>
        </w:tc>
        <w:tc>
          <w:tcPr>
            <w:tcW w:w="40" w:type="dxa"/>
            <w:vAlign w:val="bottom"/>
          </w:tcPr>
          <w:p>
            <w:pPr>
              <w:spacing w:after="0"/>
              <w:rPr>
                <w:sz w:val="10"/>
                <w:szCs w:val="10"/>
                <w:color w:val="auto"/>
              </w:rPr>
            </w:pPr>
          </w:p>
        </w:tc>
        <w:tc>
          <w:tcPr>
            <w:tcW w:w="2660" w:type="dxa"/>
            <w:vAlign w:val="bottom"/>
          </w:tcPr>
          <w:p>
            <w:pPr>
              <w:ind w:left="80"/>
              <w:spacing w:after="0" w:line="123" w:lineRule="exact"/>
              <w:rPr>
                <w:sz w:val="20"/>
                <w:szCs w:val="20"/>
                <w:color w:val="auto"/>
              </w:rPr>
            </w:pPr>
            <w:r>
              <w:rPr>
                <w:rFonts w:ascii="Arial" w:cs="Arial" w:eastAsia="Arial" w:hAnsi="Arial"/>
                <w:sz w:val="14"/>
                <w:szCs w:val="14"/>
                <w:color w:val="auto"/>
              </w:rPr>
              <w:t>Senior Secured Term Debt (12% Cash,</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ABUTEC,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3% PIK)</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5,166</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(3,040)</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Source Capital</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40" w:type="dxa"/>
            <w:vAlign w:val="bottom"/>
          </w:tcPr>
          <w:p>
            <w:pPr>
              <w:ind w:left="200"/>
              <w:spacing w:after="0"/>
              <w:rPr>
                <w:sz w:val="20"/>
                <w:szCs w:val="20"/>
                <w:color w:val="auto"/>
              </w:rPr>
            </w:pPr>
            <w:r>
              <w:rPr>
                <w:rFonts w:ascii="Arial" w:cs="Arial" w:eastAsia="Arial" w:hAnsi="Arial"/>
                <w:sz w:val="14"/>
                <w:szCs w:val="14"/>
                <w:color w:val="auto"/>
              </w:rPr>
              <w:t>ABUTEC, 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(10.5% fully diluted)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vMerge w:val="restart"/>
          </w:tcPr>
          <w:p>
            <w:pPr>
              <w:ind w:left="20"/>
              <w:spacing w:after="0"/>
              <w:rPr>
                <w:sz w:val="20"/>
                <w:szCs w:val="20"/>
                <w:color w:val="auto"/>
              </w:rPr>
            </w:pPr>
            <w:r>
              <w:rPr>
                <w:rFonts w:ascii="Arial" w:cs="Arial" w:eastAsia="Arial" w:hAnsi="Arial"/>
                <w:sz w:val="14"/>
                <w:szCs w:val="14"/>
                <w:color w:val="auto"/>
                <w:w w:val="97"/>
              </w:rPr>
              <w:t>Source Capital Penray,</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5,166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(3,040)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w w:val="97"/>
              </w:rPr>
              <w:t>Source Capital Penray,</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 (11.3% ownership)</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w w:val="97"/>
              </w:rPr>
              <w:t>Source Capital Penray,</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 (6.65%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40" w:type="dxa"/>
            <w:vAlign w:val="bottom"/>
          </w:tcPr>
          <w:p>
            <w:pPr>
              <w:ind w:left="20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ownership)</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578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42"/>
        </w:trPr>
        <w:tc>
          <w:tcPr>
            <w:tcW w:w="1440" w:type="dxa"/>
            <w:vAlign w:val="bottom"/>
            <w:vMerge w:val="restart"/>
          </w:tcPr>
          <w:p>
            <w:pPr>
              <w:ind w:left="20"/>
              <w:spacing w:after="0"/>
              <w:rPr>
                <w:sz w:val="20"/>
                <w:szCs w:val="20"/>
                <w:color w:val="auto"/>
              </w:rPr>
            </w:pPr>
            <w:r>
              <w:rPr>
                <w:rFonts w:ascii="Arial" w:cs="Arial" w:eastAsia="Arial" w:hAnsi="Arial"/>
                <w:sz w:val="14"/>
                <w:szCs w:val="14"/>
                <w:color w:val="auto"/>
              </w:rPr>
              <w:t>Source Capital SSCR,</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3,891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Revolving Debt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(1,901)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Term Debt (7%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4,751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(5,750)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(7%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11,490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6,385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(8,506)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(9,369)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Preferred Membership Units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(15.8% ownership)</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(1,878)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Source Capital SSCR,</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40" w:type="dxa"/>
            <w:vAlign w:val="bottom"/>
          </w:tcPr>
          <w:p>
            <w:pPr>
              <w:ind w:left="200"/>
              <w:spacing w:after="0"/>
              <w:rPr>
                <w:sz w:val="20"/>
                <w:szCs w:val="20"/>
                <w:color w:val="auto"/>
              </w:rPr>
            </w:pPr>
            <w:r>
              <w:rPr>
                <w:rFonts w:ascii="Arial" w:cs="Arial" w:eastAsia="Arial" w:hAnsi="Arial"/>
                <w:sz w:val="14"/>
                <w:szCs w:val="14"/>
                <w:color w:val="auto"/>
              </w:rPr>
              <w:t>LLC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(0.31% ownership)</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vMerge w:val="restart"/>
          </w:tcPr>
          <w:p>
            <w:pPr>
              <w:ind w:left="20"/>
              <w:spacing w:after="0"/>
              <w:rPr>
                <w:sz w:val="20"/>
                <w:szCs w:val="20"/>
                <w:color w:val="auto"/>
              </w:rPr>
            </w:pPr>
            <w:r>
              <w:rPr>
                <w:rFonts w:ascii="Arial" w:cs="Arial" w:eastAsia="Arial" w:hAnsi="Arial"/>
                <w:sz w:val="14"/>
                <w:szCs w:val="14"/>
                <w:color w:val="auto"/>
                <w:w w:val="98"/>
              </w:rPr>
              <w:t>Source Recycling, LLC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Subordinated Debt (13% Cash)</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16,241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11,173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(16,157</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(11,257</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273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4,927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(1,821)</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3,106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w w:val="98"/>
              </w:rPr>
              <w:t>Source Recycling,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Units (68,656 units)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(1,590)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w w:val="98"/>
              </w:rPr>
              <w:t>Source Recycling, LLC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Membership Unit Warrants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(1% fully diluted)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vMerge w:val="restart"/>
          </w:tcPr>
          <w:p>
            <w:pPr>
              <w:ind w:left="20"/>
              <w:spacing w:after="0"/>
              <w:rPr>
                <w:sz w:val="20"/>
                <w:szCs w:val="20"/>
                <w:color w:val="auto"/>
              </w:rPr>
            </w:pPr>
            <w:r>
              <w:rPr>
                <w:rFonts w:ascii="Arial" w:cs="Arial" w:eastAsia="Arial" w:hAnsi="Arial"/>
                <w:sz w:val="14"/>
                <w:szCs w:val="14"/>
                <w:color w:val="auto"/>
              </w:rPr>
              <w:t>Sparus Holdings</w:t>
            </w:r>
            <w:r>
              <w:rPr>
                <w:rFonts w:ascii="Arial" w:cs="Arial" w:eastAsia="Arial" w:hAnsi="Arial"/>
                <w:sz w:val="23"/>
                <w:szCs w:val="23"/>
                <w:color w:val="auto"/>
                <w:vertAlign w:val="superscript"/>
              </w:rPr>
              <w:t>(6)</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4,927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Senior Secured Term Debt (12% Cash)</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4,050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1,070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(5,120)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1440" w:type="dxa"/>
            <w:vAlign w:val="bottom"/>
          </w:tcPr>
          <w:p>
            <w:pPr>
              <w:ind w:left="20"/>
              <w:spacing w:after="0" w:line="179" w:lineRule="exact"/>
              <w:rPr>
                <w:sz w:val="20"/>
                <w:szCs w:val="20"/>
                <w:color w:val="auto"/>
              </w:rPr>
            </w:pPr>
            <w:r>
              <w:rPr>
                <w:rFonts w:ascii="Arial" w:cs="Arial" w:eastAsia="Arial" w:hAnsi="Arial"/>
                <w:sz w:val="13"/>
                <w:szCs w:val="13"/>
                <w:color w:val="auto"/>
              </w:rPr>
              <w:t>Sparus Holdings</w:t>
            </w:r>
            <w:r>
              <w:rPr>
                <w:rFonts w:ascii="Arial" w:cs="Arial" w:eastAsia="Arial" w:hAnsi="Arial"/>
                <w:sz w:val="20"/>
                <w:szCs w:val="20"/>
                <w:color w:val="auto"/>
                <w:vertAlign w:val="superscript"/>
              </w:rPr>
              <w:t>(6)</w:t>
            </w:r>
          </w:p>
        </w:tc>
        <w:tc>
          <w:tcPr>
            <w:tcW w:w="40" w:type="dxa"/>
            <w:vAlign w:val="bottom"/>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Subordinated Debt (12% Cash)</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6,523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1,543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(5,880)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4"/>
                <w:szCs w:val="14"/>
                <w:color w:val="auto"/>
              </w:rPr>
              <w:t>(2,186)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Sparus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Series B Preferred Stock (5,703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(1,173)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440" w:type="dxa"/>
            <w:vAlign w:val="bottom"/>
          </w:tcPr>
          <w:p>
            <w:pPr>
              <w:ind w:left="20"/>
              <w:spacing w:after="0"/>
              <w:rPr>
                <w:sz w:val="20"/>
                <w:szCs w:val="20"/>
                <w:color w:val="auto"/>
              </w:rPr>
            </w:pPr>
            <w:r>
              <w:rPr>
                <w:rFonts w:ascii="Arial" w:cs="Arial" w:eastAsia="Arial" w:hAnsi="Arial"/>
                <w:sz w:val="14"/>
                <w:szCs w:val="14"/>
                <w:color w:val="auto"/>
              </w:rPr>
              <w:t>Sparus Holdings</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Common Stock Warrants (3,491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vMerge w:val="restart"/>
          </w:tcPr>
          <w:p>
            <w:pPr>
              <w:ind w:left="20"/>
              <w:spacing w:after="0"/>
              <w:rPr>
                <w:sz w:val="20"/>
                <w:szCs w:val="20"/>
                <w:color w:val="auto"/>
              </w:rPr>
            </w:pPr>
            <w:r>
              <w:rPr>
                <w:rFonts w:ascii="Arial" w:cs="Arial" w:eastAsia="Arial" w:hAnsi="Arial"/>
                <w:sz w:val="14"/>
                <w:szCs w:val="14"/>
                <w:color w:val="auto"/>
              </w:rPr>
              <w:t>STX Healthcare</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1,267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10,573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3,786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(11,000</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(3,359)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Management</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Services,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(12.5%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6,425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6,398</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STX Healthcare</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Management</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Services,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(1,200,000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STX Healthcare</w:t>
            </w:r>
          </w:p>
        </w:tc>
        <w:tc>
          <w:tcPr>
            <w:tcW w:w="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line="149" w:lineRule="exact"/>
              <w:rPr>
                <w:sz w:val="20"/>
                <w:szCs w:val="20"/>
                <w:color w:val="auto"/>
              </w:rPr>
            </w:pPr>
            <w:r>
              <w:rPr>
                <w:rFonts w:ascii="Arial" w:cs="Arial" w:eastAsia="Arial" w:hAnsi="Arial"/>
                <w:sz w:val="14"/>
                <w:szCs w:val="14"/>
                <w:color w:val="auto"/>
              </w:rPr>
              <w:t>Management</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 (1,154,254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40" w:type="dxa"/>
            <w:vAlign w:val="bottom"/>
          </w:tcPr>
          <w:p>
            <w:pPr>
              <w:ind w:left="200"/>
              <w:spacing w:after="0"/>
              <w:rPr>
                <w:sz w:val="20"/>
                <w:szCs w:val="20"/>
                <w:color w:val="auto"/>
              </w:rPr>
            </w:pPr>
            <w:r>
              <w:rPr>
                <w:rFonts w:ascii="Arial" w:cs="Arial" w:eastAsia="Arial" w:hAnsi="Arial"/>
                <w:sz w:val="14"/>
                <w:szCs w:val="14"/>
                <w:color w:val="auto"/>
              </w:rPr>
              <w:t>Services, 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687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320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142"/>
        </w:trPr>
        <w:tc>
          <w:tcPr>
            <w:tcW w:w="1440" w:type="dxa"/>
            <w:vAlign w:val="bottom"/>
            <w:vMerge w:val="restart"/>
          </w:tcPr>
          <w:p>
            <w:pPr>
              <w:ind w:left="20"/>
              <w:spacing w:after="0"/>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Subordinated Debt (12% Cash, 2% PIK)</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7,826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1,576</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11,995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1,356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(4,983)</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8,368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Subordinated Debt (12% Cash, 2% PIK)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9,516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(3,928)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6,668</w:t>
            </w:r>
          </w:p>
        </w:tc>
        <w:tc>
          <w:tcPr>
            <w:tcW w:w="0" w:type="dxa"/>
            <w:vAlign w:val="bottom"/>
          </w:tcPr>
          <w:p>
            <w:pPr>
              <w:spacing w:after="0"/>
              <w:rPr>
                <w:sz w:val="1"/>
                <w:szCs w:val="1"/>
                <w:color w:val="auto"/>
              </w:rPr>
            </w:pPr>
          </w:p>
        </w:tc>
      </w:tr>
      <w:tr>
        <w:trPr>
          <w:trHeight w:val="167"/>
        </w:trPr>
        <w:tc>
          <w:tcPr>
            <w:tcW w:w="1440" w:type="dxa"/>
            <w:vAlign w:val="bottom"/>
          </w:tcPr>
          <w:p>
            <w:pPr>
              <w:ind w:left="20"/>
              <w:spacing w:after="0"/>
              <w:rPr>
                <w:sz w:val="20"/>
                <w:szCs w:val="20"/>
                <w:color w:val="auto"/>
              </w:rPr>
            </w:pPr>
            <w:r>
              <w:rPr>
                <w:rFonts w:ascii="Arial" w:cs="Arial" w:eastAsia="Arial" w:hAnsi="Arial"/>
                <w:sz w:val="14"/>
                <w:szCs w:val="14"/>
                <w:color w:val="auto"/>
              </w:rPr>
              <w:t>TCE Holdings, Inc.</w:t>
            </w: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Class A Common Stock (3,600 shares)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2,650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(2,650)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vMerge w:val="restart"/>
          </w:tcPr>
          <w:p>
            <w:pPr>
              <w:ind w:left="20"/>
              <w:spacing w:after="0"/>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vMerge w:val="restart"/>
          </w:tcPr>
          <w:p>
            <w:pPr>
              <w:ind w:left="80"/>
              <w:spacing w:after="0"/>
              <w:rPr>
                <w:sz w:val="20"/>
                <w:szCs w:val="20"/>
                <w:color w:val="auto"/>
              </w:rPr>
            </w:pPr>
            <w:r>
              <w:rPr>
                <w:rFonts w:ascii="Arial" w:cs="Arial" w:eastAsia="Arial" w:hAnsi="Arial"/>
                <w:sz w:val="14"/>
                <w:szCs w:val="14"/>
                <w:color w:val="auto"/>
              </w:rPr>
              <w:t>Senior Secured Term Debt (15% PIK)</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24,161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(11,561</w:t>
            </w:r>
          </w:p>
        </w:tc>
        <w:tc>
          <w:tcPr>
            <w:tcW w:w="160" w:type="dxa"/>
            <w:vAlign w:val="bottom"/>
          </w:tcPr>
          <w:p>
            <w:pPr>
              <w:jc w:val="right"/>
              <w:ind w:right="28"/>
              <w:spacing w:after="0" w:line="142"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406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rPr>
              <w:t>641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1,047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Bridge Note (0%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Tier 2 Note (0%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Senior Subordinated Note (0%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3,563</w:t>
            </w:r>
          </w:p>
        </w:tc>
        <w:tc>
          <w:tcPr>
            <w:tcW w:w="0" w:type="dxa"/>
            <w:vAlign w:val="bottom"/>
          </w:tcPr>
          <w:p>
            <w:pPr>
              <w:spacing w:after="0"/>
              <w:rPr>
                <w:sz w:val="1"/>
                <w:szCs w:val="1"/>
                <w:color w:val="auto"/>
              </w:rPr>
            </w:pPr>
          </w:p>
        </w:tc>
      </w:tr>
      <w:tr>
        <w:trPr>
          <w:trHeight w:val="182"/>
        </w:trPr>
        <w:tc>
          <w:tcPr>
            <w:tcW w:w="1440" w:type="dxa"/>
            <w:vAlign w:val="bottom"/>
          </w:tcPr>
          <w:p>
            <w:pPr>
              <w:ind w:left="20"/>
              <w:spacing w:after="0"/>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5"/>
                <w:szCs w:val="15"/>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Tier 3 Note (0% Cash)</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299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0" w:name="page131"/>
    <w:bookmarkEnd w:id="130"/>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Transactions With Affiliated Companies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61575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5759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52070</wp:posOffset>
            </wp:positionV>
            <wp:extent cx="61575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Amount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Portfolio Company</w:t>
            </w:r>
            <w:r>
              <w:rPr>
                <w:rFonts w:ascii="Arial" w:cs="Arial" w:eastAsia="Arial" w:hAnsi="Arial"/>
                <w:sz w:val="20"/>
                <w:szCs w:val="20"/>
                <w:b w:val="1"/>
                <w:bCs w:val="1"/>
                <w:color w:val="auto"/>
                <w:vertAlign w:val="superscript"/>
              </w:rPr>
              <w:t>(4)</w:t>
            </w: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Credited to</w:t>
            </w:r>
          </w:p>
        </w:tc>
        <w:tc>
          <w:tcPr>
            <w:tcW w:w="4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2"/>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Realized</w:t>
            </w:r>
          </w:p>
        </w:tc>
        <w:tc>
          <w:tcPr>
            <w:tcW w:w="4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Type of Investment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1"/>
              </w:rPr>
              <w:t>Income</w:t>
            </w:r>
            <w:r>
              <w:rPr>
                <w:rFonts w:ascii="Arial" w:cs="Arial" w:eastAsia="Arial" w:hAnsi="Arial"/>
                <w:sz w:val="18"/>
                <w:szCs w:val="18"/>
                <w:b w:val="1"/>
                <w:bCs w:val="1"/>
                <w:color w:val="auto"/>
                <w:w w:val="91"/>
                <w:vertAlign w:val="superscript"/>
              </w:rPr>
              <w:t>(1)</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9"/>
              </w:rPr>
              <w:t>2014 Value</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1"/>
              </w:rPr>
              <w:t>Additions</w:t>
            </w:r>
            <w:r>
              <w:rPr>
                <w:rFonts w:ascii="Arial" w:cs="Arial" w:eastAsia="Arial" w:hAnsi="Arial"/>
                <w:sz w:val="18"/>
                <w:szCs w:val="18"/>
                <w:b w:val="1"/>
                <w:bCs w:val="1"/>
                <w:color w:val="auto"/>
                <w:w w:val="91"/>
                <w:vertAlign w:val="superscript"/>
              </w:rPr>
              <w:t>(2)</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2"/>
                <w:szCs w:val="12"/>
                <w:b w:val="1"/>
                <w:bCs w:val="1"/>
                <w:color w:val="auto"/>
                <w:w w:val="97"/>
              </w:rPr>
              <w:t>Reductions</w:t>
            </w:r>
            <w:r>
              <w:rPr>
                <w:rFonts w:ascii="Arial" w:cs="Arial" w:eastAsia="Arial" w:hAnsi="Arial"/>
                <w:sz w:val="18"/>
                <w:szCs w:val="18"/>
                <w:b w:val="1"/>
                <w:bCs w:val="1"/>
                <w:color w:val="auto"/>
                <w:w w:val="97"/>
                <w:vertAlign w:val="superscript"/>
              </w:rPr>
              <w:t>(3)</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Gain/(Loss)</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9"/>
              </w:rPr>
              <w:t>2015 Value</w:t>
            </w:r>
          </w:p>
        </w:tc>
        <w:tc>
          <w:tcPr>
            <w:tcW w:w="0" w:type="dxa"/>
            <w:vAlign w:val="bottom"/>
          </w:tcPr>
          <w:p>
            <w:pPr>
              <w:spacing w:after="0"/>
              <w:rPr>
                <w:sz w:val="1"/>
                <w:szCs w:val="1"/>
                <w:color w:val="auto"/>
              </w:rPr>
            </w:pPr>
          </w:p>
        </w:tc>
      </w:tr>
      <w:tr>
        <w:trPr>
          <w:trHeight w:val="123"/>
        </w:trPr>
        <w:tc>
          <w:tcPr>
            <w:tcW w:w="14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0"/>
                <w:szCs w:val="10"/>
                <w:color w:val="auto"/>
              </w:rPr>
            </w:pPr>
          </w:p>
        </w:tc>
        <w:tc>
          <w:tcPr>
            <w:tcW w:w="2660" w:type="dxa"/>
            <w:vAlign w:val="bottom"/>
          </w:tcPr>
          <w:p>
            <w:pPr>
              <w:ind w:left="80"/>
              <w:spacing w:after="0" w:line="123" w:lineRule="exact"/>
              <w:rPr>
                <w:sz w:val="20"/>
                <w:szCs w:val="20"/>
                <w:color w:val="auto"/>
              </w:rPr>
            </w:pPr>
            <w:r>
              <w:rPr>
                <w:rFonts w:ascii="Arial" w:cs="Arial" w:eastAsia="Arial" w:hAnsi="Arial"/>
                <w:sz w:val="14"/>
                <w:szCs w:val="14"/>
                <w:color w:val="auto"/>
              </w:rPr>
              <w:t>Jr. Subordinated Note (0% Cash)</w:t>
            </w:r>
          </w:p>
        </w:tc>
        <w:tc>
          <w:tcPr>
            <w:tcW w:w="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2,750</w:t>
            </w:r>
          </w:p>
        </w:tc>
        <w:tc>
          <w:tcPr>
            <w:tcW w:w="40" w:type="dxa"/>
            <w:vAlign w:val="bottom"/>
          </w:tcPr>
          <w:p>
            <w:pPr>
              <w:spacing w:after="0"/>
              <w:rPr>
                <w:sz w:val="10"/>
                <w:szCs w:val="10"/>
                <w:color w:val="auto"/>
              </w:rPr>
            </w:pP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2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ind w:left="500"/>
              <w:spacing w:after="0" w:line="12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40"/>
              <w:spacing w:after="0" w:line="12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60"/>
              <w:spacing w:after="0" w:line="123" w:lineRule="exact"/>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Tier 4 Note (0% Cash)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Series A-1 Preferred Stock (255,102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w w:val="95"/>
              </w:rPr>
              <w:t>Series A-3 Preferred Stock (88,194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w w:val="95"/>
              </w:rPr>
              <w:t>Series A-5 Preferred Stock (20,530 shares)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49"/>
        </w:trPr>
        <w:tc>
          <w:tcPr>
            <w:tcW w:w="14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V12 Holdings</w:t>
            </w:r>
          </w:p>
        </w:tc>
        <w:tc>
          <w:tcPr>
            <w:tcW w:w="40" w:type="dxa"/>
            <w:vAlign w:val="bottom"/>
          </w:tcPr>
          <w:p>
            <w:pPr>
              <w:spacing w:after="0"/>
              <w:rPr>
                <w:sz w:val="12"/>
                <w:szCs w:val="12"/>
                <w:color w:val="auto"/>
              </w:rPr>
            </w:pPr>
          </w:p>
        </w:tc>
        <w:tc>
          <w:tcPr>
            <w:tcW w:w="2660" w:type="dxa"/>
            <w:vAlign w:val="bottom"/>
          </w:tcPr>
          <w:p>
            <w:pPr>
              <w:ind w:left="80"/>
              <w:spacing w:after="0" w:line="149" w:lineRule="exact"/>
              <w:rPr>
                <w:sz w:val="20"/>
                <w:szCs w:val="20"/>
                <w:color w:val="auto"/>
              </w:rPr>
            </w:pPr>
            <w:r>
              <w:rPr>
                <w:rFonts w:ascii="Arial" w:cs="Arial" w:eastAsia="Arial" w:hAnsi="Arial"/>
                <w:sz w:val="14"/>
                <w:szCs w:val="14"/>
                <w:color w:val="auto"/>
              </w:rPr>
              <w:t>Common Stock Warrants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Pr>
          <w:p>
            <w:pPr>
              <w:ind w:left="80"/>
              <w:spacing w:after="0"/>
              <w:rPr>
                <w:sz w:val="20"/>
                <w:szCs w:val="20"/>
                <w:color w:val="auto"/>
              </w:rPr>
            </w:pPr>
            <w:r>
              <w:rPr>
                <w:rFonts w:ascii="Arial" w:cs="Arial" w:eastAsia="Arial" w:hAnsi="Arial"/>
                <w:sz w:val="14"/>
                <w:szCs w:val="14"/>
                <w:color w:val="auto"/>
              </w:rPr>
              <w:t>(2,063,629 warrants)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Total Affiliate Investments</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8,005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2,201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50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4"/>
              </w:rPr>
              <w:t>)</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84"/>
              </w:rPr>
              <w:t>)</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11,704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171,471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35,799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84"/>
              </w:rPr>
              <w:t>(80,811</w:t>
            </w:r>
          </w:p>
        </w:tc>
        <w:tc>
          <w:tcPr>
            <w:tcW w:w="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85"/>
              </w:rPr>
              <w:t>(9,109</w:t>
            </w:r>
          </w:p>
        </w:tc>
        <w:tc>
          <w:tcPr>
            <w:tcW w:w="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117,350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1039" w:hanging="272"/>
        <w:spacing w:after="0" w:line="277" w:lineRule="auto"/>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the total amount of interest, fees or dividends credited to income for the portion of the year an investment was included in Control or Affiliate categories, respectively.</w:t>
      </w:r>
    </w:p>
    <w:p>
      <w:pPr>
        <w:spacing w:after="0" w:line="62" w:lineRule="exact"/>
        <w:rPr>
          <w:rFonts w:ascii="Arial" w:cs="Arial" w:eastAsia="Arial" w:hAnsi="Arial"/>
          <w:sz w:val="18"/>
          <w:szCs w:val="18"/>
          <w:color w:val="auto"/>
        </w:rPr>
      </w:pPr>
    </w:p>
    <w:p>
      <w:pPr>
        <w:ind w:left="300" w:right="1379" w:hanging="272"/>
        <w:spacing w:after="0" w:line="342" w:lineRule="auto"/>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Gross additions include increases in the cost basis of investments resulting from new portfolio investment, follow-on investments and accrued PIK interest. Gross Additions also include net increases in unrealized appreciation.</w:t>
      </w:r>
    </w:p>
    <w:p>
      <w:pPr>
        <w:spacing w:after="0" w:line="15" w:lineRule="exact"/>
        <w:rPr>
          <w:rFonts w:ascii="Arial" w:cs="Arial" w:eastAsia="Arial" w:hAnsi="Arial"/>
          <w:sz w:val="16"/>
          <w:szCs w:val="16"/>
          <w:color w:val="auto"/>
        </w:rPr>
      </w:pPr>
    </w:p>
    <w:p>
      <w:pPr>
        <w:ind w:left="300" w:right="719" w:hanging="272"/>
        <w:spacing w:after="0" w:line="277" w:lineRule="auto"/>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Gross reductions include decreases in the total cost basis of investments resulting from principal or PIK repayments, sales and net unrealized depreciation.</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debt investments are income producing. Equity and warrant investments are non-income producing, unless otherwise noted.</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117" w:lineRule="exact"/>
        <w:rPr>
          <w:rFonts w:ascii="Arial" w:cs="Arial" w:eastAsia="Arial" w:hAnsi="Arial"/>
          <w:sz w:val="18"/>
          <w:szCs w:val="18"/>
          <w:color w:val="auto"/>
        </w:rPr>
      </w:pPr>
    </w:p>
    <w:p>
      <w:pPr>
        <w:ind w:left="300" w:right="1059" w:hanging="272"/>
        <w:spacing w:after="0" w:line="277" w:lineRule="auto"/>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Gross reduction includes the transfer of 12/31/15 fair value due to reclassification of the investment from affiliate to non-control/non-affiliate during the year.</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Agreements</w:t>
      </w:r>
    </w:p>
    <w:p>
      <w:pPr>
        <w:spacing w:after="0" w:line="121" w:lineRule="exact"/>
        <w:rPr>
          <w:sz w:val="20"/>
          <w:szCs w:val="20"/>
          <w:color w:val="auto"/>
        </w:rPr>
      </w:pPr>
    </w:p>
    <w:p>
      <w:pPr>
        <w:ind w:left="60" w:right="599" w:firstLine="270"/>
        <w:spacing w:after="0" w:line="254" w:lineRule="auto"/>
        <w:rPr>
          <w:sz w:val="20"/>
          <w:szCs w:val="20"/>
          <w:color w:val="auto"/>
        </w:rPr>
      </w:pPr>
      <w:r>
        <w:rPr>
          <w:rFonts w:ascii="Arial" w:cs="Arial" w:eastAsia="Arial" w:hAnsi="Arial"/>
          <w:sz w:val="18"/>
          <w:szCs w:val="18"/>
          <w:color w:val="auto"/>
        </w:rPr>
        <w:t>On September 24, 2013, the Company entered into an investment advisory agreement (the “Investment Advisory Agreement”) with our Investment Advisor, which was initially approved by the Board on June 10, 2013. Unless earlier terminated in accordance with its terms, the Investment Advisory Agreement will remain in effect if approved annually by the Board by a majority of our outstanding voting securities, including, in either case, by a majority of our non-interested directors. The Investment Advisory Agreement was re-approved by the Board, including by a majority of our non-interested directors at an in-person meeting, on August 6, 2015.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84" w:lineRule="exact"/>
        <w:rPr>
          <w:sz w:val="20"/>
          <w:szCs w:val="20"/>
          <w:color w:val="auto"/>
        </w:rPr>
      </w:pPr>
    </w:p>
    <w:p>
      <w:pPr>
        <w:ind w:left="620" w:right="1139" w:hanging="322"/>
        <w:spacing w:after="0" w:line="277" w:lineRule="auto"/>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62" w:lineRule="exact"/>
        <w:rPr>
          <w:rFonts w:ascii="Arial" w:cs="Arial" w:eastAsia="Arial" w:hAnsi="Arial"/>
          <w:sz w:val="18"/>
          <w:szCs w:val="18"/>
          <w:color w:val="auto"/>
        </w:rPr>
      </w:pPr>
    </w:p>
    <w:p>
      <w:pPr>
        <w:ind w:left="620" w:right="819" w:hanging="322"/>
        <w:spacing w:after="0" w:line="277" w:lineRule="auto"/>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117"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Agreements – (continued)</w:t>
      </w:r>
    </w:p>
    <w:p>
      <w:pPr>
        <w:spacing w:after="0" w:line="121"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70" w:lineRule="exact"/>
        <w:rPr>
          <w:sz w:val="20"/>
          <w:szCs w:val="20"/>
          <w:color w:val="auto"/>
        </w:rPr>
      </w:pPr>
    </w:p>
    <w:p>
      <w:pPr>
        <w:ind w:left="40" w:right="699" w:firstLine="270"/>
        <w:spacing w:after="0" w:line="342" w:lineRule="auto"/>
        <w:rPr>
          <w:sz w:val="20"/>
          <w:szCs w:val="20"/>
          <w:color w:val="auto"/>
        </w:rPr>
      </w:pPr>
      <w:r>
        <w:rPr>
          <w:rFonts w:ascii="Arial" w:cs="Arial" w:eastAsia="Arial" w:hAnsi="Arial"/>
          <w:sz w:val="16"/>
          <w:szCs w:val="16"/>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6"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was initially calculated based on the value of the gross assets at the end of the first calendar quarter subsequent to the IPO, and thereafter based on the average value of the gross assets at the end of the two most recently completed calendar quarters, and appropriately adjusted for any share issuances or repurchases during the current calendar quarter. For the first twelve months following the IPO, the Investment Advisor waived the portion of the base management fee payable on cash and cash equivalents held at the Company level, excluding cash and cash equivalents held by the Legacy Funds that were acquired by the Company in connection with the Formation Transactions.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Prior to the Formation Transactions, the management fee charged by each Legacy Fund for each fiscal quarter was the lesser of</w:t>
      </w:r>
    </w:p>
    <w:p>
      <w:pPr>
        <w:spacing w:after="0" w:line="46" w:lineRule="exact"/>
        <w:rPr>
          <w:sz w:val="20"/>
          <w:szCs w:val="20"/>
          <w:color w:val="auto"/>
        </w:rPr>
      </w:pPr>
    </w:p>
    <w:p>
      <w:pPr>
        <w:ind w:left="40" w:right="539" w:firstLine="8"/>
        <w:spacing w:after="0" w:line="252" w:lineRule="auto"/>
        <w:tabs>
          <w:tab w:leader="none" w:pos="2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amount equal to an annual rate of .625% of the sum of (i) the Legacy Fund’s regulatory capital and (ii) the amount of an assumed two tiers of outstanding leverage based on such regulatory capital, or (b) an amount negotiated between the General Partner of the Legacy Funds and the Management Company of the Legacy Funds. The management fee was reduced by certain fees ultimately received by the Management Company of the Legacy Funds from the portfolio companies. Payments of the management fee were made quarterly in advance. Certain direct expenses such as legal, audit, tax, and limited partner expense were the responsibility of the Legacy Funds.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incentive fee consists of the following two parts:</w:t>
      </w:r>
    </w:p>
    <w:p>
      <w:pPr>
        <w:spacing w:after="0" w:line="117"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w:t>
      </w:r>
    </w:p>
    <w:p>
      <w:pPr>
        <w:spacing w:after="0" w:line="200" w:lineRule="exact"/>
        <w:rPr>
          <w:sz w:val="20"/>
          <w:szCs w:val="20"/>
          <w:color w:val="auto"/>
        </w:rPr>
      </w:pP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Agreements – (continued)</w:t>
      </w:r>
    </w:p>
    <w:p>
      <w:pPr>
        <w:spacing w:after="0" w:line="121" w:lineRule="exact"/>
        <w:rPr>
          <w:sz w:val="20"/>
          <w:szCs w:val="20"/>
          <w:color w:val="auto"/>
        </w:rPr>
      </w:pPr>
    </w:p>
    <w:p>
      <w:pPr>
        <w:jc w:val="both"/>
        <w:ind w:left="40" w:right="919"/>
        <w:spacing w:after="0" w:line="264" w:lineRule="auto"/>
        <w:rPr>
          <w:sz w:val="20"/>
          <w:szCs w:val="20"/>
          <w:color w:val="auto"/>
        </w:rPr>
      </w:pPr>
      <w:r>
        <w:rPr>
          <w:rFonts w:ascii="Arial" w:cs="Arial" w:eastAsia="Arial" w:hAnsi="Arial"/>
          <w:sz w:val="18"/>
          <w:szCs w:val="18"/>
          <w:color w:val="auto"/>
        </w:rPr>
        <w:t>net investment income used to calculate this part of the incentive fee is also included in the amount of the gross assets used to calculate the 1.75% base management fee. The Company pays the Investment Advisor an incentive fee with respect to the pre-incentive fee net investment income in each calendar quarter as follows:</w:t>
      </w:r>
    </w:p>
    <w:p>
      <w:pPr>
        <w:spacing w:after="0" w:line="73" w:lineRule="exact"/>
        <w:rPr>
          <w:sz w:val="20"/>
          <w:szCs w:val="20"/>
          <w:color w:val="auto"/>
        </w:rPr>
      </w:pPr>
    </w:p>
    <w:p>
      <w:pPr>
        <w:ind w:left="600" w:right="599" w:hanging="322"/>
        <w:spacing w:after="0" w:line="277"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62" w:lineRule="exact"/>
        <w:rPr>
          <w:rFonts w:ascii="Arial" w:cs="Arial" w:eastAsia="Arial" w:hAnsi="Arial"/>
          <w:sz w:val="18"/>
          <w:szCs w:val="18"/>
          <w:color w:val="auto"/>
        </w:rPr>
      </w:pPr>
    </w:p>
    <w:p>
      <w:pPr>
        <w:ind w:left="600" w:right="639" w:hanging="322"/>
        <w:spacing w:after="0" w:line="297" w:lineRule="auto"/>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50" w:lineRule="exact"/>
        <w:rPr>
          <w:rFonts w:ascii="Arial" w:cs="Arial" w:eastAsia="Arial" w:hAnsi="Arial"/>
          <w:sz w:val="16"/>
          <w:szCs w:val="16"/>
          <w:color w:val="auto"/>
        </w:rPr>
      </w:pPr>
    </w:p>
    <w:p>
      <w:pPr>
        <w:ind w:left="600" w:right="559" w:hanging="322"/>
        <w:spacing w:after="0" w:line="264"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73"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As announced on January 4, 2016, the Investment Advisor has voluntarily agreed to waive all or such portion of the quarterly incentive fees earned by the Investment Advisor that would otherwise cause the Company’s quarterly net investment income to be less than the distribution payments declared by the Board. Quarterly incentive fees are earned by the Investment Advisor pursuant to the Investment Advisory Agreement. Incentive fees subject to the waiver cannot exceed the amount of incentive fees earned during the period, as calculated on a quarterly basis. The Investment Advisor will not be entitled to recoup any amount of incentive fees that it waives. This waiver was effective for the fourth quarter of 2015 and will continue for 2016, unless otherwise publicly disclosed by the Company.</w:t>
      </w:r>
    </w:p>
    <w:p>
      <w:pPr>
        <w:spacing w:after="0" w:line="81"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Agreement, as of the termination date), and will equal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with respect to each of the investments in our portfolio, provided that, the incentive fee determined as of December 31, 2013 was calculated for a period of shorter than twelve calendar months to take into account any realized capital gains computed net of all realized capital losses and unrealized capital depreciation from the inception of Capitala Finance.</w:t>
      </w:r>
    </w:p>
    <w:p>
      <w:pPr>
        <w:spacing w:after="0" w:line="59" w:lineRule="exact"/>
        <w:rPr>
          <w:sz w:val="20"/>
          <w:szCs w:val="20"/>
          <w:color w:val="auto"/>
        </w:rPr>
      </w:pPr>
    </w:p>
    <w:p>
      <w:pPr>
        <w:ind w:left="40" w:right="879" w:firstLine="270"/>
        <w:spacing w:after="0" w:line="293" w:lineRule="auto"/>
        <w:rPr>
          <w:sz w:val="20"/>
          <w:szCs w:val="20"/>
          <w:color w:val="auto"/>
        </w:rPr>
      </w:pPr>
      <w:r>
        <w:rPr>
          <w:rFonts w:ascii="Arial" w:cs="Arial" w:eastAsia="Arial" w:hAnsi="Arial"/>
          <w:sz w:val="16"/>
          <w:szCs w:val="16"/>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w:t>
      </w:r>
    </w:p>
    <w:p>
      <w:pPr>
        <w:spacing w:after="0" w:line="57"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For the years ended December 31, 2015, 2014 and 2013, the Company incurred $10.6 million, $9.3 million and $5.1 million in base management fees, respectively. For the years ended December 31, 2015, 2014 and 2013, our Investment Advisor waived management fees of $0.0 million, $0.2 million and $0.3 million, respectively. The Company incurred $6.0 million, $2.8 million, and $1.5 million in incentive fees related to pre-incentive fee net investment income for the years ended December 31, 2015, 2014, and 2013,</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3" w:name="page134"/>
    <w:bookmarkEnd w:id="133"/>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7. Agreements – (continued)</w:t>
      </w:r>
    </w:p>
    <w:p>
      <w:pPr>
        <w:spacing w:after="0" w:line="121" w:lineRule="exact"/>
        <w:rPr>
          <w:sz w:val="20"/>
          <w:szCs w:val="20"/>
          <w:color w:val="auto"/>
        </w:rPr>
      </w:pPr>
    </w:p>
    <w:p>
      <w:pPr>
        <w:ind w:left="180" w:right="1099"/>
        <w:spacing w:after="0" w:line="277" w:lineRule="auto"/>
        <w:rPr>
          <w:sz w:val="20"/>
          <w:szCs w:val="20"/>
          <w:color w:val="auto"/>
        </w:rPr>
      </w:pPr>
      <w:r>
        <w:rPr>
          <w:rFonts w:ascii="Arial" w:cs="Arial" w:eastAsia="Arial" w:hAnsi="Arial"/>
          <w:sz w:val="18"/>
          <w:szCs w:val="18"/>
          <w:color w:val="auto"/>
        </w:rPr>
        <w:t>respectively. For the years ended December 31, 2015, 2014 and 2013, our Investment Advisor waived incentive fees of $1.1 million, $0.0 million and $0.0 million, respectively.</w:t>
      </w:r>
    </w:p>
    <w:p>
      <w:pPr>
        <w:spacing w:after="0" w:line="62" w:lineRule="exact"/>
        <w:rPr>
          <w:sz w:val="20"/>
          <w:szCs w:val="20"/>
          <w:color w:val="auto"/>
        </w:rPr>
      </w:pPr>
    </w:p>
    <w:p>
      <w:pPr>
        <w:ind w:left="180" w:right="599" w:firstLine="270"/>
        <w:spacing w:after="0" w:line="271" w:lineRule="auto"/>
        <w:rPr>
          <w:sz w:val="20"/>
          <w:szCs w:val="20"/>
          <w:color w:val="auto"/>
        </w:rPr>
      </w:pPr>
      <w:r>
        <w:rPr>
          <w:rFonts w:ascii="Arial" w:cs="Arial" w:eastAsia="Arial" w:hAnsi="Arial"/>
          <w:sz w:val="17"/>
          <w:szCs w:val="17"/>
          <w:color w:val="auto"/>
        </w:rPr>
        <w:t>On September 24, 2013, the Company entered into an administration agreement (the “Administration Agreement”) with Capitala Advisors Corp., the Administrator,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71" w:lineRule="exact"/>
        <w:rPr>
          <w:sz w:val="20"/>
          <w:szCs w:val="20"/>
          <w:color w:val="auto"/>
        </w:rPr>
      </w:pPr>
    </w:p>
    <w:p>
      <w:pPr>
        <w:ind w:left="180" w:right="599" w:firstLine="270"/>
        <w:spacing w:after="0" w:line="270" w:lineRule="auto"/>
        <w:rPr>
          <w:sz w:val="20"/>
          <w:szCs w:val="20"/>
          <w:color w:val="auto"/>
        </w:rPr>
      </w:pPr>
      <w:r>
        <w:rPr>
          <w:rFonts w:ascii="Arial" w:cs="Arial" w:eastAsia="Arial" w:hAnsi="Arial"/>
          <w:sz w:val="17"/>
          <w:szCs w:val="17"/>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chief compliance officer and the allocable portion of the compensation of their respective administrative support staff. Under the Administration Agreement, the Administrator will also provide on their behalf, managerial assistance to those portfolio companies that request such assistance. The Administration Agreement will have an initial term of two years and may be renewed with the approval of the Board. The Administration Agreement may be terminated by either party without penalty upon 60 days’ written notice to the other party.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70" w:lineRule="exact"/>
        <w:rPr>
          <w:sz w:val="20"/>
          <w:szCs w:val="20"/>
          <w:color w:val="auto"/>
        </w:rPr>
      </w:pPr>
    </w:p>
    <w:p>
      <w:pPr>
        <w:ind w:left="180" w:right="539" w:firstLine="270"/>
        <w:spacing w:after="0" w:line="277" w:lineRule="auto"/>
        <w:rPr>
          <w:sz w:val="20"/>
          <w:szCs w:val="20"/>
          <w:color w:val="auto"/>
        </w:rPr>
      </w:pPr>
      <w:r>
        <w:rPr>
          <w:rFonts w:ascii="Arial" w:cs="Arial" w:eastAsia="Arial" w:hAnsi="Arial"/>
          <w:sz w:val="18"/>
          <w:szCs w:val="18"/>
          <w:color w:val="auto"/>
        </w:rPr>
        <w:t>For the years ended December 31, 2015, 2014, and 2013, we paid the Administrator $1.1 million, $1.0 million, and $0.2 million for our allocable portion of the Administrator’s overhead.</w:t>
      </w:r>
    </w:p>
    <w:p>
      <w:pPr>
        <w:spacing w:after="0" w:line="62" w:lineRule="exact"/>
        <w:rPr>
          <w:sz w:val="20"/>
          <w:szCs w:val="20"/>
          <w:color w:val="auto"/>
        </w:rPr>
      </w:pPr>
    </w:p>
    <w:p>
      <w:pPr>
        <w:ind w:left="180" w:right="659" w:firstLine="270"/>
        <w:spacing w:after="0" w:line="255"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8. Related Party Transactions</w:t>
      </w:r>
    </w:p>
    <w:p>
      <w:pPr>
        <w:spacing w:after="0" w:line="121" w:lineRule="exact"/>
        <w:rPr>
          <w:sz w:val="20"/>
          <w:szCs w:val="20"/>
          <w:color w:val="auto"/>
        </w:rPr>
      </w:pPr>
    </w:p>
    <w:p>
      <w:pPr>
        <w:ind w:left="180" w:right="699" w:firstLine="270"/>
        <w:spacing w:after="0" w:line="342" w:lineRule="auto"/>
        <w:rPr>
          <w:sz w:val="20"/>
          <w:szCs w:val="20"/>
          <w:color w:val="auto"/>
        </w:rPr>
      </w:pPr>
      <w:r>
        <w:rPr>
          <w:rFonts w:ascii="Arial" w:cs="Arial" w:eastAsia="Arial" w:hAnsi="Arial"/>
          <w:sz w:val="16"/>
          <w:szCs w:val="16"/>
          <w:color w:val="auto"/>
        </w:rPr>
        <w:t>At December 31, 2015 and December 31, 2014, the Company had the following receivables from (payables to) related parties relating to certain capital contributions, management fees, incentive fees and reimbursable expenses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47510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98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CapitalSouth Corporation</w:t>
            </w:r>
          </w:p>
        </w:tc>
        <w:tc>
          <w:tcPr>
            <w:tcW w:w="22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Shareholders/Limited Partners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Capitala Investment Advisors, LLC</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198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763"/>
        </w:trPr>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0" w:type="dxa"/>
            <w:vAlign w:val="bottom"/>
            <w:gridSpan w:val="2"/>
          </w:tcPr>
          <w:p>
            <w:pPr>
              <w:ind w:left="960"/>
              <w:spacing w:after="0"/>
              <w:rPr>
                <w:sz w:val="20"/>
                <w:szCs w:val="20"/>
                <w:color w:val="auto"/>
              </w:rPr>
            </w:pPr>
            <w:r>
              <w:rPr>
                <w:rFonts w:ascii="Arial" w:cs="Arial" w:eastAsia="Arial" w:hAnsi="Arial"/>
                <w:sz w:val="18"/>
                <w:szCs w:val="18"/>
                <w:color w:val="auto"/>
              </w:rPr>
              <w:t>F-44</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40" w:type="dxa"/>
            <w:vAlign w:val="bottom"/>
            <w:tcBorders>
              <w:bottom w:val="single" w:sz="8" w:color="9A9A9A"/>
            </w:tcBorders>
          </w:tcPr>
          <w:p>
            <w:pPr>
              <w:spacing w:after="0"/>
              <w:rPr>
                <w:sz w:val="14"/>
                <w:szCs w:val="14"/>
                <w:color w:val="auto"/>
              </w:rPr>
            </w:pPr>
          </w:p>
        </w:tc>
        <w:tc>
          <w:tcPr>
            <w:tcW w:w="2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40" w:type="dxa"/>
            <w:vAlign w:val="bottom"/>
            <w:tcBorders>
              <w:bottom w:val="single" w:sz="8" w:color="EEEEEE"/>
            </w:tcBorders>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-805180</wp:posOffset>
            </wp:positionV>
            <wp:extent cx="4751070" cy="1803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4" w:name="page135"/>
    <w:bookmarkEnd w:id="134"/>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8. Related Party Transactions – (continued)</w:t>
      </w:r>
    </w:p>
    <w:p>
      <w:pPr>
        <w:spacing w:after="0" w:line="121" w:lineRule="exact"/>
        <w:rPr>
          <w:sz w:val="20"/>
          <w:szCs w:val="20"/>
          <w:color w:val="auto"/>
        </w:rPr>
      </w:pPr>
    </w:p>
    <w:p>
      <w:pPr>
        <w:ind w:left="180" w:right="519" w:firstLine="270"/>
        <w:spacing w:after="0" w:line="277" w:lineRule="auto"/>
        <w:rPr>
          <w:sz w:val="20"/>
          <w:szCs w:val="20"/>
          <w:color w:val="auto"/>
        </w:rPr>
      </w:pPr>
      <w:r>
        <w:rPr>
          <w:rFonts w:ascii="Arial" w:cs="Arial" w:eastAsia="Arial" w:hAnsi="Arial"/>
          <w:sz w:val="18"/>
          <w:szCs w:val="18"/>
          <w:color w:val="auto"/>
        </w:rPr>
        <w:t>These amounts are reflected in the accompanying consolidated statements of assets and liabilities under the captions, “Due from related parties”, “Management and incentive fee payable” and “Due to related parties.”</w:t>
      </w:r>
    </w:p>
    <w:p>
      <w:pPr>
        <w:spacing w:after="0" w:line="62" w:lineRule="exact"/>
        <w:rPr>
          <w:sz w:val="20"/>
          <w:szCs w:val="20"/>
          <w:color w:val="auto"/>
        </w:rPr>
      </w:pPr>
    </w:p>
    <w:p>
      <w:pPr>
        <w:jc w:val="both"/>
        <w:ind w:left="180" w:right="599" w:firstLine="270"/>
        <w:spacing w:after="0" w:line="264" w:lineRule="auto"/>
        <w:rPr>
          <w:sz w:val="20"/>
          <w:szCs w:val="20"/>
          <w:color w:val="auto"/>
        </w:rPr>
      </w:pPr>
      <w:r>
        <w:rPr>
          <w:rFonts w:ascii="Arial" w:cs="Arial" w:eastAsia="Arial" w:hAnsi="Arial"/>
          <w:sz w:val="18"/>
          <w:szCs w:val="18"/>
          <w:color w:val="auto"/>
        </w:rPr>
        <w:t>At times, the Company maintains deposit accounts and certificates of deposit with financial institutions that are shareholders of the Company. Total deposits with these financial institutions were approximately $31 thousand at December 31, 2014. There were no related party deposits outstanding at December 31, 2015.</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9. Borrowings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through its two wholly-owned subsidiaries, uses debenture leverage provided through the SBA to fund a portion</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of its investment portfolio. As of December 31, 2015, the Company has $184.2 million of SBA-guaranteed debentures outstanding.</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has issued all SBA-guaranteed debentures that were permitted under each of the Legacy Funds’ respective SBIC</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licenses (as applicable), and there are no unused SBA debenture commitments remaining. SBA-guaranteed debentures are secured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by a lien on all assets of Fund II and Fund III. As of December 31, 2015, Fund II and Fund III had total assets of approximately</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$372.5 million. On June 10, 2014, the Company received an exemptive order from the SEC exempting the Company, Fund II, and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Fund III from certain provisions of the 1940 Act (including an exemptive order granting relief from the asset coverage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requirements for certain indebtedness issued by Fund II and Fund III as SBICs) and from certain reporting requirements mandated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by the Securities Exchange Act of 1934, as amended, with respect to Fund II and Fund III. The Company intends to comply with</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conditions of the order.</w:t>
      </w:r>
    </w:p>
    <w:p>
      <w:pPr>
        <w:spacing w:after="0" w:line="103" w:lineRule="exact"/>
        <w:rPr>
          <w:sz w:val="20"/>
          <w:szCs w:val="20"/>
          <w:color w:val="auto"/>
        </w:rPr>
      </w:pPr>
    </w:p>
    <w:p>
      <w:pPr>
        <w:ind w:left="180" w:right="579" w:firstLine="270"/>
        <w:spacing w:after="0" w:line="255" w:lineRule="auto"/>
        <w:rPr>
          <w:sz w:val="20"/>
          <w:szCs w:val="20"/>
          <w:color w:val="auto"/>
        </w:rPr>
      </w:pPr>
      <w:r>
        <w:rPr>
          <w:rFonts w:ascii="Arial" w:cs="Arial" w:eastAsia="Arial" w:hAnsi="Arial"/>
          <w:sz w:val="18"/>
          <w:szCs w:val="18"/>
          <w:color w:val="auto"/>
        </w:rPr>
        <w:t>For the years ended December 31, 2015, 2014 and 2013 we recorded $7.5 million, $7.8 million and $8.1 million in interest expense and annual charges and $0.7 million, $0.7 million and $0.3 million, respectively, of amortization of commitment and upfront fees on SBA-guaranteed debentures. The weighted average interest rate for all SBA-guaranteed debentures as of December 31, 2015 and December 31, 2014 was 3.45% and 3.51%, respectively. In addition to the stated interest rate, the SBA also charges an annual fee on all SBA-guaranteed debentures issued, which is included in the Company’s interest expense. The weighted average annual fee for all SBA-guaranteed debentures as of December 31, 2015 and December 31, 2014 was 0.46% and 0.48%, respectively.</w:t>
      </w:r>
    </w:p>
    <w:p>
      <w:pPr>
        <w:spacing w:after="0" w:line="81" w:lineRule="exact"/>
        <w:rPr>
          <w:sz w:val="20"/>
          <w:szCs w:val="20"/>
          <w:color w:val="auto"/>
        </w:rPr>
      </w:pPr>
    </w:p>
    <w:p>
      <w:pPr>
        <w:ind w:left="180" w:right="659" w:firstLine="270"/>
        <w:spacing w:after="0" w:line="277" w:lineRule="auto"/>
        <w:rPr>
          <w:sz w:val="20"/>
          <w:szCs w:val="20"/>
          <w:color w:val="auto"/>
        </w:rPr>
      </w:pPr>
      <w:r>
        <w:rPr>
          <w:rFonts w:ascii="Arial" w:cs="Arial" w:eastAsia="Arial" w:hAnsi="Arial"/>
          <w:sz w:val="18"/>
          <w:szCs w:val="18"/>
          <w:color w:val="auto"/>
        </w:rPr>
        <w:t>As of December 31, 2015 and December 31, 2014, the Company’s issued and outstanding SBA-guaranteed debentures mature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1968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SBA Annual</w:t>
            </w: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0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Charge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2015</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4.941%</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0.871%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March 1, 2016</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5.524%</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0.871%</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2,000</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2016</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5.535%</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0.941%</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11,500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March 1, 2019</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4.620%</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0.941%</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5,000</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5,000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2020</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3.215%</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0.285%</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19,000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March 1, 2021</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4.084%</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0.515%</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15,700</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15,700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4.084%</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0.285%</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46,000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March 1, 2022</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2.766%</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0.285%</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10,000</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10,000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2022</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2.766%</w:t>
            </w:r>
          </w:p>
        </w:tc>
        <w:tc>
          <w:tcPr>
            <w:tcW w:w="9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0.515%</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2.351%</w:t>
            </w:r>
          </w:p>
        </w:tc>
        <w:tc>
          <w:tcPr>
            <w:tcW w:w="98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0.515%</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25,000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184,200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192,200</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40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F-45</w:t>
            </w:r>
          </w:p>
        </w:tc>
        <w:tc>
          <w:tcPr>
            <w:tcW w:w="16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Borrowings – (continued)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In June 2014, the Company issued $113.4 million in aggregate principal amount of 7.125% fixed-rate notes due 2021 (the “Notes”). The Notes will mature on June 16, 2021, and may be redeemed in whole or in part at any time or from time to time at the Company’s option on or after June 16, 2017 at a redemption price equal to 100% of the outstanding principal, plus accrued and unpaid interest. Interest was payable quarterly beginning September 16, 2014.</w:t>
      </w:r>
    </w:p>
    <w:p>
      <w:pPr>
        <w:spacing w:after="0" w:line="79"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7"/>
          <w:szCs w:val="17"/>
          <w:color w:val="auto"/>
        </w:rPr>
        <w:t>For the year ended December 31, 2015, the Company recorded $8.1 million of interest expense and $0.5 million of amortization of deferred financing costs related to the Notes. For the year ended December 31, 2014, the Company recorded $4.4 million of interest expense and $0.3 million of amortization of deferred financing costs related to the Notes.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October 17, 2014, the Company entered into a senior secured revolving credit agreement (the “Credit Facility”) with ING</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LLC, as administrative agent, arranger, and bookrunner, and the lenders party thereto. The Credit Facility initially provides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borrowings up to $50,000,000 and may be increased up to $150,000,000 pursuant to its “accordion” feature. The Credit Facility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matures on October 17, 2018. On January 6, 2015, the Company entered into an Incremental Assumption Agreement (the “First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Incremental Assumption Agreement”) relating to the Credit Facility. The Incremental Assumption Agreement increased the amount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 borrowings available under the Credit Facility from $50,000,000 to $80,000,000. The $30,000,000 increase in total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commitments under the Credit Facility was executed under the “accordion” feature of the Credit Facility, which allows for an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increase in total commitments under the Credit Facility up to $150,000,000. On August 19, 2015, the Company entered into 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second Incremental Assumption Agreement (the “Second Incremental Assumption Agreement”) relating to the Credit Facility.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Second Incremental Assumption Agreement increased the amount of borrowings available under the Credit Facility from</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$80,000,000 to $120,000,000. The $40,000,000 increase in total commitments under the Credit Facility was executed under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“accordion” feature of the Credit Facility, which allows for an increase in total commitments under the Credit Facility up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$150,000,000.</w:t>
      </w:r>
    </w:p>
    <w:p>
      <w:pPr>
        <w:spacing w:after="0" w:line="103" w:lineRule="exact"/>
        <w:rPr>
          <w:sz w:val="20"/>
          <w:szCs w:val="20"/>
          <w:color w:val="auto"/>
        </w:rPr>
      </w:pPr>
    </w:p>
    <w:p>
      <w:pPr>
        <w:ind w:left="40" w:right="519" w:firstLine="270"/>
        <w:spacing w:after="0" w:line="291" w:lineRule="auto"/>
        <w:rPr>
          <w:sz w:val="20"/>
          <w:szCs w:val="20"/>
          <w:color w:val="auto"/>
        </w:rPr>
      </w:pPr>
      <w:r>
        <w:rPr>
          <w:rFonts w:ascii="Arial" w:cs="Arial" w:eastAsia="Arial" w:hAnsi="Arial"/>
          <w:sz w:val="16"/>
          <w:szCs w:val="16"/>
          <w:color w:val="auto"/>
        </w:rPr>
        <w:t>Borrowings under the Credit Facility bear interest, at the Company’s election, at a rate per annum equal to (i) the one, two, three or six month LIBOR as applicable, plus 3.00% or (ii) 2.00% plus the highest of(A) a prime rate, (B) the Federal Funds rate plus</w:t>
      </w:r>
    </w:p>
    <w:p>
      <w:pPr>
        <w:ind w:left="40" w:right="599"/>
        <w:spacing w:after="0" w:line="286" w:lineRule="auto"/>
        <w:rPr>
          <w:sz w:val="20"/>
          <w:szCs w:val="20"/>
          <w:color w:val="auto"/>
        </w:rPr>
      </w:pPr>
      <w:r>
        <w:rPr>
          <w:rFonts w:ascii="Arial" w:cs="Arial" w:eastAsia="Arial" w:hAnsi="Arial"/>
          <w:sz w:val="16"/>
          <w:szCs w:val="16"/>
          <w:color w:val="auto"/>
        </w:rPr>
        <w:t>0.5% and (C) three month LIBOR plus 1.0%. The Company’s ability to elect LIBOR indices with various tenors (e.g., one, two, three or six month LIBOR) on which the interest rates for borrowings under the Credit Facility are based provides the company with increased flexibility to manage interest rate risks as compared to a borrowing arrangement that does not provide for such optionality. Once a particular LIBOR rate has been selected, the interest rate on the applicable amount borrowed will reset after the applicable tenor period and be based on the then applicable selected LIBOR rate (e.g., borrowings for which the Company has elected the one month LIBOR rate will reset on the one month anniversary of the period based on the then selected LIBOR rate). For any given borrowing under the Credit Facility, the Company intends to elect what it believes to be an appropriate LIBOR rate taking into account the Company’s needs at the time as well as the Company’s view of future interest rate movements. The Company will also pay an unused commitment fee at a rate of 2.50% per annum on the amount (if positive) by which 40% of the aggregate commitments under the Credit Facility exceeds the outstanding amount of loans under the Credit Facility and 0.50% per annum on any remaining unused portion of the Credit Facility.</w:t>
      </w:r>
    </w:p>
    <w:p>
      <w:pPr>
        <w:spacing w:after="0" w:line="59"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As of December 31, 2015 and 2014, the Company had $70.0 million and $0.0 million, respectively, outstanding under the Credit Facility. For the year ended December 31, 2015 the Company recorded $0.7 million of interest expense, $0.8 million of amortization of deferred financing costs, and $0.7 million of unused commitment fees related to the Credit Facility. For the year ended December 31, 2014 the Company</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6" w:name="page137"/>
    <w:bookmarkEnd w:id="136"/>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Borrowings – (continued)</w:t>
      </w:r>
    </w:p>
    <w:p>
      <w:pPr>
        <w:spacing w:after="0" w:line="121" w:lineRule="exact"/>
        <w:rPr>
          <w:sz w:val="20"/>
          <w:szCs w:val="20"/>
          <w:color w:val="auto"/>
        </w:rPr>
      </w:pPr>
    </w:p>
    <w:p>
      <w:pPr>
        <w:ind w:left="60" w:right="959"/>
        <w:spacing w:after="0" w:line="277" w:lineRule="auto"/>
        <w:rPr>
          <w:sz w:val="20"/>
          <w:szCs w:val="20"/>
          <w:color w:val="auto"/>
        </w:rPr>
      </w:pPr>
      <w:r>
        <w:rPr>
          <w:rFonts w:ascii="Arial" w:cs="Arial" w:eastAsia="Arial" w:hAnsi="Arial"/>
          <w:sz w:val="18"/>
          <w:szCs w:val="18"/>
          <w:color w:val="auto"/>
        </w:rPr>
        <w:t>recorded $0.0 million of interest expense, $0.1 million of amortization of deferred financing costs, and $0.1 million of unused commitment fees related to the Credit Facility.</w:t>
      </w:r>
    </w:p>
    <w:p>
      <w:pPr>
        <w:spacing w:after="0" w:line="62"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Credit Facility is secured by investments and cash held by Capitala Finance Corp., exclusive of assets held at our two SBIC subsidiaries. Assets pledged to secure the Credit Facility were $262.0 million at December 31, 2015. As part of the terms of the Credit Facility, the Company may not make cash distributions with respect to any taxable year that exceed 110% (125% if the Company is not in default and our covered debt does not exceed 85% of the borrowing base) of the amounts required to be distributed to maintain eligibility as a RIC and to reduce our tax liability to zero for taxes imposed on our investment company taxable income and net capital gains.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left="60" w:right="679" w:firstLine="270"/>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As a RIC, the Company is not taxed on any investment company taxable income or capital gains which it distributes to shareholders. The Company intends to make the requisite distributions to its stockholders which will relieve the Company from U.S. federal income taxes. Accordingly, no provision for U.S. federal income tax has been made in the consolidated financial statements. The Company’s tax year-end is August 31.</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federal tax regulations, which may differ from amounts in accordance with U.S. GAAP and those differences could be material.</w:t>
      </w:r>
    </w:p>
    <w:p>
      <w:pPr>
        <w:spacing w:after="0" w:line="114" w:lineRule="exact"/>
        <w:rPr>
          <w:sz w:val="20"/>
          <w:szCs w:val="20"/>
          <w:color w:val="auto"/>
        </w:rPr>
      </w:pPr>
    </w:p>
    <w:p>
      <w:pPr>
        <w:ind w:left="60" w:right="619" w:firstLine="270"/>
        <w:spacing w:after="0" w:line="286" w:lineRule="auto"/>
        <w:rPr>
          <w:sz w:val="20"/>
          <w:szCs w:val="20"/>
          <w:color w:val="auto"/>
        </w:rPr>
      </w:pPr>
      <w:r>
        <w:rPr>
          <w:rFonts w:ascii="Arial" w:cs="Arial" w:eastAsia="Arial" w:hAnsi="Arial"/>
          <w:sz w:val="17"/>
          <w:szCs w:val="17"/>
          <w:color w:val="auto"/>
        </w:rPr>
        <w:t>The following permanent differences due to adjustments for the realized gains/losses upon disposition of partnership interests and for the transfer of distributions from accumulated capital gains to accumulated net investment income were reclassified for tax purposes for the tax years ended August 31, 2015 and August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7510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5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b w:val="1"/>
                <w:bCs w:val="1"/>
                <w:color w:val="auto"/>
                <w:w w:val="96"/>
              </w:rPr>
              <w:t>2014</w:t>
            </w:r>
          </w:p>
        </w:tc>
        <w:tc>
          <w:tcPr>
            <w:tcW w:w="260" w:type="dxa"/>
            <w:vAlign w:val="bottom"/>
            <w:tcBorders>
              <w:bottom w:val="single" w:sz="8" w:color="auto"/>
            </w:tcBorders>
          </w:tcPr>
          <w:p>
            <w:pPr>
              <w:spacing w:after="0"/>
              <w:rPr>
                <w:sz w:val="14"/>
                <w:szCs w:val="14"/>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accumulated 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w w:val="99"/>
              </w:rPr>
              <w:t>Increase (decrease) in accumulated net realized gains on investments</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(7,538)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r>
      <w:tr>
        <w:trPr>
          <w:trHeight w:val="20"/>
        </w:trPr>
        <w:tc>
          <w:tcPr>
            <w:tcW w:w="5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capital in excess of par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0"/>
        </w:trPr>
        <w:tc>
          <w:tcPr>
            <w:tcW w:w="5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939" w:firstLine="270"/>
        <w:spacing w:after="0" w:line="277" w:lineRule="auto"/>
        <w:rPr>
          <w:sz w:val="20"/>
          <w:szCs w:val="20"/>
          <w:color w:val="auto"/>
        </w:rPr>
      </w:pPr>
      <w:r>
        <w:rPr>
          <w:rFonts w:ascii="Arial" w:cs="Arial" w:eastAsia="Arial" w:hAnsi="Arial"/>
          <w:sz w:val="18"/>
          <w:szCs w:val="18"/>
          <w:color w:val="auto"/>
        </w:rPr>
        <w:t>As of August 31, 2015 and August 31, 2014, the tax basis components of distributable earnings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r>
      <w:tr>
        <w:trPr>
          <w:trHeight w:val="149"/>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5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auto"/>
            </w:tcBorders>
          </w:tcPr>
          <w:p>
            <w:pPr>
              <w:spacing w:after="0"/>
              <w:rPr>
                <w:sz w:val="14"/>
                <w:szCs w:val="14"/>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Accumulated capital gains/(losses)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(7,566)</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62,726</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Other temporary differences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(8,196)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r>
      <w:tr>
        <w:trPr>
          <w:trHeight w:val="20"/>
        </w:trPr>
        <w:tc>
          <w:tcPr>
            <w:tcW w:w="5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54,275</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312" w:lineRule="auto"/>
        <w:rPr>
          <w:sz w:val="20"/>
          <w:szCs w:val="20"/>
          <w:color w:val="auto"/>
        </w:rPr>
      </w:pPr>
      <w:r>
        <w:rPr>
          <w:rFonts w:ascii="Arial" w:cs="Arial" w:eastAsia="Arial" w:hAnsi="Arial"/>
          <w:sz w:val="16"/>
          <w:szCs w:val="16"/>
          <w:color w:val="auto"/>
        </w:rPr>
        <w:t>Taxable income generally differs from net increase (decrease) in net assets resulting from operations for financial reporting purposes due to temporary and permanent differences in the recognition of income and expenses and generally excludes unrealized appreciation (depreciation) on investments as investment gains and losses are not included in taxable income until they are realized.</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7" w:name="page138"/>
    <w:bookmarkEnd w:id="137"/>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Income Taxes – (continued)</w:t>
      </w:r>
    </w:p>
    <w:p>
      <w:pPr>
        <w:spacing w:after="0" w:line="121" w:lineRule="exact"/>
        <w:rPr>
          <w:sz w:val="20"/>
          <w:szCs w:val="20"/>
          <w:color w:val="auto"/>
        </w:rPr>
      </w:pPr>
    </w:p>
    <w:p>
      <w:pPr>
        <w:ind w:left="60" w:right="719" w:firstLine="270"/>
        <w:spacing w:after="0" w:line="264" w:lineRule="auto"/>
        <w:rPr>
          <w:sz w:val="20"/>
          <w:szCs w:val="20"/>
          <w:color w:val="auto"/>
        </w:rPr>
      </w:pPr>
      <w:r>
        <w:rPr>
          <w:rFonts w:ascii="Arial" w:cs="Arial" w:eastAsia="Arial" w:hAnsi="Arial"/>
          <w:sz w:val="18"/>
          <w:szCs w:val="18"/>
          <w:color w:val="auto"/>
        </w:rPr>
        <w:t>Capital losses in excess of capital gains earned in a tax year may generally be carried forward and used to offset capital gains, subject to certain limitations. During the tax year ended August 31, 2015, the Company utilized long-term capital loss carry forwards from previous years of $7.6 million.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net increase in net assets resulting from operations to taxable income for the tax years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31, 2015 and August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47510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5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4"/>
                <w:szCs w:val="14"/>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9,894</w:t>
            </w:r>
          </w:p>
        </w:tc>
      </w:tr>
      <w:tr>
        <w:trPr>
          <w:trHeight w:val="202"/>
        </w:trPr>
        <w:tc>
          <w:tcPr>
            <w:tcW w:w="5580" w:type="dxa"/>
            <w:vAlign w:val="bottom"/>
          </w:tcPr>
          <w:p>
            <w:pPr>
              <w:ind w:left="20"/>
              <w:spacing w:after="0" w:line="201" w:lineRule="exact"/>
              <w:rPr>
                <w:sz w:val="20"/>
                <w:szCs w:val="20"/>
                <w:color w:val="auto"/>
              </w:rPr>
            </w:pPr>
            <w:r>
              <w:rPr>
                <w:rFonts w:ascii="Arial" w:cs="Arial" w:eastAsia="Arial" w:hAnsi="Arial"/>
                <w:sz w:val="18"/>
                <w:szCs w:val="18"/>
                <w:color w:val="auto"/>
              </w:rPr>
              <w:t>Net change in unrealized depreciation on investments and secured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2,658</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deductions for book in excess of deductions for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6,425</w:t>
            </w:r>
          </w:p>
        </w:tc>
      </w:tr>
      <w:tr>
        <w:trPr>
          <w:trHeight w:val="20"/>
        </w:trPr>
        <w:tc>
          <w:tcPr>
            <w:tcW w:w="5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Total taxable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43,463</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18,977</w:t>
            </w:r>
          </w:p>
        </w:tc>
      </w:tr>
      <w:tr>
        <w:trPr>
          <w:trHeight w:val="21"/>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For income tax purposes, distributions paid to shareholders are reported as ordinary income, return of capital, long term capital gains or a combination thereof. The tax character of distributions paid for the tax years ended August 31, 2015 and August 31, 2014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510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Tax year</w:t>
            </w: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August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August 31,</w:t>
            </w:r>
          </w:p>
        </w:tc>
      </w:tr>
      <w:tr>
        <w:trPr>
          <w:trHeight w:val="171"/>
        </w:trPr>
        <w:tc>
          <w:tcPr>
            <w:tcW w:w="5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4"/>
                <w:szCs w:val="14"/>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18,294</w:t>
            </w: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color w:val="auto"/>
              </w:rPr>
              <w:t>Long-term capital gains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18,294</w:t>
            </w:r>
          </w:p>
        </w:tc>
      </w:tr>
      <w:tr>
        <w:trPr>
          <w:trHeight w:val="21"/>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86" w:lineRule="auto"/>
        <w:rPr>
          <w:sz w:val="20"/>
          <w:szCs w:val="20"/>
          <w:color w:val="auto"/>
        </w:rPr>
      </w:pPr>
      <w:r>
        <w:rPr>
          <w:rFonts w:ascii="Arial" w:cs="Arial" w:eastAsia="Arial" w:hAnsi="Arial"/>
          <w:sz w:val="17"/>
          <w:szCs w:val="17"/>
          <w:color w:val="auto"/>
        </w:rPr>
        <w:t>For U.S federal income tax purposes, as of August 31, 2015, the aggregate net unrealized appreciation for all securities is $25.3 million. As of August 31, 2015, gross unrealized appreciation was $50.6 million and gross unrealized depreciation was $(25.3) million. The aggregate cost of securities for U.S. federal income tax purposes is $574.6 million.</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Directors Fees</w:t>
      </w:r>
    </w:p>
    <w:p>
      <w:pPr>
        <w:spacing w:after="0" w:line="121" w:lineRule="exact"/>
        <w:rPr>
          <w:sz w:val="20"/>
          <w:szCs w:val="20"/>
          <w:color w:val="auto"/>
        </w:rPr>
      </w:pPr>
    </w:p>
    <w:p>
      <w:pPr>
        <w:ind w:left="60" w:right="559" w:firstLine="270"/>
        <w:spacing w:after="0" w:line="291"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also receive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years ended December 31, 2015, 2014 and 2013, the Company recognized director fee expense of $0.4 million, $0.4 million and $0.2 million, respectively. No compensation is expected to be paid to directors who are “interested persons” of the Company, as such term is defined in Section 2(a)(19) of the 1940 Act.</w:t>
      </w: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Stockholders’ Equity</w:t>
      </w:r>
    </w:p>
    <w:p>
      <w:pPr>
        <w:spacing w:after="0" w:line="121"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On September 24, 2013, we issued 8,974,420 shares of common stock to the limited partners of the Legacy Funds, in exchange for 100% of their membership interests or certain investment assets of such Legacy Funds, as the case may be. On September 30, 2013, we issued 4,000,000 shares of common stock in connection with the closing of our IPO. The shares issued in the IPO were priced at $20.00 per share. We received proceeds of $74.25 million in the IPO, net of underwriters’ discounts and commissions of $5.75 million.</w:t>
      </w:r>
    </w:p>
    <w:p>
      <w:pPr>
        <w:spacing w:after="0" w:line="80" w:lineRule="exact"/>
        <w:rPr>
          <w:sz w:val="20"/>
          <w:szCs w:val="20"/>
          <w:color w:val="auto"/>
        </w:rPr>
      </w:pPr>
    </w:p>
    <w:p>
      <w:pPr>
        <w:ind w:left="40" w:right="579" w:firstLine="270"/>
        <w:spacing w:after="0" w:line="312" w:lineRule="auto"/>
        <w:rPr>
          <w:sz w:val="20"/>
          <w:szCs w:val="20"/>
          <w:color w:val="auto"/>
        </w:rPr>
      </w:pPr>
      <w:r>
        <w:rPr>
          <w:rFonts w:ascii="Arial" w:cs="Arial" w:eastAsia="Arial" w:hAnsi="Arial"/>
          <w:sz w:val="16"/>
          <w:szCs w:val="16"/>
          <w:color w:val="auto"/>
        </w:rPr>
        <w:t>On April 13, 2015, the Company completed an underwritten offering of 3,500,000 shares of its common stock at a public offering price of $18.32 per share. The total proceeds received in the offering net of underwriting discounts and offering costs were approximately $61.7 million. As of December 31, 2015, the Company had 15,777,345 shares of common stock outstanding.</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w:t>
      </w:r>
    </w:p>
    <w:p>
      <w:pPr>
        <w:spacing w:after="0" w:line="121" w:lineRule="exact"/>
        <w:rPr>
          <w:sz w:val="20"/>
          <w:szCs w:val="20"/>
          <w:color w:val="auto"/>
        </w:rPr>
      </w:pPr>
    </w:p>
    <w:p>
      <w:pPr>
        <w:ind w:left="40" w:right="699" w:firstLine="270"/>
        <w:spacing w:after="0" w:line="279" w:lineRule="auto"/>
        <w:rPr>
          <w:sz w:val="20"/>
          <w:szCs w:val="20"/>
          <w:color w:val="auto"/>
        </w:rPr>
      </w:pPr>
      <w:r>
        <w:rPr>
          <w:rFonts w:ascii="Arial" w:cs="Arial" w:eastAsia="Arial" w:hAnsi="Arial"/>
          <w:sz w:val="17"/>
          <w:szCs w:val="17"/>
          <w:color w:val="auto"/>
        </w:rPr>
        <w:t>The Company holds a control interest, as defined by the 1940 Act, in four majority owned portfolio companies that are considered significant subsidiaries under the guidance in Regulation S-X, but are not consolidated in the Company’s consolidated financial statements. Below is a brief description of each portfolio company, along with summarized financial information as of December 31, 2015 and December 31, 2014 and for the three years in the period then ended.</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Print Direction, Inc.</w:t>
      </w:r>
    </w:p>
    <w:p>
      <w:pPr>
        <w:spacing w:after="0" w:line="117"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Print Direction, Inc., incorporated in Georgia on May 11, 2006, is a professional printing services firm serving customers, particularly fast food, retail, and other similar chains, throughout the United States. Print Direction, Inc. also provides warehousing and distribution services for these customers. The income (loss) the Company generated from Print Direction, Inc., which includes all interest, dividends, PIK interest and dividends, fees, and unrealized appreciation/depreciation, was $(1.1) million, $2.6 million, and $4.4 million for the years ended December 31, 2015, December 31, 2014 and December 31, 2013, respectively.</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Navis Holdings, Inc.</w:t>
      </w:r>
    </w:p>
    <w:p>
      <w:pPr>
        <w:spacing w:after="0" w:line="117" w:lineRule="exact"/>
        <w:rPr>
          <w:sz w:val="20"/>
          <w:szCs w:val="20"/>
          <w:color w:val="auto"/>
        </w:rPr>
      </w:pPr>
    </w:p>
    <w:p>
      <w:pPr>
        <w:ind w:left="40" w:right="699" w:firstLine="270"/>
        <w:spacing w:after="0" w:line="302" w:lineRule="auto"/>
        <w:rPr>
          <w:sz w:val="20"/>
          <w:szCs w:val="20"/>
          <w:color w:val="auto"/>
        </w:rPr>
      </w:pPr>
      <w:r>
        <w:rPr>
          <w:rFonts w:ascii="Arial" w:cs="Arial" w:eastAsia="Arial" w:hAnsi="Arial"/>
          <w:sz w:val="16"/>
          <w:szCs w:val="16"/>
          <w:color w:val="auto"/>
        </w:rPr>
        <w:t>Navis Holdings, Inc., incorporated in Delaware on December 21, 2010, designs and manufactures leading machinery for the global knit and woven finishing textile industries. The income the Company generated from Navis Holdings, Inc., which includes all interest, dividends, PIK interest and dividends, fees, and unrealized appreciation/depreciation, was $4.2 million, $4.2 million and $1.6 million for the years ended December 31, 2015, December 31, 2014 and December 31, 2013, respectively.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On-Site Fuel Service, Inc.</w:t>
      </w:r>
    </w:p>
    <w:p>
      <w:pPr>
        <w:spacing w:after="0" w:line="117"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On-Site Fuel Service, Inc. is a 100% owned subsidiary of On-Site Fuel Holdings, Inc., which was incorporated in Delaware on December 19, 2011. On-Site Fuel Service, Inc. provides fueling services for commercial and government vehicle fleets throughout the southeast United States. The income (loss) the Company generated from On-Site Fuel Service, Inc., which includes all interest, dividends, PIK interest and dividends, fees, and unrealized appreciation/depreciation, was $(3.2) million, $(4.8) million, and $2.0 million for the years ended December 31, 2015, December 31, 2014, and December 31, 2013, respectively.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CableOrganizer Holdings, LLC</w:t>
      </w:r>
    </w:p>
    <w:p>
      <w:pPr>
        <w:spacing w:after="0" w:line="117"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CableOrganizer Holdings, LLC, a Delaware limited liability company that began operations on April 23, 2013, is a leading online provider of cable and wire management products. The income (loss) the Company generated from CableOrganizer Holdings, LLC, which includes all interest, dividends, PIK interest and dividends, fees, and unrealized appreciation/depreciation, was $0.4 million, $2.9 million, and $(0.4) million for the years ended December 31, 2015, December 31, 2014 and December 31, 2013, respectively.</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9" w:name="page140"/>
    <w:bookmarkEnd w:id="139"/>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 – (continued)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summarized financial information of our unconsolidated subsidiaries was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47510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Print Direction, Inc.</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6"/>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3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5,146</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5,437</w:t>
            </w: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10,583</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3,332</w:t>
            </w: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14,548</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17,375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17,880</w:t>
            </w:r>
          </w:p>
        </w:tc>
        <w:tc>
          <w:tcPr>
            <w:tcW w:w="120" w:type="dxa"/>
            <w:vAlign w:val="bottom"/>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 equity (deficit)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
              <w:spacing w:after="0"/>
              <w:rPr>
                <w:sz w:val="20"/>
                <w:szCs w:val="20"/>
                <w:color w:val="auto"/>
              </w:rPr>
            </w:pPr>
            <w:r>
              <w:rPr>
                <w:rFonts w:ascii="Arial" w:cs="Arial" w:eastAsia="Arial" w:hAnsi="Arial"/>
                <w:sz w:val="18"/>
                <w:szCs w:val="18"/>
                <w:color w:val="auto"/>
              </w:rPr>
              <w:t>(8,071)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(7,297)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2"/>
              </w:rPr>
              <w:t>For the year ended</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Print Direction, Inc.</w:t>
            </w:r>
          </w:p>
        </w:tc>
        <w:tc>
          <w:tcPr>
            <w:tcW w:w="940" w:type="dxa"/>
            <w:vAlign w:val="bottom"/>
            <w:gridSpan w:val="5"/>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0"/>
                <w:szCs w:val="10"/>
                <w:color w:val="auto"/>
              </w:rPr>
            </w:pPr>
          </w:p>
        </w:tc>
        <w:tc>
          <w:tcPr>
            <w:tcW w:w="1080" w:type="dxa"/>
            <w:vAlign w:val="bottom"/>
            <w:gridSpan w:val="6"/>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8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17,637</w:t>
            </w: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ind w:right="55"/>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8"/>
                <w:szCs w:val="18"/>
                <w:color w:val="auto"/>
              </w:rPr>
              <w:t>22,553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rPr>
              <w:t>25,360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8,994</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10,724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10,152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
              <w:spacing w:after="0"/>
              <w:rPr>
                <w:sz w:val="20"/>
                <w:szCs w:val="20"/>
                <w:color w:val="auto"/>
              </w:rPr>
            </w:pPr>
            <w:r>
              <w:rPr>
                <w:rFonts w:ascii="Arial" w:cs="Arial" w:eastAsia="Arial" w:hAnsi="Arial"/>
                <w:sz w:val="18"/>
                <w:szCs w:val="18"/>
                <w:color w:val="auto"/>
              </w:rPr>
              <w:t>13,559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ind w:left="180"/>
              <w:spacing w:after="0"/>
              <w:rPr>
                <w:sz w:val="20"/>
                <w:szCs w:val="20"/>
                <w:color w:val="auto"/>
              </w:rPr>
            </w:pPr>
            <w:r>
              <w:rPr>
                <w:rFonts w:ascii="Arial" w:cs="Arial" w:eastAsia="Arial" w:hAnsi="Arial"/>
                <w:sz w:val="18"/>
                <w:szCs w:val="18"/>
                <w:color w:val="auto"/>
              </w:rPr>
              <w:t>14,636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11,487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13,455</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12,878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Income/(loss) before income taxes</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8"/>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1,758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provision/(benefit)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1,148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As of</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Navis Holdings, Inc.</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6"/>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3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160"/>
              <w:spacing w:after="0"/>
              <w:rPr>
                <w:sz w:val="20"/>
                <w:szCs w:val="20"/>
                <w:color w:val="auto"/>
              </w:rPr>
            </w:pPr>
            <w:r>
              <w:rPr>
                <w:rFonts w:ascii="Arial" w:cs="Arial" w:eastAsia="Arial" w:hAnsi="Arial"/>
                <w:sz w:val="18"/>
                <w:szCs w:val="18"/>
                <w:color w:val="auto"/>
                <w:w w:val="79"/>
              </w:rPr>
              <w:t>4,802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4,989</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160"/>
              <w:spacing w:after="0"/>
              <w:rPr>
                <w:sz w:val="20"/>
                <w:szCs w:val="20"/>
                <w:color w:val="auto"/>
              </w:rPr>
            </w:pPr>
            <w:r>
              <w:rPr>
                <w:rFonts w:ascii="Arial" w:cs="Arial" w:eastAsia="Arial" w:hAnsi="Arial"/>
                <w:sz w:val="18"/>
                <w:szCs w:val="18"/>
                <w:color w:val="auto"/>
                <w:w w:val="79"/>
              </w:rPr>
              <w:t>9,791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3,136</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w w:val="79"/>
              </w:rPr>
              <w:t>6,851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8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9,987</w:t>
            </w:r>
          </w:p>
        </w:tc>
        <w:tc>
          <w:tcPr>
            <w:tcW w:w="10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 equity (deficit)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2"/>
              </w:rPr>
              <w:t>For the year ended</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Navis Holdings, Inc.</w:t>
            </w:r>
          </w:p>
        </w:tc>
        <w:tc>
          <w:tcPr>
            <w:tcW w:w="940" w:type="dxa"/>
            <w:vAlign w:val="bottom"/>
            <w:gridSpan w:val="5"/>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0"/>
                <w:szCs w:val="10"/>
                <w:color w:val="auto"/>
              </w:rPr>
            </w:pPr>
          </w:p>
        </w:tc>
        <w:tc>
          <w:tcPr>
            <w:tcW w:w="1080" w:type="dxa"/>
            <w:vAlign w:val="bottom"/>
            <w:gridSpan w:val="6"/>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98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17,076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jc w:val="right"/>
              <w:ind w:right="55"/>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16,114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14,177</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10,444</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
              <w:spacing w:after="0"/>
              <w:rPr>
                <w:sz w:val="20"/>
                <w:szCs w:val="20"/>
                <w:color w:val="auto"/>
              </w:rPr>
            </w:pPr>
            <w:r>
              <w:rPr>
                <w:rFonts w:ascii="Arial" w:cs="Arial" w:eastAsia="Arial" w:hAnsi="Arial"/>
                <w:sz w:val="18"/>
                <w:szCs w:val="18"/>
                <w:color w:val="auto"/>
              </w:rPr>
              <w:t>5,670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4,973</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Income/(loss) before income taxes</w:t>
            </w: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3"/>
          </w:tcPr>
          <w:p>
            <w:pPr>
              <w:jc w:val="right"/>
              <w:ind w:right="8"/>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provision/(benefit)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8"/>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4"/>
          </w:tcPr>
          <w:p>
            <w:pPr>
              <w:ind w:left="40"/>
              <w:spacing w:after="0"/>
              <w:rPr>
                <w:sz w:val="20"/>
                <w:szCs w:val="20"/>
                <w:color w:val="auto"/>
              </w:rPr>
            </w:pPr>
            <w:r>
              <w:rPr>
                <w:rFonts w:ascii="Arial" w:cs="Arial" w:eastAsia="Arial" w:hAnsi="Arial"/>
                <w:sz w:val="18"/>
                <w:szCs w:val="18"/>
                <w:color w:val="auto"/>
              </w:rPr>
              <w:t>F-50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-5873750</wp:posOffset>
            </wp:positionV>
            <wp:extent cx="4751070" cy="1803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-5273675</wp:posOffset>
            </wp:positionV>
            <wp:extent cx="4751070" cy="2057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-4356100</wp:posOffset>
            </wp:positionV>
            <wp:extent cx="475107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-3789680</wp:posOffset>
            </wp:positionV>
            <wp:extent cx="4751070" cy="1803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-2898140</wp:posOffset>
            </wp:positionV>
            <wp:extent cx="4751070" cy="1803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-2297430</wp:posOffset>
            </wp:positionV>
            <wp:extent cx="4751070" cy="2057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-1379855</wp:posOffset>
            </wp:positionV>
            <wp:extent cx="4751070"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4751070" cy="1803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-5041900</wp:posOffset>
            </wp:positionV>
            <wp:extent cx="47421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4218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-3583940</wp:posOffset>
            </wp:positionV>
            <wp:extent cx="47510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-2066290</wp:posOffset>
            </wp:positionV>
            <wp:extent cx="47421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0" w:name="page141"/>
    <w:bookmarkEnd w:id="140"/>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13. Summarized Financial Information of Our Unconsolidated Subsidiaries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47510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w w:val="97"/>
              </w:rPr>
              <w:t>As of</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On-Site Fuel Service, Inc.</w:t>
            </w:r>
          </w:p>
        </w:tc>
        <w:tc>
          <w:tcPr>
            <w:tcW w:w="9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7,506</w:t>
            </w: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11,126</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19,016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18,828</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
              <w:spacing w:after="0"/>
              <w:rPr>
                <w:sz w:val="20"/>
                <w:szCs w:val="20"/>
                <w:color w:val="auto"/>
              </w:rPr>
            </w:pPr>
            <w:r>
              <w:rPr>
                <w:rFonts w:ascii="Arial" w:cs="Arial" w:eastAsia="Arial" w:hAnsi="Arial"/>
                <w:sz w:val="18"/>
                <w:szCs w:val="18"/>
                <w:color w:val="auto"/>
              </w:rPr>
              <w:t>26,522</w:t>
            </w:r>
          </w:p>
        </w:tc>
        <w:tc>
          <w:tcPr>
            <w:tcW w:w="38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29,954</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16"/>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8"/>
                <w:szCs w:val="18"/>
                <w:color w:val="auto"/>
              </w:rPr>
              <w:t>20,403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18,060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24,495</w:t>
            </w:r>
          </w:p>
        </w:tc>
        <w:tc>
          <w:tcPr>
            <w:tcW w:w="38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23,874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38"/>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-805180</wp:posOffset>
            </wp:positionV>
            <wp:extent cx="4751070" cy="1803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-205105</wp:posOffset>
            </wp:positionV>
            <wp:extent cx="4751070" cy="2057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25400</wp:posOffset>
            </wp:positionV>
            <wp:extent cx="47339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rPr>
              <w:t>For the year ended</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On-Site Fuel Service, Inc.</w:t>
            </w:r>
          </w:p>
        </w:tc>
        <w:tc>
          <w:tcPr>
            <w:tcW w:w="160" w:type="dxa"/>
            <w:vAlign w:val="bottom"/>
          </w:tcPr>
          <w:p>
            <w:pPr>
              <w:spacing w:after="0"/>
              <w:rPr>
                <w:sz w:val="10"/>
                <w:szCs w:val="10"/>
                <w:color w:val="auto"/>
              </w:rPr>
            </w:pPr>
          </w:p>
        </w:tc>
        <w:tc>
          <w:tcPr>
            <w:tcW w:w="940" w:type="dxa"/>
            <w:vAlign w:val="bottom"/>
            <w:gridSpan w:val="5"/>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7"/>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98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10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114,056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189,778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237,997</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109,650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180,528</w:t>
            </w:r>
          </w:p>
        </w:tc>
        <w:tc>
          <w:tcPr>
            <w:tcW w:w="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225,223</w:t>
            </w: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9,250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12,774</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14,589</w:t>
            </w:r>
          </w:p>
        </w:tc>
        <w:tc>
          <w:tcPr>
            <w:tcW w:w="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13,406</w:t>
            </w: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Income/(loss) before income taxes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(4,053)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(5,339)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(632)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provision/(benefit)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(4,053)</w:t>
            </w:r>
          </w:p>
        </w:tc>
        <w:tc>
          <w:tcPr>
            <w:tcW w:w="40" w:type="dxa"/>
            <w:vAlign w:val="bottom"/>
          </w:tcPr>
          <w:p>
            <w:pPr>
              <w:spacing w:after="0"/>
              <w:rPr>
                <w:sz w:val="18"/>
                <w:szCs w:val="18"/>
                <w:color w:val="auto"/>
              </w:rPr>
            </w:pPr>
          </w:p>
        </w:tc>
        <w:tc>
          <w:tcPr>
            <w:tcW w:w="360" w:type="dxa"/>
            <w:vAlign w:val="bottom"/>
            <w:gridSpan w:val="4"/>
          </w:tcPr>
          <w:p>
            <w:pPr>
              <w:ind w:lef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(517)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As of</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 CableOrganizer Holdings, LLC</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7"/>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9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1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3,506</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7"/>
              </w:rPr>
              <w:t>12,394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12,389</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220"/>
              <w:spacing w:after="0"/>
              <w:rPr>
                <w:sz w:val="20"/>
                <w:szCs w:val="20"/>
                <w:color w:val="auto"/>
              </w:rPr>
            </w:pPr>
            <w:r>
              <w:rPr>
                <w:rFonts w:ascii="Arial" w:cs="Arial" w:eastAsia="Arial" w:hAnsi="Arial"/>
                <w:sz w:val="18"/>
                <w:szCs w:val="18"/>
                <w:color w:val="auto"/>
                <w:w w:val="87"/>
              </w:rPr>
              <w:t>16,368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15,895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11,275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10,837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7"/>
              </w:rPr>
              <w:t>13,973</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13,207</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2,688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0"/>
              </w:rPr>
              <w:t>For the year ended</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For the period</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from Inception</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(May 23, 2013)</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Statements of Operations – CableOrganizer Holdings, LLC</w:t>
            </w:r>
          </w:p>
        </w:tc>
        <w:tc>
          <w:tcPr>
            <w:tcW w:w="16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8"/>
            <w:vMerge w:val="continue"/>
          </w:tcPr>
          <w:p>
            <w:pPr>
              <w:spacing w:after="0"/>
              <w:rPr>
                <w:sz w:val="12"/>
                <w:szCs w:val="12"/>
                <w:color w:val="auto"/>
              </w:rPr>
            </w:pPr>
          </w:p>
        </w:tc>
        <w:tc>
          <w:tcPr>
            <w:tcW w:w="10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to December 31,</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25,316</w:t>
            </w: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8"/>
              </w:rPr>
              <w:t>20,887</w:t>
            </w: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gridSpan w:val="2"/>
          </w:tcPr>
          <w:p>
            <w:pPr>
              <w:jc w:val="right"/>
              <w:ind w:right="6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8,489</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16,875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13,486</w:t>
            </w:r>
          </w:p>
        </w:tc>
        <w:tc>
          <w:tcPr>
            <w:tcW w:w="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8,441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7,401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6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8,734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8,694</w:t>
            </w:r>
          </w:p>
        </w:tc>
        <w:tc>
          <w:tcPr>
            <w:tcW w:w="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provision/(benefit)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63"/>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tcPr>
          <w:p>
            <w:pPr>
              <w:jc w:val="right"/>
              <w:ind w:right="360"/>
              <w:spacing w:after="0"/>
              <w:rPr>
                <w:sz w:val="20"/>
                <w:szCs w:val="20"/>
                <w:color w:val="auto"/>
              </w:rPr>
            </w:pPr>
            <w:r>
              <w:rPr>
                <w:rFonts w:ascii="Arial" w:cs="Arial" w:eastAsia="Arial" w:hAnsi="Arial"/>
                <w:sz w:val="18"/>
                <w:szCs w:val="18"/>
                <w:color w:val="auto"/>
              </w:rPr>
              <w:t>F-51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0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-4638675</wp:posOffset>
            </wp:positionV>
            <wp:extent cx="475107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-4072890</wp:posOffset>
            </wp:positionV>
            <wp:extent cx="4751070" cy="1803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-3180715</wp:posOffset>
            </wp:positionV>
            <wp:extent cx="4751070" cy="1803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-2580640</wp:posOffset>
            </wp:positionV>
            <wp:extent cx="4751070" cy="2057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-1379855</wp:posOffset>
            </wp:positionV>
            <wp:extent cx="4751070"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4751070" cy="1803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-3867150</wp:posOffset>
            </wp:positionV>
            <wp:extent cx="47510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-2348865</wp:posOffset>
            </wp:positionV>
            <wp:extent cx="47421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1" w:name="page142"/>
    <w:bookmarkEnd w:id="141"/>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Earnings Per Share</w:t>
      </w:r>
    </w:p>
    <w:p>
      <w:pPr>
        <w:spacing w:after="0" w:line="121" w:lineRule="exact"/>
        <w:rPr>
          <w:sz w:val="20"/>
          <w:szCs w:val="20"/>
          <w:color w:val="auto"/>
        </w:rPr>
      </w:pPr>
    </w:p>
    <w:p>
      <w:pPr>
        <w:ind w:left="60" w:right="539" w:firstLine="270"/>
        <w:spacing w:after="0" w:line="279" w:lineRule="auto"/>
        <w:rPr>
          <w:sz w:val="20"/>
          <w:szCs w:val="20"/>
          <w:color w:val="auto"/>
        </w:rPr>
      </w:pPr>
      <w:r>
        <w:rPr>
          <w:rFonts w:ascii="Arial" w:cs="Arial" w:eastAsia="Arial" w:hAnsi="Arial"/>
          <w:sz w:val="17"/>
          <w:szCs w:val="17"/>
          <w:color w:val="auto"/>
        </w:rPr>
        <w:t xml:space="preserve">In accordance with the provisions of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 As of December 31, 2015, 2014, and 2013, there were no dilutive shares.</w:t>
      </w:r>
    </w:p>
    <w:p>
      <w:pPr>
        <w:spacing w:after="0" w:line="63"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increase in net assets per share from operations for the years ended December 31, 2015, 2014 and 2013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510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Basic and diluted</w:t>
            </w:r>
          </w:p>
        </w:tc>
        <w:tc>
          <w:tcPr>
            <w:tcW w:w="100" w:type="dxa"/>
            <w:vAlign w:val="bottom"/>
          </w:tcPr>
          <w:p>
            <w:pPr>
              <w:spacing w:after="0"/>
              <w:rPr>
                <w:sz w:val="10"/>
                <w:szCs w:val="10"/>
                <w:color w:val="auto"/>
              </w:rPr>
            </w:pPr>
          </w:p>
        </w:tc>
        <w:tc>
          <w:tcPr>
            <w:tcW w:w="94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20" w:type="dxa"/>
            <w:vAlign w:val="bottom"/>
            <w:gridSpan w:val="2"/>
          </w:tcPr>
          <w:p>
            <w:pPr>
              <w:jc w:val="right"/>
              <w:ind w:right="14"/>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7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Net increase/(decrease) in net assets from operations</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28,858</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15,210,577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86"/>
              </w:rPr>
              <w:t>12,974,420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12,974,420</w:t>
            </w:r>
          </w:p>
        </w:tc>
        <w:tc>
          <w:tcPr>
            <w:tcW w:w="0" w:type="dxa"/>
            <w:vAlign w:val="bottom"/>
          </w:tcPr>
          <w:p>
            <w:pPr>
              <w:spacing w:after="0"/>
              <w:rPr>
                <w:sz w:val="1"/>
                <w:szCs w:val="1"/>
                <w:color w:val="auto"/>
              </w:rPr>
            </w:pPr>
          </w:p>
        </w:tc>
      </w:tr>
      <w:tr>
        <w:trPr>
          <w:trHeight w:val="202"/>
        </w:trPr>
        <w:tc>
          <w:tcPr>
            <w:tcW w:w="416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8"/>
              </w:rPr>
              <w:t>Net increase/(decrease) in net assets per share from</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0"/>
              <w:spacing w:after="0"/>
              <w:rPr>
                <w:sz w:val="20"/>
                <w:szCs w:val="20"/>
                <w:color w:val="auto"/>
              </w:rPr>
            </w:pPr>
            <w:r>
              <w:rPr>
                <w:rFonts w:ascii="Arial" w:cs="Arial" w:eastAsia="Arial" w:hAnsi="Arial"/>
                <w:sz w:val="18"/>
                <w:szCs w:val="18"/>
                <w:color w:val="auto"/>
              </w:rPr>
              <w:t>operations-basic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Distributions</w:t>
      </w:r>
    </w:p>
    <w:p>
      <w:pPr>
        <w:spacing w:after="0" w:line="121" w:lineRule="exact"/>
        <w:rPr>
          <w:sz w:val="20"/>
          <w:szCs w:val="20"/>
          <w:color w:val="auto"/>
        </w:rPr>
      </w:pPr>
    </w:p>
    <w:p>
      <w:pPr>
        <w:ind w:left="60" w:right="839" w:firstLine="270"/>
        <w:spacing w:after="0" w:line="308" w:lineRule="auto"/>
        <w:rPr>
          <w:sz w:val="20"/>
          <w:szCs w:val="20"/>
          <w:color w:val="auto"/>
        </w:rPr>
      </w:pPr>
      <w:r>
        <w:rPr>
          <w:rFonts w:ascii="Arial" w:cs="Arial" w:eastAsia="Arial" w:hAnsi="Arial"/>
          <w:sz w:val="17"/>
          <w:szCs w:val="17"/>
          <w:color w:val="auto"/>
        </w:rPr>
        <w:t>The Company’s dividends and distributions are recorded as payable on the declaration date. Shareholders have the option to receive payment of the dividend in cash, shares of common stock, or a combination of cash and common stock.</w:t>
      </w:r>
    </w:p>
    <w:p>
      <w:pPr>
        <w:spacing w:after="0" w:line="38" w:lineRule="exact"/>
        <w:rPr>
          <w:sz w:val="20"/>
          <w:szCs w:val="20"/>
          <w:color w:val="auto"/>
        </w:rPr>
      </w:pPr>
    </w:p>
    <w:p>
      <w:pPr>
        <w:ind w:left="60" w:right="799" w:firstLine="270"/>
        <w:spacing w:after="0" w:line="277" w:lineRule="auto"/>
        <w:rPr>
          <w:sz w:val="20"/>
          <w:szCs w:val="20"/>
          <w:color w:val="auto"/>
        </w:rPr>
      </w:pPr>
      <w:r>
        <w:rPr>
          <w:rFonts w:ascii="Arial" w:cs="Arial" w:eastAsia="Arial" w:hAnsi="Arial"/>
          <w:sz w:val="18"/>
          <w:szCs w:val="18"/>
          <w:color w:val="auto"/>
        </w:rPr>
        <w:t>The following table summarizes the Company’s dividend and distribution declarations during the years ended December 31, 2015, 2014 and 2013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Cash</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DRIP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60" w:type="dxa"/>
            <w:vAlign w:val="bottom"/>
          </w:tcPr>
          <w:p>
            <w:pPr>
              <w:spacing w:after="0"/>
              <w:rPr>
                <w:sz w:val="12"/>
                <w:szCs w:val="12"/>
                <w:color w:val="auto"/>
              </w:rPr>
            </w:pPr>
          </w:p>
        </w:tc>
        <w:tc>
          <w:tcPr>
            <w:tcW w:w="16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Record Date</w:t>
            </w:r>
          </w:p>
        </w:tc>
        <w:tc>
          <w:tcPr>
            <w:tcW w:w="80" w:type="dxa"/>
            <w:vAlign w:val="bottom"/>
          </w:tcPr>
          <w:p>
            <w:pPr>
              <w:spacing w:after="0"/>
              <w:rPr>
                <w:sz w:val="12"/>
                <w:szCs w:val="12"/>
                <w:color w:val="auto"/>
              </w:rPr>
            </w:pPr>
          </w:p>
        </w:tc>
        <w:tc>
          <w:tcPr>
            <w:tcW w:w="15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Payment Date</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1"/>
        </w:trPr>
        <w:tc>
          <w:tcPr>
            <w:tcW w:w="1520" w:type="dxa"/>
            <w:vAlign w:val="bottom"/>
            <w:tcBorders>
              <w:bottom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9"/>
              </w:rPr>
              <w:t>Distribution</w:t>
            </w: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Issued</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January 2, 2015</w:t>
            </w: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January 22, 2015</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January 29,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2,033</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January 2, 2015</w:t>
            </w:r>
          </w:p>
        </w:tc>
        <w:tc>
          <w:tcPr>
            <w:tcW w:w="60" w:type="dxa"/>
            <w:vAlign w:val="bottom"/>
          </w:tcPr>
          <w:p>
            <w:pPr>
              <w:spacing w:after="0"/>
              <w:rPr>
                <w:sz w:val="17"/>
                <w:szCs w:val="17"/>
                <w:color w:val="auto"/>
              </w:rPr>
            </w:pPr>
          </w:p>
        </w:tc>
        <w:tc>
          <w:tcPr>
            <w:tcW w:w="1660" w:type="dxa"/>
            <w:vAlign w:val="bottom"/>
          </w:tcPr>
          <w:p>
            <w:pPr>
              <w:ind w:left="100"/>
              <w:spacing w:after="0"/>
              <w:rPr>
                <w:sz w:val="20"/>
                <w:szCs w:val="20"/>
                <w:color w:val="auto"/>
              </w:rPr>
            </w:pPr>
            <w:r>
              <w:rPr>
                <w:rFonts w:ascii="Arial" w:cs="Arial" w:eastAsia="Arial" w:hAnsi="Arial"/>
                <w:sz w:val="16"/>
                <w:szCs w:val="16"/>
                <w:color w:val="auto"/>
              </w:rPr>
              <w:t>February 20, 2015</w:t>
            </w:r>
          </w:p>
        </w:tc>
        <w:tc>
          <w:tcPr>
            <w:tcW w:w="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February 26,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2,033</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January 2, 2015</w:t>
            </w: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March 23, 2015</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March 30,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1,994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2,139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tcPr>
          <w:p>
            <w:pPr>
              <w:spacing w:after="0"/>
              <w:rPr>
                <w:sz w:val="21"/>
                <w:szCs w:val="21"/>
                <w:color w:val="auto"/>
              </w:rPr>
            </w:pPr>
          </w:p>
        </w:tc>
        <w:tc>
          <w:tcPr>
            <w:tcW w:w="1660" w:type="dxa"/>
            <w:vAlign w:val="bottom"/>
          </w:tcPr>
          <w:p>
            <w:pPr>
              <w:ind w:left="100"/>
              <w:spacing w:after="0" w:line="242" w:lineRule="exact"/>
              <w:rPr>
                <w:sz w:val="20"/>
                <w:szCs w:val="20"/>
                <w:color w:val="auto"/>
              </w:rPr>
            </w:pPr>
            <w:r>
              <w:rPr>
                <w:rFonts w:ascii="Arial" w:cs="Arial" w:eastAsia="Arial" w:hAnsi="Arial"/>
                <w:sz w:val="16"/>
                <w:szCs w:val="16"/>
                <w:color w:val="auto"/>
              </w:rPr>
              <w:t>March 23, 2015</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March 30,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635</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683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ind w:left="100"/>
              <w:spacing w:after="0" w:line="242" w:lineRule="exact"/>
              <w:rPr>
                <w:sz w:val="20"/>
                <w:szCs w:val="20"/>
                <w:color w:val="auto"/>
              </w:rPr>
            </w:pPr>
            <w:r>
              <w:rPr>
                <w:rFonts w:ascii="Arial" w:cs="Arial" w:eastAsia="Arial" w:hAnsi="Arial"/>
                <w:sz w:val="16"/>
                <w:szCs w:val="16"/>
                <w:color w:val="auto"/>
              </w:rPr>
              <w:t>April 23, 2015</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April 29,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824</w:t>
            </w: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tcPr>
          <w:p>
            <w:pPr>
              <w:spacing w:after="0"/>
              <w:rPr>
                <w:sz w:val="21"/>
                <w:szCs w:val="21"/>
                <w:color w:val="auto"/>
              </w:rPr>
            </w:pPr>
          </w:p>
        </w:tc>
        <w:tc>
          <w:tcPr>
            <w:tcW w:w="1660" w:type="dxa"/>
            <w:vAlign w:val="bottom"/>
          </w:tcPr>
          <w:p>
            <w:pPr>
              <w:ind w:left="100"/>
              <w:spacing w:after="0" w:line="242" w:lineRule="exact"/>
              <w:rPr>
                <w:sz w:val="20"/>
                <w:szCs w:val="20"/>
                <w:color w:val="auto"/>
              </w:rPr>
            </w:pPr>
            <w:r>
              <w:rPr>
                <w:rFonts w:ascii="Arial" w:cs="Arial" w:eastAsia="Arial" w:hAnsi="Arial"/>
                <w:sz w:val="16"/>
                <w:szCs w:val="16"/>
                <w:color w:val="auto"/>
              </w:rPr>
              <w:t>May 21, 2015</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May 28,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808</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43"/>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ind w:left="100"/>
              <w:spacing w:after="0" w:line="242" w:lineRule="exact"/>
              <w:rPr>
                <w:sz w:val="20"/>
                <w:szCs w:val="20"/>
                <w:color w:val="auto"/>
              </w:rPr>
            </w:pPr>
            <w:r>
              <w:rPr>
                <w:rFonts w:ascii="Arial" w:cs="Arial" w:eastAsia="Arial" w:hAnsi="Arial"/>
                <w:sz w:val="16"/>
                <w:szCs w:val="16"/>
                <w:color w:val="auto"/>
              </w:rPr>
              <w:t>June 22, 2015</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June 29,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793</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1,361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tcPr>
          <w:p>
            <w:pPr>
              <w:spacing w:after="0"/>
              <w:rPr>
                <w:sz w:val="21"/>
                <w:szCs w:val="21"/>
                <w:color w:val="auto"/>
              </w:rPr>
            </w:pPr>
          </w:p>
        </w:tc>
        <w:tc>
          <w:tcPr>
            <w:tcW w:w="1660" w:type="dxa"/>
            <w:vAlign w:val="bottom"/>
          </w:tcPr>
          <w:p>
            <w:pPr>
              <w:ind w:left="100"/>
              <w:spacing w:after="0" w:line="242" w:lineRule="exact"/>
              <w:rPr>
                <w:sz w:val="20"/>
                <w:szCs w:val="20"/>
                <w:color w:val="auto"/>
              </w:rPr>
            </w:pPr>
            <w:r>
              <w:rPr>
                <w:rFonts w:ascii="Arial" w:cs="Arial" w:eastAsia="Arial" w:hAnsi="Arial"/>
                <w:sz w:val="16"/>
                <w:szCs w:val="16"/>
                <w:color w:val="auto"/>
              </w:rPr>
              <w:t>July 23, 2015</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July 30,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783</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1,600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3"/>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ind w:left="100"/>
              <w:spacing w:after="0" w:line="242" w:lineRule="exact"/>
              <w:rPr>
                <w:sz w:val="20"/>
                <w:szCs w:val="20"/>
                <w:color w:val="auto"/>
              </w:rPr>
            </w:pPr>
            <w:r>
              <w:rPr>
                <w:rFonts w:ascii="Arial" w:cs="Arial" w:eastAsia="Arial" w:hAnsi="Arial"/>
                <w:sz w:val="16"/>
                <w:szCs w:val="16"/>
                <w:color w:val="auto"/>
              </w:rPr>
              <w:t>August 21, 2015</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August 28,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776</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tcPr>
          <w:p>
            <w:pPr>
              <w:spacing w:after="0"/>
              <w:rPr>
                <w:sz w:val="21"/>
                <w:szCs w:val="21"/>
                <w:color w:val="auto"/>
              </w:rPr>
            </w:pPr>
          </w:p>
        </w:tc>
        <w:tc>
          <w:tcPr>
            <w:tcW w:w="1660" w:type="dxa"/>
            <w:vAlign w:val="bottom"/>
          </w:tcPr>
          <w:p>
            <w:pPr>
              <w:ind w:left="100"/>
              <w:spacing w:after="0" w:line="242" w:lineRule="exact"/>
              <w:rPr>
                <w:sz w:val="20"/>
                <w:szCs w:val="20"/>
                <w:color w:val="auto"/>
              </w:rPr>
            </w:pPr>
            <w:r>
              <w:rPr>
                <w:rFonts w:ascii="Arial" w:cs="Arial" w:eastAsia="Arial" w:hAnsi="Arial"/>
                <w:sz w:val="16"/>
                <w:szCs w:val="16"/>
                <w:color w:val="auto"/>
                <w:w w:val="92"/>
              </w:rPr>
              <w:t>September 23, 2015</w:t>
            </w:r>
            <w:r>
              <w:rPr>
                <w:rFonts w:ascii="Arial" w:cs="Arial" w:eastAsia="Arial" w:hAnsi="Arial"/>
                <w:sz w:val="27"/>
                <w:szCs w:val="27"/>
                <w:color w:val="auto"/>
                <w:w w:val="92"/>
                <w:vertAlign w:val="superscript"/>
              </w:rPr>
              <w:t>(1)</w:t>
            </w:r>
          </w:p>
        </w:tc>
        <w:tc>
          <w:tcPr>
            <w:tcW w:w="8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September 29,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739</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4,475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3"/>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ind w:left="100"/>
              <w:spacing w:after="0" w:line="242" w:lineRule="exact"/>
              <w:rPr>
                <w:sz w:val="20"/>
                <w:szCs w:val="20"/>
                <w:color w:val="auto"/>
              </w:rPr>
            </w:pPr>
            <w:r>
              <w:rPr>
                <w:rFonts w:ascii="Arial" w:cs="Arial" w:eastAsia="Arial" w:hAnsi="Arial"/>
                <w:sz w:val="16"/>
                <w:szCs w:val="16"/>
                <w:color w:val="auto"/>
              </w:rPr>
              <w:t>October 23, 2015</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October 29,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2,974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tcPr>
          <w:p>
            <w:pPr>
              <w:spacing w:after="0"/>
              <w:rPr>
                <w:sz w:val="21"/>
                <w:szCs w:val="21"/>
                <w:color w:val="auto"/>
              </w:rPr>
            </w:pPr>
          </w:p>
        </w:tc>
        <w:tc>
          <w:tcPr>
            <w:tcW w:w="1660" w:type="dxa"/>
            <w:vAlign w:val="bottom"/>
          </w:tcPr>
          <w:p>
            <w:pPr>
              <w:ind w:left="100"/>
              <w:spacing w:after="0" w:line="242" w:lineRule="exact"/>
              <w:rPr>
                <w:sz w:val="20"/>
                <w:szCs w:val="20"/>
                <w:color w:val="auto"/>
              </w:rPr>
            </w:pPr>
            <w:r>
              <w:rPr>
                <w:rFonts w:ascii="Arial" w:cs="Arial" w:eastAsia="Arial" w:hAnsi="Arial"/>
                <w:sz w:val="16"/>
                <w:szCs w:val="16"/>
                <w:color w:val="auto"/>
                <w:w w:val="94"/>
              </w:rPr>
              <w:t>November 20, 2015</w:t>
            </w:r>
            <w:r>
              <w:rPr>
                <w:rFonts w:ascii="Arial" w:cs="Arial" w:eastAsia="Arial" w:hAnsi="Arial"/>
                <w:sz w:val="27"/>
                <w:szCs w:val="27"/>
                <w:color w:val="auto"/>
                <w:w w:val="94"/>
                <w:vertAlign w:val="superscript"/>
              </w:rPr>
              <w:t>(1)</w:t>
            </w:r>
          </w:p>
        </w:tc>
        <w:tc>
          <w:tcPr>
            <w:tcW w:w="8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November 27, 2015</w:t>
            </w:r>
          </w:p>
        </w:tc>
        <w:tc>
          <w:tcPr>
            <w:tcW w:w="10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753</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2,694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3"/>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February 26, 2015</w:t>
            </w:r>
          </w:p>
        </w:tc>
        <w:tc>
          <w:tcPr>
            <w:tcW w:w="60" w:type="dxa"/>
            <w:vAlign w:val="bottom"/>
            <w:shd w:val="clear" w:color="auto" w:fill="CCEEFF"/>
          </w:tcPr>
          <w:p>
            <w:pPr>
              <w:spacing w:after="0"/>
              <w:rPr>
                <w:sz w:val="21"/>
                <w:szCs w:val="21"/>
                <w:color w:val="auto"/>
              </w:rPr>
            </w:pPr>
          </w:p>
        </w:tc>
        <w:tc>
          <w:tcPr>
            <w:tcW w:w="1660" w:type="dxa"/>
            <w:vAlign w:val="bottom"/>
            <w:shd w:val="clear" w:color="auto" w:fill="CCEEFF"/>
          </w:tcPr>
          <w:p>
            <w:pPr>
              <w:ind w:left="100"/>
              <w:spacing w:after="0" w:line="242" w:lineRule="exact"/>
              <w:rPr>
                <w:sz w:val="20"/>
                <w:szCs w:val="20"/>
                <w:color w:val="auto"/>
              </w:rPr>
            </w:pPr>
            <w:r>
              <w:rPr>
                <w:rFonts w:ascii="Arial" w:cs="Arial" w:eastAsia="Arial" w:hAnsi="Arial"/>
                <w:sz w:val="16"/>
                <w:szCs w:val="16"/>
                <w:color w:val="auto"/>
                <w:w w:val="94"/>
              </w:rPr>
              <w:t>December 22, 2015</w:t>
            </w:r>
            <w:r>
              <w:rPr>
                <w:rFonts w:ascii="Arial" w:cs="Arial" w:eastAsia="Arial" w:hAnsi="Arial"/>
                <w:sz w:val="27"/>
                <w:szCs w:val="27"/>
                <w:color w:val="auto"/>
                <w:w w:val="94"/>
                <w:vertAlign w:val="superscript"/>
              </w:rPr>
              <w:t>(1)</w:t>
            </w: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December 30, 2015</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April 1, 2015</w:t>
            </w:r>
          </w:p>
        </w:tc>
        <w:tc>
          <w:tcPr>
            <w:tcW w:w="60" w:type="dxa"/>
            <w:vAlign w:val="bottom"/>
          </w:tcPr>
          <w:p>
            <w:pPr>
              <w:spacing w:after="0"/>
              <w:rPr>
                <w:sz w:val="17"/>
                <w:szCs w:val="17"/>
                <w:color w:val="auto"/>
              </w:rPr>
            </w:pPr>
          </w:p>
        </w:tc>
        <w:tc>
          <w:tcPr>
            <w:tcW w:w="1660" w:type="dxa"/>
            <w:vAlign w:val="bottom"/>
          </w:tcPr>
          <w:p>
            <w:pPr>
              <w:ind w:left="100"/>
              <w:spacing w:after="0"/>
              <w:rPr>
                <w:sz w:val="20"/>
                <w:szCs w:val="20"/>
                <w:color w:val="auto"/>
              </w:rPr>
            </w:pPr>
            <w:r>
              <w:rPr>
                <w:rFonts w:ascii="Arial" w:cs="Arial" w:eastAsia="Arial" w:hAnsi="Arial"/>
                <w:sz w:val="16"/>
                <w:szCs w:val="16"/>
                <w:color w:val="auto"/>
              </w:rPr>
              <w:t>April 23, 2015</w:t>
            </w:r>
          </w:p>
        </w:tc>
        <w:tc>
          <w:tcPr>
            <w:tcW w:w="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April 29,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2,581</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April 1, 2015</w:t>
            </w: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May 21, 2015</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May 28,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2,529</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3,126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April 1, 2015</w:t>
            </w:r>
          </w:p>
        </w:tc>
        <w:tc>
          <w:tcPr>
            <w:tcW w:w="60" w:type="dxa"/>
            <w:vAlign w:val="bottom"/>
          </w:tcPr>
          <w:p>
            <w:pPr>
              <w:spacing w:after="0"/>
              <w:rPr>
                <w:sz w:val="17"/>
                <w:szCs w:val="17"/>
                <w:color w:val="auto"/>
              </w:rPr>
            </w:pPr>
          </w:p>
        </w:tc>
        <w:tc>
          <w:tcPr>
            <w:tcW w:w="1660" w:type="dxa"/>
            <w:vAlign w:val="bottom"/>
          </w:tcPr>
          <w:p>
            <w:pPr>
              <w:ind w:left="100"/>
              <w:spacing w:after="0"/>
              <w:rPr>
                <w:sz w:val="20"/>
                <w:szCs w:val="20"/>
                <w:color w:val="auto"/>
              </w:rPr>
            </w:pPr>
            <w:r>
              <w:rPr>
                <w:rFonts w:ascii="Arial" w:cs="Arial" w:eastAsia="Arial" w:hAnsi="Arial"/>
                <w:sz w:val="16"/>
                <w:szCs w:val="16"/>
                <w:color w:val="auto"/>
              </w:rPr>
              <w:t>June 22, 2015</w:t>
            </w:r>
          </w:p>
        </w:tc>
        <w:tc>
          <w:tcPr>
            <w:tcW w:w="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June 29,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2,483</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4,266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July 1, 2015</w:t>
            </w: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July 23, 2015</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July 30,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2,454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July 1, 2015</w:t>
            </w:r>
          </w:p>
        </w:tc>
        <w:tc>
          <w:tcPr>
            <w:tcW w:w="60" w:type="dxa"/>
            <w:vAlign w:val="bottom"/>
          </w:tcPr>
          <w:p>
            <w:pPr>
              <w:spacing w:after="0"/>
              <w:rPr>
                <w:sz w:val="17"/>
                <w:szCs w:val="17"/>
                <w:color w:val="auto"/>
              </w:rPr>
            </w:pPr>
          </w:p>
        </w:tc>
        <w:tc>
          <w:tcPr>
            <w:tcW w:w="1660" w:type="dxa"/>
            <w:vAlign w:val="bottom"/>
          </w:tcPr>
          <w:p>
            <w:pPr>
              <w:ind w:left="100"/>
              <w:spacing w:after="0"/>
              <w:rPr>
                <w:sz w:val="20"/>
                <w:szCs w:val="20"/>
                <w:color w:val="auto"/>
              </w:rPr>
            </w:pPr>
            <w:r>
              <w:rPr>
                <w:rFonts w:ascii="Arial" w:cs="Arial" w:eastAsia="Arial" w:hAnsi="Arial"/>
                <w:sz w:val="16"/>
                <w:szCs w:val="16"/>
                <w:color w:val="auto"/>
              </w:rPr>
              <w:t>August 21, 2015</w:t>
            </w:r>
          </w:p>
        </w:tc>
        <w:tc>
          <w:tcPr>
            <w:tcW w:w="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August, 28,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2,434</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5,701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July 1, 2015</w:t>
            </w: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September 23, 2015</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September 29,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2,320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14,026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October 1, 2015</w:t>
            </w:r>
          </w:p>
        </w:tc>
        <w:tc>
          <w:tcPr>
            <w:tcW w:w="60" w:type="dxa"/>
            <w:vAlign w:val="bottom"/>
          </w:tcPr>
          <w:p>
            <w:pPr>
              <w:spacing w:after="0"/>
              <w:rPr>
                <w:sz w:val="17"/>
                <w:szCs w:val="17"/>
                <w:color w:val="auto"/>
              </w:rPr>
            </w:pPr>
          </w:p>
        </w:tc>
        <w:tc>
          <w:tcPr>
            <w:tcW w:w="1660" w:type="dxa"/>
            <w:vAlign w:val="bottom"/>
          </w:tcPr>
          <w:p>
            <w:pPr>
              <w:ind w:left="100"/>
              <w:spacing w:after="0"/>
              <w:rPr>
                <w:sz w:val="20"/>
                <w:szCs w:val="20"/>
                <w:color w:val="auto"/>
              </w:rPr>
            </w:pPr>
            <w:r>
              <w:rPr>
                <w:rFonts w:ascii="Arial" w:cs="Arial" w:eastAsia="Arial" w:hAnsi="Arial"/>
                <w:sz w:val="16"/>
                <w:szCs w:val="16"/>
                <w:color w:val="auto"/>
              </w:rPr>
              <w:t>October 23, 2015</w:t>
            </w:r>
          </w:p>
        </w:tc>
        <w:tc>
          <w:tcPr>
            <w:tcW w:w="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October 29,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2,349</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9,317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3"/>
        </w:trPr>
        <w:tc>
          <w:tcPr>
            <w:tcW w:w="1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October 1, 2015</w:t>
            </w:r>
          </w:p>
        </w:tc>
        <w:tc>
          <w:tcPr>
            <w:tcW w:w="60" w:type="dxa"/>
            <w:vAlign w:val="bottom"/>
            <w:shd w:val="clear" w:color="auto" w:fill="CCEEFF"/>
          </w:tcPr>
          <w:p>
            <w:pPr>
              <w:spacing w:after="0"/>
              <w:rPr>
                <w:sz w:val="17"/>
                <w:szCs w:val="17"/>
                <w:color w:val="auto"/>
              </w:rPr>
            </w:pPr>
          </w:p>
        </w:tc>
        <w:tc>
          <w:tcPr>
            <w:tcW w:w="1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November 20, 2015</w:t>
            </w: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November 27, 2015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0.1567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2,358</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8,443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3"/>
        </w:trPr>
        <w:tc>
          <w:tcPr>
            <w:tcW w:w="1520" w:type="dxa"/>
            <w:vAlign w:val="bottom"/>
            <w:gridSpan w:val="3"/>
          </w:tcPr>
          <w:p>
            <w:pPr>
              <w:ind w:left="20"/>
              <w:spacing w:after="0"/>
              <w:rPr>
                <w:sz w:val="20"/>
                <w:szCs w:val="20"/>
                <w:color w:val="auto"/>
              </w:rPr>
            </w:pPr>
            <w:r>
              <w:rPr>
                <w:rFonts w:ascii="Arial" w:cs="Arial" w:eastAsia="Arial" w:hAnsi="Arial"/>
                <w:sz w:val="16"/>
                <w:szCs w:val="16"/>
                <w:color w:val="auto"/>
              </w:rPr>
              <w:t>October 1, 2015</w:t>
            </w:r>
          </w:p>
        </w:tc>
        <w:tc>
          <w:tcPr>
            <w:tcW w:w="60" w:type="dxa"/>
            <w:vAlign w:val="bottom"/>
          </w:tcPr>
          <w:p>
            <w:pPr>
              <w:spacing w:after="0"/>
              <w:rPr>
                <w:sz w:val="17"/>
                <w:szCs w:val="17"/>
                <w:color w:val="auto"/>
              </w:rPr>
            </w:pPr>
          </w:p>
        </w:tc>
        <w:tc>
          <w:tcPr>
            <w:tcW w:w="1660" w:type="dxa"/>
            <w:vAlign w:val="bottom"/>
          </w:tcPr>
          <w:p>
            <w:pPr>
              <w:ind w:left="100"/>
              <w:spacing w:after="0"/>
              <w:rPr>
                <w:sz w:val="20"/>
                <w:szCs w:val="20"/>
                <w:color w:val="auto"/>
              </w:rPr>
            </w:pPr>
            <w:r>
              <w:rPr>
                <w:rFonts w:ascii="Arial" w:cs="Arial" w:eastAsia="Arial" w:hAnsi="Arial"/>
                <w:sz w:val="16"/>
                <w:szCs w:val="16"/>
                <w:color w:val="auto"/>
              </w:rPr>
              <w:t>December 22, 2015</w:t>
            </w:r>
          </w:p>
        </w:tc>
        <w:tc>
          <w:tcPr>
            <w:tcW w:w="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color w:val="auto"/>
              </w:rPr>
              <w:t>December 30, 2015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1567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2,392</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6,932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360" w:type="dxa"/>
            <w:vAlign w:val="bottom"/>
            <w:gridSpan w:val="4"/>
            <w:shd w:val="clear" w:color="auto" w:fill="CCEEFF"/>
          </w:tcPr>
          <w:p>
            <w:pPr>
              <w:ind w:left="1440"/>
              <w:spacing w:after="0"/>
              <w:rPr>
                <w:sz w:val="20"/>
                <w:szCs w:val="20"/>
                <w:color w:val="auto"/>
              </w:rPr>
            </w:pPr>
            <w:r>
              <w:rPr>
                <w:rFonts w:ascii="Arial" w:cs="Arial" w:eastAsia="Arial" w:hAnsi="Arial"/>
                <w:sz w:val="16"/>
                <w:szCs w:val="16"/>
                <w:color w:val="auto"/>
                <w:w w:val="96"/>
              </w:rPr>
              <w:t>Total Distributions Declared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2.38</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35,585</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77,783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5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779" w:hanging="272"/>
        <w:spacing w:after="0" w:line="277"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February 26, 2015, the Company’s Board of Directors declared a special distribution of $0.50 per share of the Company’s common stock, to be paid monthly over the remainder of 2015.</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2" w:name="page143"/>
    <w:bookmarkEnd w:id="142"/>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Distributions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19, 2014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30, 2014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8"/>
                <w:szCs w:val="18"/>
                <w:color w:val="auto"/>
              </w:rPr>
              <w:t>October 2, 2014</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November 21, 2014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November 28, 2014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 2014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22, 2014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30, 2014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0.1567</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8"/>
                <w:szCs w:val="18"/>
                <w:color w:val="auto"/>
              </w:rPr>
              <w:t>August 7, 2014</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September 12, 2014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September 26, 2014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8, 2014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9, 2014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26, 2014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8"/>
                <w:szCs w:val="18"/>
                <w:color w:val="auto"/>
              </w:rPr>
              <w:t>February 27, 2014</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March 14, 2014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March 26, 2014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Total Distributions Declared for Fiscal 2014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81"/>
        </w:trPr>
        <w:tc>
          <w:tcPr>
            <w:tcW w:w="362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November 11, 2013</w:t>
            </w: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10, 2013</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30, 2013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200"/>
              <w:spacing w:after="0"/>
              <w:rPr>
                <w:sz w:val="20"/>
                <w:szCs w:val="20"/>
                <w:color w:val="auto"/>
              </w:rPr>
            </w:pPr>
            <w:r>
              <w:rPr>
                <w:rFonts w:ascii="Arial" w:cs="Arial" w:eastAsia="Arial" w:hAnsi="Arial"/>
                <w:sz w:val="18"/>
                <w:szCs w:val="18"/>
                <w:color w:val="auto"/>
                <w:w w:val="98"/>
              </w:rPr>
              <w:t>Total Distributions Declared for Fiscal 2013</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-1525905</wp:posOffset>
            </wp:positionV>
            <wp:extent cx="5213985" cy="154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-1234440</wp:posOffset>
            </wp:positionV>
            <wp:extent cx="5213985" cy="154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-942975</wp:posOffset>
            </wp:positionV>
            <wp:extent cx="5213985" cy="154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-650875</wp:posOffset>
            </wp:positionV>
            <wp:extent cx="5213985"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-591185</wp:posOffset>
            </wp:positionV>
            <wp:extent cx="521398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Share Repurchase Program</w:t>
      </w:r>
    </w:p>
    <w:p>
      <w:pPr>
        <w:spacing w:after="0" w:line="121" w:lineRule="exact"/>
        <w:rPr>
          <w:sz w:val="20"/>
          <w:szCs w:val="20"/>
          <w:color w:val="auto"/>
        </w:rPr>
      </w:pPr>
    </w:p>
    <w:p>
      <w:pPr>
        <w:ind w:left="60" w:right="679" w:firstLine="270"/>
        <w:spacing w:after="0" w:line="272" w:lineRule="auto"/>
        <w:rPr>
          <w:sz w:val="20"/>
          <w:szCs w:val="20"/>
          <w:color w:val="auto"/>
        </w:rPr>
      </w:pPr>
      <w:r>
        <w:rPr>
          <w:rFonts w:ascii="Arial" w:cs="Arial" w:eastAsia="Arial" w:hAnsi="Arial"/>
          <w:sz w:val="17"/>
          <w:szCs w:val="17"/>
          <w:color w:val="auto"/>
        </w:rPr>
        <w:t>On February 26, 2015, the Company’s board of directors authorized a program for the purpose of repurchasing up to $12.0 million worth of its common stock. Under the repurchase program, the Company could have, but was not obligated to, repurchase its outstanding common stock in the open market from time to time provided that the Company complied with the prohibitions under its Insider Trading Policies and Procedures and the guidelines specified in Rule 10b-18 of the Securities Exchange Act of 1934, as amended, including certain price, market volume and timing constraints. Unless extended by the Company’s board of directors, the repurchase program was in place until the earlier of March 31, 2016 or until $12.0 million of the Company’s outstanding shares of common stock had been repurchased.</w:t>
      </w:r>
    </w:p>
    <w:p>
      <w:pPr>
        <w:spacing w:after="0" w:line="70" w:lineRule="exact"/>
        <w:rPr>
          <w:sz w:val="20"/>
          <w:szCs w:val="20"/>
          <w:color w:val="auto"/>
        </w:rPr>
      </w:pPr>
    </w:p>
    <w:p>
      <w:pPr>
        <w:ind w:left="60" w:right="519" w:firstLine="270"/>
        <w:spacing w:after="0" w:line="273" w:lineRule="auto"/>
        <w:rPr>
          <w:sz w:val="20"/>
          <w:szCs w:val="20"/>
          <w:color w:val="auto"/>
        </w:rPr>
      </w:pPr>
      <w:r>
        <w:rPr>
          <w:rFonts w:ascii="Arial" w:cs="Arial" w:eastAsia="Arial" w:hAnsi="Arial"/>
          <w:sz w:val="17"/>
          <w:szCs w:val="17"/>
          <w:color w:val="auto"/>
        </w:rPr>
        <w:t>During the year ended December 31, 2015, and since the approval of the repurchase program, the Company repurchased 774,858 shares of common stock in open market transactions for an aggregate cost (including transaction costs) of $12.0 million. As of December 31, 2015, none of these share repurchases were unsettled. The Company is incorporated in Maryland and under the law of the state, shares repurchased are considered retired (repurchased shares become authorized but unissued shares) rather than treasury stock. As a result, the cost of the stock repurchased is recorded as a reduction to capital in excess of par value on the consolidated statement of changes in net assets.</w:t>
      </w:r>
    </w:p>
    <w:p>
      <w:pPr>
        <w:spacing w:after="0" w:line="200" w:lineRule="exact"/>
        <w:rPr>
          <w:sz w:val="20"/>
          <w:szCs w:val="20"/>
          <w:color w:val="auto"/>
        </w:rPr>
      </w:pPr>
    </w:p>
    <w:p>
      <w:pPr>
        <w:spacing w:after="0" w:line="3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3" w:name="page144"/>
    <w:bookmarkEnd w:id="143"/>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Financial Highlights</w:t>
      </w:r>
    </w:p>
    <w:p>
      <w:pPr>
        <w:spacing w:after="0" w:line="121" w:lineRule="exact"/>
        <w:rPr>
          <w:sz w:val="20"/>
          <w:szCs w:val="20"/>
          <w:color w:val="auto"/>
        </w:rPr>
      </w:pPr>
    </w:p>
    <w:p>
      <w:pPr>
        <w:ind w:left="60" w:right="1319" w:firstLine="270"/>
        <w:spacing w:after="0" w:line="277" w:lineRule="auto"/>
        <w:rPr>
          <w:sz w:val="20"/>
          <w:szCs w:val="20"/>
          <w:color w:val="auto"/>
        </w:rPr>
      </w:pPr>
      <w:r>
        <w:rPr>
          <w:rFonts w:ascii="Arial" w:cs="Arial" w:eastAsia="Arial" w:hAnsi="Arial"/>
          <w:sz w:val="18"/>
          <w:szCs w:val="18"/>
          <w:color w:val="auto"/>
        </w:rPr>
        <w:t>The following is a schedule of financial highlights for the years ended December 31, 2015, 2014 and 2013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3392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auto"/>
            </w:tcBorders>
          </w:tcPr>
          <w:p>
            <w:pPr>
              <w:spacing w:after="0"/>
              <w:rPr>
                <w:sz w:val="14"/>
                <w:szCs w:val="14"/>
                <w:color w:val="auto"/>
              </w:rPr>
            </w:pPr>
          </w:p>
        </w:tc>
      </w:tr>
      <w:tr>
        <w:trPr>
          <w:trHeight w:val="210"/>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18.56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20.71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17.61</w:t>
            </w:r>
          </w:p>
        </w:tc>
      </w:tr>
      <w:tr>
        <w:trPr>
          <w:trHeight w:val="257"/>
        </w:trPr>
        <w:tc>
          <w:tcPr>
            <w:tcW w:w="406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r>
      <w:tr>
        <w:trPr>
          <w:trHeight w:val="257"/>
        </w:trPr>
        <w:tc>
          <w:tcPr>
            <w:tcW w:w="40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Net realized gain on investments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r>
      <w:tr>
        <w:trPr>
          <w:trHeight w:val="205"/>
        </w:trPr>
        <w:tc>
          <w:tcPr>
            <w:tcW w:w="406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rPr>
              <w:t>Net unrealized appreciation (depreciation) 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7"/>
        </w:trPr>
        <w:tc>
          <w:tcPr>
            <w:tcW w:w="20" w:type="dxa"/>
            <w:vAlign w:val="bottom"/>
            <w:shd w:val="clear" w:color="auto" w:fill="CCEEFF"/>
          </w:tcPr>
          <w:p>
            <w:pPr>
              <w:spacing w:after="0"/>
              <w:rPr>
                <w:sz w:val="23"/>
                <w:szCs w:val="23"/>
                <w:color w:val="auto"/>
              </w:rPr>
            </w:pPr>
          </w:p>
        </w:tc>
        <w:tc>
          <w:tcPr>
            <w:tcW w:w="404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investments</w:t>
            </w:r>
            <w:r>
              <w:rPr>
                <w:rFonts w:ascii="Arial" w:cs="Arial" w:eastAsia="Arial" w:hAnsi="Arial"/>
                <w:sz w:val="30"/>
                <w:szCs w:val="30"/>
                <w:color w:val="auto"/>
                <w:vertAlign w:val="superscript"/>
              </w:rPr>
              <w:t>(1)</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0.55</w:t>
            </w: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Distributions declared from net investment income</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(0.47)</w:t>
            </w: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Distributions declared from net realized gains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Partners’ capital contribution</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 to partners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(0.57)</w:t>
            </w: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Accretive impact of stock repurchase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57"/>
        </w:trPr>
        <w:tc>
          <w:tcPr>
            <w:tcW w:w="40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(7)</w:t>
            </w:r>
          </w:p>
        </w:tc>
        <w:tc>
          <w:tcPr>
            <w:tcW w:w="10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 value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20.71</w:t>
            </w: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Net assets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268,802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240,837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268,670</w:t>
            </w: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15,777,345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12,974,420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12,974,420</w:t>
            </w: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17.87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19.90</w:t>
            </w:r>
          </w:p>
        </w:tc>
      </w:tr>
      <w:tr>
        <w:trPr>
          <w:trHeight w:val="257"/>
        </w:trPr>
        <w:tc>
          <w:tcPr>
            <w:tcW w:w="406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(20.43)%</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06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Ratio of net investment income to average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w:t>
            </w:r>
          </w:p>
        </w:tc>
      </w:tr>
      <w:tr>
        <w:trPr>
          <w:trHeight w:val="205"/>
        </w:trPr>
        <w:tc>
          <w:tcPr>
            <w:tcW w:w="4060" w:type="dxa"/>
            <w:vAlign w:val="bottom"/>
            <w:gridSpan w:val="3"/>
          </w:tcPr>
          <w:p>
            <w:pPr>
              <w:ind w:left="20"/>
              <w:spacing w:after="0" w:line="206" w:lineRule="exact"/>
              <w:rPr>
                <w:sz w:val="20"/>
                <w:szCs w:val="20"/>
                <w:color w:val="auto"/>
              </w:rPr>
            </w:pPr>
            <w:r>
              <w:rPr>
                <w:rFonts w:ascii="Arial" w:cs="Arial" w:eastAsia="Arial" w:hAnsi="Arial"/>
                <w:sz w:val="18"/>
                <w:szCs w:val="18"/>
                <w:color w:val="auto"/>
              </w:rPr>
              <w:t>Ratio of incentive fee, net of incentive fee waiver,</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7"/>
        </w:trPr>
        <w:tc>
          <w:tcPr>
            <w:tcW w:w="20" w:type="dxa"/>
            <w:vAlign w:val="bottom"/>
          </w:tcPr>
          <w:p>
            <w:pPr>
              <w:spacing w:after="0"/>
              <w:rPr>
                <w:sz w:val="23"/>
                <w:szCs w:val="23"/>
                <w:color w:val="auto"/>
              </w:rPr>
            </w:pPr>
          </w:p>
        </w:tc>
        <w:tc>
          <w:tcPr>
            <w:tcW w:w="404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to average net assets</w:t>
            </w:r>
            <w:r>
              <w:rPr>
                <w:rFonts w:ascii="Arial" w:cs="Arial" w:eastAsia="Arial" w:hAnsi="Arial"/>
                <w:sz w:val="30"/>
                <w:szCs w:val="30"/>
                <w:color w:val="auto"/>
                <w:vertAlign w:val="superscript"/>
              </w:rPr>
              <w:t>(6)</w:t>
            </w:r>
          </w:p>
        </w:tc>
        <w:tc>
          <w:tcPr>
            <w:tcW w:w="10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0.60%</w:t>
            </w:r>
          </w:p>
        </w:tc>
      </w:tr>
      <w:tr>
        <w:trPr>
          <w:trHeight w:val="216"/>
        </w:trPr>
        <w:tc>
          <w:tcPr>
            <w:tcW w:w="4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5"/>
              </w:rPr>
              <w:t>Ratio of debt related expenses to average net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r>
      <w:tr>
        <w:trPr>
          <w:trHeight w:val="205"/>
        </w:trPr>
        <w:tc>
          <w:tcPr>
            <w:tcW w:w="4060" w:type="dxa"/>
            <w:vAlign w:val="bottom"/>
            <w:gridSpan w:val="3"/>
          </w:tcPr>
          <w:p>
            <w:pPr>
              <w:ind w:left="20"/>
              <w:spacing w:after="0" w:line="206" w:lineRule="exact"/>
              <w:rPr>
                <w:sz w:val="20"/>
                <w:szCs w:val="20"/>
                <w:color w:val="auto"/>
              </w:rPr>
            </w:pPr>
            <w:r>
              <w:rPr>
                <w:rFonts w:ascii="Arial" w:cs="Arial" w:eastAsia="Arial" w:hAnsi="Arial"/>
                <w:sz w:val="18"/>
                <w:szCs w:val="18"/>
                <w:color w:val="auto"/>
                <w:w w:val="92"/>
              </w:rPr>
              <w:t>Ratio of other operating expenses, net of management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7"/>
        </w:trPr>
        <w:tc>
          <w:tcPr>
            <w:tcW w:w="20" w:type="dxa"/>
            <w:vAlign w:val="bottom"/>
          </w:tcPr>
          <w:p>
            <w:pPr>
              <w:spacing w:after="0"/>
              <w:rPr>
                <w:sz w:val="23"/>
                <w:szCs w:val="23"/>
                <w:color w:val="auto"/>
              </w:rPr>
            </w:pPr>
          </w:p>
        </w:tc>
        <w:tc>
          <w:tcPr>
            <w:tcW w:w="404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fee waivers, to average net assets</w:t>
            </w:r>
            <w:r>
              <w:rPr>
                <w:rFonts w:ascii="Arial" w:cs="Arial" w:eastAsia="Arial" w:hAnsi="Arial"/>
                <w:sz w:val="30"/>
                <w:szCs w:val="30"/>
                <w:color w:val="auto"/>
                <w:vertAlign w:val="superscript"/>
              </w:rPr>
              <w:t>(6)</w:t>
            </w:r>
          </w:p>
        </w:tc>
        <w:tc>
          <w:tcPr>
            <w:tcW w:w="10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05"/>
        </w:trPr>
        <w:tc>
          <w:tcPr>
            <w:tcW w:w="4060" w:type="dxa"/>
            <w:vAlign w:val="bottom"/>
            <w:gridSpan w:val="3"/>
            <w:shd w:val="clear" w:color="auto" w:fill="CCEEFF"/>
          </w:tcPr>
          <w:p>
            <w:pPr>
              <w:ind w:left="20"/>
              <w:spacing w:after="0" w:line="206" w:lineRule="exact"/>
              <w:rPr>
                <w:sz w:val="20"/>
                <w:szCs w:val="20"/>
                <w:color w:val="auto"/>
              </w:rPr>
            </w:pPr>
            <w:r>
              <w:rPr>
                <w:rFonts w:ascii="Arial" w:cs="Arial" w:eastAsia="Arial" w:hAnsi="Arial"/>
                <w:sz w:val="18"/>
                <w:szCs w:val="18"/>
                <w:color w:val="auto"/>
                <w:w w:val="94"/>
              </w:rPr>
              <w:t>Ratio of total expenses, net of fee waivers to average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7"/>
        </w:trPr>
        <w:tc>
          <w:tcPr>
            <w:tcW w:w="20" w:type="dxa"/>
            <w:vAlign w:val="bottom"/>
            <w:shd w:val="clear" w:color="auto" w:fill="CCEEFF"/>
          </w:tcPr>
          <w:p>
            <w:pPr>
              <w:spacing w:after="0"/>
              <w:rPr>
                <w:sz w:val="23"/>
                <w:szCs w:val="23"/>
                <w:color w:val="auto"/>
              </w:rPr>
            </w:pPr>
          </w:p>
        </w:tc>
        <w:tc>
          <w:tcPr>
            <w:tcW w:w="404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net assets</w:t>
            </w:r>
            <w:r>
              <w:rPr>
                <w:rFonts w:ascii="Arial" w:cs="Arial" w:eastAsia="Arial" w:hAnsi="Arial"/>
                <w:sz w:val="30"/>
                <w:szCs w:val="30"/>
                <w:color w:val="auto"/>
                <w:vertAlign w:val="superscript"/>
              </w:rPr>
              <w:t>(6)</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57"/>
        </w:trPr>
        <w:tc>
          <w:tcPr>
            <w:tcW w:w="40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25.99%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16.77%</w:t>
            </w:r>
          </w:p>
        </w:tc>
      </w:tr>
      <w:tr>
        <w:trPr>
          <w:trHeight w:val="257"/>
        </w:trPr>
        <w:tc>
          <w:tcPr>
            <w:tcW w:w="406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9"/>
                <w:szCs w:val="29"/>
                <w:color w:val="auto"/>
                <w:vertAlign w:val="superscript"/>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324,824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255,268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198,159</w:t>
            </w:r>
          </w:p>
        </w:tc>
      </w:tr>
      <w:tr>
        <w:trPr>
          <w:trHeight w:val="216"/>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Average debt outstanding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20.59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19.67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15.27</w:t>
            </w:r>
          </w:p>
        </w:tc>
      </w:tr>
      <w:tr>
        <w:trPr>
          <w:trHeight w:val="257"/>
        </w:trPr>
        <w:tc>
          <w:tcPr>
            <w:tcW w:w="406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Asset coverage ratio per unit</w:t>
            </w:r>
            <w:r>
              <w:rPr>
                <w:rFonts w:ascii="Arial" w:cs="Arial" w:eastAsia="Arial" w:hAnsi="Arial"/>
                <w:sz w:val="29"/>
                <w:szCs w:val="29"/>
                <w:color w:val="auto"/>
                <w:vertAlign w:val="superscript"/>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2,376</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56" w:lineRule="exact"/>
        <w:rPr>
          <w:sz w:val="20"/>
          <w:szCs w:val="20"/>
          <w:color w:val="auto"/>
        </w:rPr>
      </w:pPr>
    </w:p>
    <w:p>
      <w:pPr>
        <w:ind w:left="300" w:hanging="27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outstanding during the period.</w:t>
      </w:r>
    </w:p>
    <w:p>
      <w:pPr>
        <w:spacing w:after="0" w:line="117" w:lineRule="exact"/>
        <w:rPr>
          <w:rFonts w:ascii="Arial" w:cs="Arial" w:eastAsia="Arial" w:hAnsi="Arial"/>
          <w:sz w:val="18"/>
          <w:szCs w:val="18"/>
          <w:color w:val="auto"/>
        </w:rPr>
      </w:pPr>
    </w:p>
    <w:p>
      <w:pPr>
        <w:ind w:left="300" w:right="759" w:hanging="272"/>
        <w:spacing w:after="0" w:line="257"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4" w:name="page145"/>
    <w:bookmarkEnd w:id="144"/>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17. Financial Highlights – (continued)</w:t>
      </w:r>
    </w:p>
    <w:p>
      <w:pPr>
        <w:spacing w:after="0" w:line="121" w:lineRule="exact"/>
        <w:rPr>
          <w:sz w:val="20"/>
          <w:szCs w:val="20"/>
          <w:color w:val="auto"/>
        </w:rPr>
      </w:pPr>
    </w:p>
    <w:p>
      <w:pPr>
        <w:ind w:left="420" w:right="1039" w:hanging="272"/>
        <w:spacing w:after="0" w:line="342" w:lineRule="auto"/>
        <w:tabs>
          <w:tab w:leader="none" w:pos="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 Portfolio turnover rates that cover less than a full period are not annualized.</w:t>
      </w:r>
    </w:p>
    <w:p>
      <w:pPr>
        <w:spacing w:after="0" w:line="15" w:lineRule="exact"/>
        <w:rPr>
          <w:rFonts w:ascii="Arial" w:cs="Arial" w:eastAsia="Arial" w:hAnsi="Arial"/>
          <w:sz w:val="16"/>
          <w:szCs w:val="16"/>
          <w:color w:val="auto"/>
        </w:rPr>
      </w:pPr>
    </w:p>
    <w:p>
      <w:pPr>
        <w:ind w:left="420" w:hanging="272"/>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daily weighted average balance of debt outstanding during the period.</w:t>
      </w:r>
    </w:p>
    <w:p>
      <w:pPr>
        <w:spacing w:after="0" w:line="117" w:lineRule="exact"/>
        <w:rPr>
          <w:rFonts w:ascii="Arial" w:cs="Arial" w:eastAsia="Arial" w:hAnsi="Arial"/>
          <w:sz w:val="18"/>
          <w:szCs w:val="18"/>
          <w:color w:val="auto"/>
        </w:rPr>
      </w:pPr>
    </w:p>
    <w:p>
      <w:pPr>
        <w:ind w:left="420" w:right="619" w:hanging="272"/>
        <w:spacing w:after="0" w:line="273" w:lineRule="auto"/>
        <w:tabs>
          <w:tab w:leader="none" w:pos="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indebtness not represented by senior securities, to the aggregate amount of senior securities representing indebtness. We have excluded our SBA-guaranteed debentures from the asset coverage calculation as of December 31, 2015 pursuant to the exemptive relief granted by the SEC in June 2014 that permits us to exclude such debentures from the definition of senior securities in the 200% asset coverage ratio we are required to maintain under the 1940 Act. Asset coverage per unit is expressed in terms of dollar amounts per $1,000 of indebtness.</w:t>
      </w:r>
    </w:p>
    <w:p>
      <w:pPr>
        <w:spacing w:after="0" w:line="70" w:lineRule="exact"/>
        <w:rPr>
          <w:rFonts w:ascii="Arial" w:cs="Arial" w:eastAsia="Arial" w:hAnsi="Arial"/>
          <w:sz w:val="17"/>
          <w:szCs w:val="17"/>
          <w:color w:val="auto"/>
        </w:rPr>
      </w:pPr>
    </w:p>
    <w:p>
      <w:pPr>
        <w:ind w:left="420" w:right="699" w:hanging="272"/>
        <w:spacing w:after="0" w:line="277"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ratio of waived fees to average net assets was 0.40%, 0.09% and 0.13% for the years ended December 31, 2015, 2014 and 2013.</w:t>
      </w:r>
    </w:p>
    <w:p>
      <w:pPr>
        <w:spacing w:after="0" w:line="62" w:lineRule="exact"/>
        <w:rPr>
          <w:rFonts w:ascii="Arial" w:cs="Arial" w:eastAsia="Arial" w:hAnsi="Arial"/>
          <w:sz w:val="18"/>
          <w:szCs w:val="18"/>
          <w:color w:val="auto"/>
        </w:rPr>
      </w:pPr>
    </w:p>
    <w:p>
      <w:pPr>
        <w:jc w:val="both"/>
        <w:ind w:left="420" w:right="679" w:hanging="272"/>
        <w:spacing w:after="0" w:line="264"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the impact of different share amounts used in calculating per share data as a result of calculating per share data based on weighted average shares outstanding during the period and certain per share data based on shares outstanding as of a period end or transaction date.</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18. 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w w:val="98"/>
              </w:rPr>
              <w:t>For the quarter ended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March 31,</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2015</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investment income</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16,547</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7,406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w w:val="99"/>
              </w:rPr>
              <w:t>Net increase/(decrease) in net assets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(8,917)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9,867</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42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 per share</w:t>
            </w:r>
            <w:r>
              <w:rPr>
                <w:rFonts w:ascii="Arial" w:cs="Arial" w:eastAsia="Arial" w:hAnsi="Arial"/>
                <w:sz w:val="29"/>
                <w:szCs w:val="29"/>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4280" w:type="dxa"/>
            <w:vAlign w:val="bottom"/>
            <w:gridSpan w:val="2"/>
          </w:tcPr>
          <w:p>
            <w:pPr>
              <w:ind w:left="20"/>
              <w:spacing w:after="0" w:line="206" w:lineRule="exact"/>
              <w:rPr>
                <w:sz w:val="20"/>
                <w:szCs w:val="20"/>
                <w:color w:val="auto"/>
              </w:rPr>
            </w:pPr>
            <w:r>
              <w:rPr>
                <w:rFonts w:ascii="Arial" w:cs="Arial" w:eastAsia="Arial" w:hAnsi="Arial"/>
                <w:sz w:val="18"/>
                <w:szCs w:val="18"/>
                <w:color w:val="auto"/>
                <w:w w:val="92"/>
              </w:rPr>
              <w:t>Net increase/(decrease) in net assets from operations per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4280" w:type="dxa"/>
            <w:vAlign w:val="bottom"/>
            <w:gridSpan w:val="2"/>
          </w:tcPr>
          <w:p>
            <w:pPr>
              <w:ind w:left="200"/>
              <w:spacing w:after="0" w:line="266" w:lineRule="exact"/>
              <w:rPr>
                <w:sz w:val="20"/>
                <w:szCs w:val="20"/>
                <w:color w:val="auto"/>
              </w:rPr>
            </w:pPr>
            <w:r>
              <w:rPr>
                <w:rFonts w:ascii="Arial" w:cs="Arial" w:eastAsia="Arial" w:hAnsi="Arial"/>
                <w:sz w:val="18"/>
                <w:szCs w:val="18"/>
                <w:color w:val="auto"/>
              </w:rPr>
              <w:t>share</w:t>
            </w:r>
            <w:r>
              <w:rPr>
                <w:rFonts w:ascii="Arial" w:cs="Arial" w:eastAsia="Arial" w:hAnsi="Arial"/>
                <w:sz w:val="30"/>
                <w:szCs w:val="30"/>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0.76</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asset value per share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17.04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w w:val="98"/>
              </w:rPr>
              <w:t>For the quarter ended</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4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March 31,</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2014</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investment income</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13,461</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12,374</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5,067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w w:val="99"/>
              </w:rPr>
              <w:t>Net increase/(decrease) in net assets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(11,181)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1,218</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428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 per share</w:t>
            </w:r>
            <w:r>
              <w:rPr>
                <w:rFonts w:ascii="Arial" w:cs="Arial" w:eastAsia="Arial" w:hAnsi="Arial"/>
                <w:sz w:val="29"/>
                <w:szCs w:val="29"/>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4280" w:type="dxa"/>
            <w:vAlign w:val="bottom"/>
            <w:gridSpan w:val="2"/>
          </w:tcPr>
          <w:p>
            <w:pPr>
              <w:ind w:left="20"/>
              <w:spacing w:after="0" w:line="206" w:lineRule="exact"/>
              <w:rPr>
                <w:sz w:val="20"/>
                <w:szCs w:val="20"/>
                <w:color w:val="auto"/>
              </w:rPr>
            </w:pPr>
            <w:r>
              <w:rPr>
                <w:rFonts w:ascii="Arial" w:cs="Arial" w:eastAsia="Arial" w:hAnsi="Arial"/>
                <w:sz w:val="18"/>
                <w:szCs w:val="18"/>
                <w:color w:val="auto"/>
                <w:w w:val="92"/>
              </w:rPr>
              <w:t>Net increase/(decrease) in net assets from operations per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20" w:type="dxa"/>
            <w:vAlign w:val="bottom"/>
          </w:tcPr>
          <w:p>
            <w:pPr>
              <w:spacing w:after="0"/>
              <w:rPr>
                <w:sz w:val="23"/>
                <w:szCs w:val="23"/>
                <w:color w:val="auto"/>
              </w:rPr>
            </w:pPr>
          </w:p>
        </w:tc>
        <w:tc>
          <w:tcPr>
            <w:tcW w:w="4280" w:type="dxa"/>
            <w:vAlign w:val="bottom"/>
            <w:gridSpan w:val="2"/>
          </w:tcPr>
          <w:p>
            <w:pPr>
              <w:ind w:left="200"/>
              <w:spacing w:after="0" w:line="266" w:lineRule="exact"/>
              <w:rPr>
                <w:sz w:val="20"/>
                <w:szCs w:val="20"/>
                <w:color w:val="auto"/>
              </w:rPr>
            </w:pPr>
            <w:r>
              <w:rPr>
                <w:rFonts w:ascii="Arial" w:cs="Arial" w:eastAsia="Arial" w:hAnsi="Arial"/>
                <w:sz w:val="18"/>
                <w:szCs w:val="18"/>
                <w:color w:val="auto"/>
              </w:rPr>
              <w:t>share</w:t>
            </w:r>
            <w:r>
              <w:rPr>
                <w:rFonts w:ascii="Arial" w:cs="Arial" w:eastAsia="Arial" w:hAnsi="Arial"/>
                <w:sz w:val="30"/>
                <w:szCs w:val="30"/>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0.09</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asset value per share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18.56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rPr>
              <w:t>F-55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-2049145</wp:posOffset>
            </wp:positionV>
            <wp:extent cx="521398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5" w:name="page146"/>
    <w:bookmarkEnd w:id="145"/>
    <w:p>
      <w:pPr>
        <w:ind w:left="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CAPITALA FINANCE CORP.</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Selected Quarterly Financial Data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w w:val="98"/>
              </w:rPr>
              <w:t>For the quarter ended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1"/>
        </w:trPr>
        <w:tc>
          <w:tcPr>
            <w:tcW w:w="42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Total investment income</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8,801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6,271</w:t>
            </w:r>
          </w:p>
        </w:tc>
        <w:tc>
          <w:tcPr>
            <w:tcW w:w="0" w:type="dxa"/>
            <w:vAlign w:val="bottom"/>
          </w:tcPr>
          <w:p>
            <w:pPr>
              <w:spacing w:after="0"/>
              <w:rPr>
                <w:sz w:val="1"/>
                <w:szCs w:val="1"/>
                <w:color w:val="auto"/>
              </w:rPr>
            </w:pPr>
          </w:p>
        </w:tc>
      </w:tr>
      <w:tr>
        <w:trPr>
          <w:trHeight w:val="216"/>
        </w:trPr>
        <w:tc>
          <w:tcPr>
            <w:tcW w:w="42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16"/>
        </w:trPr>
        <w:tc>
          <w:tcPr>
            <w:tcW w:w="4260" w:type="dxa"/>
            <w:vAlign w:val="bottom"/>
            <w:gridSpan w:val="4"/>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6,797</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7,909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57"/>
        </w:trPr>
        <w:tc>
          <w:tcPr>
            <w:tcW w:w="426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Net investment income per share</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57"/>
        </w:trPr>
        <w:tc>
          <w:tcPr>
            <w:tcW w:w="4260" w:type="dxa"/>
            <w:vAlign w:val="bottom"/>
            <w:gridSpan w:val="4"/>
          </w:tcPr>
          <w:p>
            <w:pPr>
              <w:ind w:left="20"/>
              <w:spacing w:after="0" w:line="256" w:lineRule="exact"/>
              <w:rPr>
                <w:sz w:val="20"/>
                <w:szCs w:val="20"/>
                <w:color w:val="auto"/>
              </w:rPr>
            </w:pPr>
            <w:r>
              <w:rPr>
                <w:rFonts w:ascii="Arial" w:cs="Arial" w:eastAsia="Arial" w:hAnsi="Arial"/>
                <w:sz w:val="18"/>
                <w:szCs w:val="18"/>
                <w:color w:val="auto"/>
                <w:w w:val="95"/>
              </w:rPr>
              <w:t>Net increase in net assets from operations per share</w:t>
            </w:r>
            <w:r>
              <w:rPr>
                <w:rFonts w:ascii="Arial" w:cs="Arial" w:eastAsia="Arial" w:hAnsi="Arial"/>
                <w:sz w:val="29"/>
                <w:szCs w:val="29"/>
                <w:color w:val="auto"/>
                <w:w w:val="95"/>
                <w:vertAlign w:val="superscript"/>
              </w:rPr>
              <w:t>(1)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0.52</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0.61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57"/>
        </w:trPr>
        <w:tc>
          <w:tcPr>
            <w:tcW w:w="426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rPr>
              <w:t>Net asset value per share at end of period</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hanging="272"/>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 share amounts are presented as if the Formation Transactions had occurred on January 1, 2013.</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Calculated based on weighted average shares outstanding during the quarter.</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Subsequent Events</w:t>
      </w:r>
    </w:p>
    <w:p>
      <w:pPr>
        <w:spacing w:after="0" w:line="121" w:lineRule="exact"/>
        <w:rPr>
          <w:sz w:val="20"/>
          <w:szCs w:val="20"/>
          <w:color w:val="auto"/>
        </w:rPr>
      </w:pPr>
    </w:p>
    <w:p>
      <w:pPr>
        <w:ind w:left="60" w:right="819" w:firstLine="270"/>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and for the year ended December 31, 2015.</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4, 2016, the Board of Directors declared the following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0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22, 2016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30, 2016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8"/>
                <w:szCs w:val="18"/>
                <w:color w:val="auto"/>
              </w:rPr>
              <w:t>January 4, 2016</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February 19, 2016</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February 26, 2016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4, 2016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22, 2016</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28, 2016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0.1567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ind w:left="200"/>
              <w:spacing w:after="0"/>
              <w:rPr>
                <w:sz w:val="20"/>
                <w:szCs w:val="20"/>
                <w:color w:val="auto"/>
              </w:rPr>
            </w:pPr>
            <w:r>
              <w:rPr>
                <w:rFonts w:ascii="Arial" w:cs="Arial" w:eastAsia="Arial" w:hAnsi="Arial"/>
                <w:sz w:val="18"/>
                <w:szCs w:val="18"/>
                <w:color w:val="auto"/>
                <w:w w:val="98"/>
              </w:rPr>
              <w:t>Total Distributions Declared for Fiscal 2016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-471170</wp:posOffset>
            </wp:positionV>
            <wp:extent cx="5213985" cy="1543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12, 2016, the Company invested in $24.0 million in the subordinated debt and equity of Eastport Holdings, LLC.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subordinated debt has a cash rate of Libor + 13.0%, with a 0.5% floor.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January 26, 2016, the Company funded $2.8 million in the existing commitment for Community Choice Financial, Inc.</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senior secured revolving debt. The debt investment has a cash rate of Libor + 13.0% with a 1.0% floor.</w:t>
      </w:r>
    </w:p>
    <w:p>
      <w:pPr>
        <w:spacing w:after="0" w:line="103"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On February 29, 2016, the Company sold its investment in Crowley Holdings, Inc. Series A Income Preferred Shares for $6.3 million. The Company received par value, plus accrued dividends.</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11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As of December 31, 2015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(b) Report of Management on Internal Control Over Financial Reporting</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and for performing an assessment of the effectiveness of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(i) pertain to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left="40" w:right="859" w:firstLine="270"/>
        <w:spacing w:after="0" w:line="302" w:lineRule="auto"/>
        <w:rPr>
          <w:sz w:val="20"/>
          <w:szCs w:val="20"/>
          <w:color w:val="auto"/>
        </w:rPr>
      </w:pPr>
      <w:r>
        <w:rPr>
          <w:rFonts w:ascii="Arial" w:cs="Arial" w:eastAsia="Arial" w:hAnsi="Arial"/>
          <w:sz w:val="16"/>
          <w:szCs w:val="16"/>
          <w:color w:val="auto"/>
        </w:rPr>
        <w:t>Management performed an assessment of the effectiveness of the Company’s internal control over financial reporting as of December 31, 2015 based upon the criteria in the 2013 Internal Control — Integrated Framework issued by the Committee of Sponsoring Organizations of the Treadway Commission. Based on management’s assessment, management determined that the Company’s internal control over financial reporting was effective as of December 31, 2015.</w:t>
      </w:r>
    </w:p>
    <w:p>
      <w:pPr>
        <w:spacing w:after="0" w:line="46"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Due to the Company’s status as an “emerging growth company” under the Jumpstart Our Business Startups Act of 2012, the Company was not required to obtain an attestation report from the Company’s independent registered public accounting firm on the Company’s internal control over financial reporting as of December 31, 2015.</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 Changes in Internal Controls Over Financial Reporting</w:t>
      </w:r>
    </w:p>
    <w:p>
      <w:pPr>
        <w:spacing w:after="0" w:line="117" w:lineRule="exact"/>
        <w:rPr>
          <w:sz w:val="20"/>
          <w:szCs w:val="20"/>
          <w:color w:val="auto"/>
        </w:rPr>
      </w:pPr>
    </w:p>
    <w:p>
      <w:pPr>
        <w:jc w:val="both"/>
        <w:ind w:left="40" w:right="639" w:firstLine="270"/>
        <w:spacing w:after="0" w:line="264" w:lineRule="auto"/>
        <w:rPr>
          <w:sz w:val="20"/>
          <w:szCs w:val="20"/>
          <w:color w:val="auto"/>
        </w:rPr>
      </w:pPr>
      <w:r>
        <w:rPr>
          <w:rFonts w:ascii="Arial" w:cs="Arial" w:eastAsia="Arial" w:hAnsi="Arial"/>
          <w:sz w:val="18"/>
          <w:szCs w:val="18"/>
          <w:color w:val="auto"/>
        </w:rPr>
        <w:t>Management has not identified any change in the Company’s internal control over financing reporting that occurred during the fourth quarter of 2015 that has materially affected, or is reasonably likely to materially affect, the Company’s internal control over financial reporting.</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We will file a definitive Proxy Statement for our 2016 Annual Meeting of Stockholders with the Securities and Exchange Commission (the “SEC”), pursuant to Regulation 14A, not later than 120 days after the end of our fiscal year. Accordingly, certain information required by Part III has been omitted under General Instruction G(3) to Form 10-K. Only those sections of our definitive Proxy Statement that specifically address the items set forth herein are incorporated by reference.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10 is hereby incorporated by reference from our definitive Proxy Statement relating to our 2016 Annual Meeting of Stockholders, to be filed with the SEC within 120 days following the end of our fiscal year.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40" w:right="819" w:firstLine="270"/>
        <w:spacing w:after="0" w:line="308" w:lineRule="auto"/>
        <w:rPr>
          <w:sz w:val="20"/>
          <w:szCs w:val="20"/>
          <w:color w:val="auto"/>
        </w:rPr>
      </w:pPr>
      <w:r>
        <w:rPr>
          <w:rFonts w:ascii="Arial" w:cs="Arial" w:eastAsia="Arial" w:hAnsi="Arial"/>
          <w:sz w:val="17"/>
          <w:szCs w:val="17"/>
          <w:color w:val="auto"/>
        </w:rPr>
        <w:t>The information required by Item 11 is hereby incorporated by reference from our definitive Proxy Statement relating to our 2016 Annual Meeting of Stockholders, to be filed with the SEC within 120 days following the end of our fiscal year.</w:t>
      </w:r>
    </w:p>
    <w:p>
      <w:pPr>
        <w:spacing w:after="0" w:line="75" w:lineRule="exact"/>
        <w:rPr>
          <w:sz w:val="20"/>
          <w:szCs w:val="20"/>
          <w:color w:val="auto"/>
        </w:rPr>
      </w:pPr>
    </w:p>
    <w:p>
      <w:pPr>
        <w:ind w:left="40" w:right="7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12 is hereby incorporated by reference from our definitive Proxy Statement relating to our 2016 Annual Meeting of Stockholders, to be filed with the SEC within 120 days following the end of our fiscal year.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13 is hereby incorporated by reference from our definitive Proxy Statement relating to our 2016 Annual Meeting of Stockholders, to be filed with the SEC within 120 days following the end of our fiscal year.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40" w:right="799" w:firstLine="270"/>
        <w:spacing w:after="0" w:line="308" w:lineRule="auto"/>
        <w:rPr>
          <w:sz w:val="20"/>
          <w:szCs w:val="20"/>
          <w:color w:val="auto"/>
        </w:rPr>
      </w:pPr>
      <w:r>
        <w:rPr>
          <w:rFonts w:ascii="Arial" w:cs="Arial" w:eastAsia="Arial" w:hAnsi="Arial"/>
          <w:sz w:val="17"/>
          <w:szCs w:val="17"/>
          <w:color w:val="auto"/>
        </w:rPr>
        <w:t>The information required by Item 14 is hereby incorporated by reference from our definitive Proxy Statement relating to our 2016 Annual Meeting of Stockholders, to be filed with the SEC within 120 days following the end of our fiscal year.</w:t>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8" w:name="page149"/>
    <w:bookmarkEnd w:id="148"/>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15. EXHIBITS AND CONSOLIDATED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consolidated financial statements are set forth in Item 8:</w:t>
      </w:r>
    </w:p>
    <w:p>
      <w:pPr>
        <w:spacing w:after="0" w:line="22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14"/>
                <w:szCs w:val="14"/>
                <w:color w:val="auto"/>
              </w:rPr>
            </w:pPr>
          </w:p>
        </w:tc>
      </w:tr>
      <w:tr>
        <w:trPr>
          <w:trHeight w:val="169"/>
        </w:trPr>
        <w:tc>
          <w:tcPr>
            <w:tcW w:w="140" w:type="dxa"/>
            <w:vAlign w:val="bottom"/>
            <w:tcBorders>
              <w:right w:val="single" w:sz="8" w:color="CCEEFF"/>
            </w:tcBorders>
          </w:tcPr>
          <w:p>
            <w:pPr>
              <w:spacing w:after="0"/>
              <w:rPr>
                <w:sz w:val="14"/>
                <w:szCs w:val="14"/>
                <w:color w:val="auto"/>
              </w:rPr>
            </w:pPr>
          </w:p>
        </w:tc>
        <w:tc>
          <w:tcPr>
            <w:tcW w:w="7440" w:type="dxa"/>
            <w:vAlign w:val="bottom"/>
            <w:gridSpan w:val="11"/>
            <w:shd w:val="clear" w:color="auto" w:fill="CCEEFF"/>
          </w:tcPr>
          <w:p>
            <w:pPr>
              <w:spacing w:after="0" w:line="170" w:lineRule="exact"/>
              <w:rPr>
                <w:rFonts w:ascii="Arial" w:cs="Arial" w:eastAsia="Arial" w:hAnsi="Arial"/>
                <w:sz w:val="18"/>
                <w:szCs w:val="18"/>
                <w:color w:val="0000EE"/>
              </w:rPr>
            </w:pPr>
            <w:hyperlink w:anchor="page91">
              <w:r>
                <w:rPr>
                  <w:rFonts w:ascii="Arial" w:cs="Arial" w:eastAsia="Arial" w:hAnsi="Arial"/>
                  <w:sz w:val="18"/>
                  <w:szCs w:val="18"/>
                  <w:color w:val="0000EE"/>
                </w:rPr>
                <w:t>Report of Independent Registered Public Accounting Firms</w:t>
              </w:r>
            </w:hyperlink>
          </w:p>
        </w:tc>
        <w:tc>
          <w:tcPr>
            <w:tcW w:w="34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80"/>
              <w:spacing w:after="0" w:line="170" w:lineRule="exact"/>
              <w:rPr>
                <w:rFonts w:ascii="Arial" w:cs="Arial" w:eastAsia="Arial" w:hAnsi="Arial"/>
                <w:sz w:val="18"/>
                <w:szCs w:val="18"/>
                <w:color w:val="0000EE"/>
              </w:rPr>
            </w:pPr>
            <w:hyperlink w:anchor="page91">
              <w:r>
                <w:rPr>
                  <w:rFonts w:ascii="Arial" w:cs="Arial" w:eastAsia="Arial" w:hAnsi="Arial"/>
                  <w:sz w:val="18"/>
                  <w:szCs w:val="18"/>
                  <w:color w:val="0000EE"/>
                </w:rPr>
                <w:t>F-1</w:t>
              </w:r>
            </w:hyperlink>
          </w:p>
        </w:tc>
        <w:tc>
          <w:tcPr>
            <w:tcW w:w="1260" w:type="dxa"/>
            <w:vAlign w:val="bottom"/>
          </w:tcPr>
          <w:p>
            <w:pPr>
              <w:spacing w:after="0"/>
              <w:rPr>
                <w:sz w:val="14"/>
                <w:szCs w:val="14"/>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440" w:type="dxa"/>
            <w:vAlign w:val="bottom"/>
            <w:gridSpan w:val="11"/>
          </w:tcPr>
          <w:p>
            <w:pPr>
              <w:spacing w:after="0"/>
              <w:rPr>
                <w:sz w:val="20"/>
                <w:szCs w:val="20"/>
                <w:color w:val="auto"/>
              </w:rPr>
            </w:pPr>
            <w:r>
              <w:rPr>
                <w:rFonts w:ascii="Arial" w:cs="Arial" w:eastAsia="Arial" w:hAnsi="Arial"/>
                <w:sz w:val="18"/>
                <w:szCs w:val="18"/>
                <w:b w:val="1"/>
                <w:bCs w:val="1"/>
                <w:color w:val="auto"/>
              </w:rPr>
              <w:t>Audited Financial Statements: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Consolidated Statements of Assets and Liabilities as of December 31, 2015 and December 31, 2014</w:t>
              </w:r>
            </w:hyperlink>
          </w:p>
        </w:tc>
        <w:tc>
          <w:tcPr>
            <w:tcW w:w="34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80"/>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F-2</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440" w:type="dxa"/>
            <w:vAlign w:val="bottom"/>
            <w:gridSpan w:val="11"/>
          </w:tcPr>
          <w:p>
            <w:pPr>
              <w:spacing w:after="0" w:line="17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Consolidated Statements of Operations for the years ended December 31, 2015, December 31, 2014</w:t>
              </w:r>
            </w:hyperlink>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200" w:type="dxa"/>
            <w:vAlign w:val="bottom"/>
            <w:tcBorders>
              <w:top w:val="single" w:sz="8" w:color="0000EE"/>
            </w:tcBorders>
            <w:gridSpan w:val="9"/>
          </w:tcPr>
          <w:p>
            <w:pPr>
              <w:ind w:left="180"/>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and December 31, 2013</w:t>
              </w:r>
            </w:hyperlink>
          </w:p>
        </w:tc>
        <w:tc>
          <w:tcPr>
            <w:tcW w:w="2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3"/>
          </w:tcPr>
          <w:p>
            <w:pPr>
              <w:jc w:val="right"/>
              <w:ind w:right="80"/>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F-3</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Changes in Net Assets for the years ended December 31, 2015,</w:t>
              </w:r>
            </w:hyperlink>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6560" w:type="dxa"/>
            <w:vAlign w:val="bottom"/>
            <w:tcBorders>
              <w:top w:val="single" w:sz="8" w:color="0000EE"/>
            </w:tcBorders>
            <w:gridSpan w:val="7"/>
            <w:shd w:val="clear" w:color="auto" w:fill="CCEEFF"/>
          </w:tcPr>
          <w:p>
            <w:pPr>
              <w:ind w:left="180"/>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December 31, 2014 and December 31, 2013</w:t>
              </w:r>
            </w:hyperlink>
          </w:p>
        </w:tc>
        <w:tc>
          <w:tcPr>
            <w:tcW w:w="880" w:type="dxa"/>
            <w:vAlign w:val="bottom"/>
            <w:tcBorders>
              <w:top w:val="single" w:sz="8" w:color="CCEEFF"/>
            </w:tcBorders>
            <w:gridSpan w:val="4"/>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3"/>
            <w:shd w:val="clear" w:color="auto" w:fill="CCEEFF"/>
          </w:tcPr>
          <w:p>
            <w:pPr>
              <w:jc w:val="right"/>
              <w:ind w:right="80"/>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F-4</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440" w:type="dxa"/>
            <w:vAlign w:val="bottom"/>
            <w:gridSpan w:val="11"/>
          </w:tcPr>
          <w:p>
            <w:pPr>
              <w:spacing w:after="0" w:line="17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Consolidated Statements of Cash Flows for the years ended December 31, 2015, December 31, 2014</w:t>
              </w:r>
            </w:hyperlink>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7240" w:type="dxa"/>
            <w:vAlign w:val="bottom"/>
            <w:tcBorders>
              <w:top w:val="single" w:sz="8" w:color="0000EE"/>
            </w:tcBorders>
            <w:gridSpan w:val="10"/>
          </w:tcPr>
          <w:p>
            <w:pPr>
              <w:ind w:left="18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and December 31, 2013</w:t>
              </w:r>
            </w:hyperlink>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3"/>
          </w:tcPr>
          <w:p>
            <w:pPr>
              <w:jc w:val="right"/>
              <w:ind w:right="8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F-5</w:t>
              </w:r>
            </w:hyperlink>
          </w:p>
        </w:tc>
        <w:tc>
          <w:tcPr>
            <w:tcW w:w="1260" w:type="dxa"/>
            <w:vAlign w:val="bottom"/>
          </w:tcPr>
          <w:p>
            <w:pPr>
              <w:spacing w:after="0"/>
              <w:rPr>
                <w:sz w:val="17"/>
                <w:szCs w:val="17"/>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Schedules of Investments as of December 31, 2015 and December 31, 2014</w:t>
              </w:r>
            </w:hyperlink>
          </w:p>
        </w:tc>
        <w:tc>
          <w:tcPr>
            <w:tcW w:w="34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80"/>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F-6</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440" w:type="dxa"/>
            <w:vAlign w:val="bottom"/>
            <w:gridSpan w:val="11"/>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Notes to Consolidated Financial Statements</w:t>
              </w:r>
            </w:hyperlink>
          </w:p>
        </w:tc>
        <w:tc>
          <w:tcPr>
            <w:tcW w:w="340" w:type="dxa"/>
            <w:vAlign w:val="bottom"/>
          </w:tcPr>
          <w:p>
            <w:pPr>
              <w:spacing w:after="0"/>
              <w:rPr>
                <w:sz w:val="15"/>
                <w:szCs w:val="15"/>
                <w:color w:val="auto"/>
              </w:rPr>
            </w:pPr>
          </w:p>
        </w:tc>
        <w:tc>
          <w:tcPr>
            <w:tcW w:w="420" w:type="dxa"/>
            <w:vAlign w:val="bottom"/>
            <w:gridSpan w:val="3"/>
          </w:tcPr>
          <w:p>
            <w:pPr>
              <w:jc w:val="right"/>
              <w:ind w:right="80"/>
              <w:spacing w:after="0" w:line="176"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F-19</w:t>
              </w:r>
            </w:hyperlink>
          </w:p>
        </w:tc>
        <w:tc>
          <w:tcPr>
            <w:tcW w:w="1260" w:type="dxa"/>
            <w:vAlign w:val="bottom"/>
          </w:tcPr>
          <w:p>
            <w:pPr>
              <w:spacing w:after="0"/>
              <w:rPr>
                <w:sz w:val="15"/>
                <w:szCs w:val="15"/>
                <w:color w:val="auto"/>
              </w:rPr>
            </w:pPr>
          </w:p>
        </w:tc>
      </w:tr>
      <w:tr>
        <w:trPr>
          <w:trHeight w:val="804"/>
        </w:trPr>
        <w:tc>
          <w:tcPr>
            <w:tcW w:w="14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3300" w:type="dxa"/>
            <w:vAlign w:val="bottom"/>
            <w:gridSpan w:val="3"/>
          </w:tcPr>
          <w:p>
            <w:pPr>
              <w:jc w:val="right"/>
              <w:ind w:right="17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9" w:name="page150"/>
    <w:bookmarkEnd w:id="149"/>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517144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44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Description of Document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7440" w:type="dxa"/>
            <w:vAlign w:val="bottom"/>
            <w:tcBorders>
              <w:bottom w:val="single" w:sz="8" w:color="auto"/>
            </w:tcBorders>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0"/>
                <w:szCs w:val="20"/>
                <w:color w:val="auto"/>
              </w:rPr>
            </w:pPr>
          </w:p>
        </w:tc>
        <w:tc>
          <w:tcPr>
            <w:tcW w:w="7440" w:type="dxa"/>
            <w:vAlign w:val="bottom"/>
          </w:tcPr>
          <w:p>
            <w:pPr>
              <w:spacing w:after="0" w:line="236" w:lineRule="exact"/>
              <w:rPr>
                <w:sz w:val="20"/>
                <w:szCs w:val="20"/>
                <w:color w:val="auto"/>
              </w:rPr>
            </w:pPr>
            <w:r>
              <w:rPr>
                <w:rFonts w:ascii="Arial" w:cs="Arial" w:eastAsia="Arial" w:hAnsi="Arial"/>
                <w:sz w:val="17"/>
                <w:szCs w:val="17"/>
                <w:color w:val="auto"/>
              </w:rPr>
              <w:t>Articles of Amendment and Restatement</w:t>
            </w:r>
            <w:r>
              <w:rPr>
                <w:rFonts w:ascii="Arial" w:cs="Arial" w:eastAsia="Arial" w:hAnsi="Arial"/>
                <w:sz w:val="27"/>
                <w:szCs w:val="27"/>
                <w:color w:val="auto"/>
                <w:vertAlign w:val="superscript"/>
              </w:rPr>
              <w:t>(1)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Certificate of Limited Partnership of CapitalSouth Partners Fund II Limited Partnership</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Certificate of Limited Partnership of CapitalSouth Partners SBIC Fund III, L.P.</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6"/>
              </w:rPr>
              <w:t>Form of Amended and Restated Limited Partnership Agreement of CapitalSouth Partners Fund II</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Limited Partnership</w:t>
            </w:r>
            <w:r>
              <w:rPr>
                <w:rFonts w:ascii="Arial" w:cs="Arial" w:eastAsia="Arial" w:hAnsi="Arial"/>
                <w:sz w:val="29"/>
                <w:szCs w:val="29"/>
                <w:color w:val="auto"/>
                <w:vertAlign w:val="superscript"/>
              </w:rPr>
              <w:t>(3)</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3.6</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5"/>
              </w:rPr>
              <w:t>Form of Amended and Restated Agreement of Limited Partnership of CapitalSouth Partners SBIC</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Fund III, L.P.</w:t>
            </w:r>
            <w:r>
              <w:rPr>
                <w:rFonts w:ascii="Arial" w:cs="Arial" w:eastAsia="Arial" w:hAnsi="Arial"/>
                <w:sz w:val="29"/>
                <w:szCs w:val="29"/>
                <w:color w:val="auto"/>
                <w:vertAlign w:val="superscript"/>
              </w:rPr>
              <w:t>(3)</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Form of Common Stock Certificate</w:t>
            </w:r>
            <w:r>
              <w:rPr>
                <w:rFonts w:ascii="Arial" w:cs="Arial" w:eastAsia="Arial" w:hAnsi="Arial"/>
                <w:sz w:val="29"/>
                <w:szCs w:val="29"/>
                <w:color w:val="auto"/>
                <w:vertAlign w:val="superscript"/>
              </w:rPr>
              <w:t>(1)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Form of Base Indenture</w:t>
            </w:r>
            <w:r>
              <w:rPr>
                <w:rFonts w:ascii="Arial" w:cs="Arial" w:eastAsia="Arial" w:hAnsi="Arial"/>
                <w:sz w:val="29"/>
                <w:szCs w:val="29"/>
                <w:color w:val="auto"/>
                <w:vertAlign w:val="superscript"/>
              </w:rPr>
              <w:t>(4)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Form of First Supplemental Indenture</w:t>
            </w:r>
            <w:r>
              <w:rPr>
                <w:rFonts w:ascii="Arial" w:cs="Arial" w:eastAsia="Arial" w:hAnsi="Arial"/>
                <w:sz w:val="29"/>
                <w:szCs w:val="29"/>
                <w:color w:val="auto"/>
                <w:vertAlign w:val="superscript"/>
              </w:rPr>
              <w:t>(4)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Form of Global Note (included as Exhibit A to the Form of First Supplemental Indenture)</w:t>
            </w:r>
            <w:r>
              <w:rPr>
                <w:rFonts w:ascii="Arial" w:cs="Arial" w:eastAsia="Arial" w:hAnsi="Arial"/>
                <w:sz w:val="29"/>
                <w:szCs w:val="29"/>
                <w:color w:val="auto"/>
                <w:vertAlign w:val="superscript"/>
              </w:rPr>
              <w:t>(4)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Form of Dividend Reinvestment Plan</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Form of Investment Advisory Agreement by and between Registrant and Capitala Investment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Advisors, LLC</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Form of Custodian Agreement</w:t>
            </w:r>
            <w:r>
              <w:rPr>
                <w:rFonts w:ascii="Arial" w:cs="Arial" w:eastAsia="Arial" w:hAnsi="Arial"/>
                <w:sz w:val="29"/>
                <w:szCs w:val="29"/>
                <w:color w:val="auto"/>
                <w:vertAlign w:val="superscript"/>
              </w:rPr>
              <w:t>(1)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w w:val="99"/>
              </w:rPr>
              <w:t>Form of Administration Agreement by and between Registrant and Capitala Advisors Corp.</w:t>
            </w:r>
            <w:r>
              <w:rPr>
                <w:rFonts w:ascii="Arial" w:cs="Arial" w:eastAsia="Arial" w:hAnsi="Arial"/>
                <w:sz w:val="29"/>
                <w:szCs w:val="29"/>
                <w:color w:val="auto"/>
                <w:w w:val="99"/>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Form of Indemnification Agreement by and between Registrant and each of its directors</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1"/>
              </w:rPr>
              <w:t>Form of Trademark License Agreement by and between Registrant and Capitala Investment Advisors,</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29"/>
                <w:szCs w:val="29"/>
                <w:color w:val="auto"/>
                <w:vertAlign w:val="subscript"/>
              </w:rPr>
              <w:t>LLC</w:t>
            </w:r>
            <w:r>
              <w:rPr>
                <w:rFonts w:ascii="Arial" w:cs="Arial" w:eastAsia="Arial" w:hAnsi="Arial"/>
                <w:sz w:val="13"/>
                <w:szCs w:val="13"/>
                <w:color w:val="auto"/>
              </w:rPr>
              <w:t>(1)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0"/>
              </w:rPr>
              <w:t>Form of Senior Secured Revolving Credit Agreement dated October 17, 2014, among Capitala Finance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Corp., as Borrower, the lenders party thereto, and ING Capital LLC, as Administrative Agent,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Arranger and Bookrunner</w:t>
            </w:r>
            <w:r>
              <w:rPr>
                <w:rFonts w:ascii="Arial" w:cs="Arial" w:eastAsia="Arial" w:hAnsi="Arial"/>
                <w:sz w:val="29"/>
                <w:szCs w:val="29"/>
                <w:color w:val="auto"/>
                <w:vertAlign w:val="superscript"/>
              </w:rPr>
              <w:t>(5)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0"/>
              </w:rPr>
              <w:t>Form of Guarantee, Pledge and Security Agreement dated October 17, 2014, among Capitala Finance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Corp., as Borrower, the subsidiary guarantors party thereto, ING Capital LLC, as Revolving</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4"/>
              </w:rPr>
              <w:t>Administrative Agent for the Revolving Lenders and as Collateral Agent, and each Financing Agent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and Designated Indebtedness Holder party thereto</w:t>
            </w:r>
            <w:r>
              <w:rPr>
                <w:rFonts w:ascii="Arial" w:cs="Arial" w:eastAsia="Arial" w:hAnsi="Arial"/>
                <w:sz w:val="29"/>
                <w:szCs w:val="29"/>
                <w:color w:val="auto"/>
                <w:vertAlign w:val="superscript"/>
              </w:rPr>
              <w:t>(5)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3"/>
              </w:rPr>
              <w:t>Form of Incremental Assumption Agreement, dated January 6, 2015, relating to the Senior Secured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8"/>
              </w:rPr>
              <w:t>Revolving Credit Agreement, dated as of October 17, 2014, among Capitala Finance Corp., as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3"/>
              </w:rPr>
              <w:t>borrower, the lenders from time to time party thereto, and ING Capital LLC, as administrative agent,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arranger and bookrunner</w:t>
            </w:r>
            <w:r>
              <w:rPr>
                <w:rFonts w:ascii="Arial" w:cs="Arial" w:eastAsia="Arial" w:hAnsi="Arial"/>
                <w:sz w:val="29"/>
                <w:szCs w:val="29"/>
                <w:color w:val="auto"/>
                <w:vertAlign w:val="superscript"/>
              </w:rPr>
              <w:t>(6)</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5"/>
              </w:rPr>
              <w:t>First Amended and Restated Limited Liability Company Agreement of Capitala Senior Liquid Loan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Fund I, LLC, dated March 24, 2015</w:t>
            </w:r>
            <w:r>
              <w:rPr>
                <w:rFonts w:ascii="Arial" w:cs="Arial" w:eastAsia="Arial" w:hAnsi="Arial"/>
                <w:sz w:val="29"/>
                <w:szCs w:val="29"/>
                <w:color w:val="auto"/>
                <w:vertAlign w:val="superscript"/>
              </w:rPr>
              <w:t>(7)</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3"/>
              </w:rPr>
              <w:t>Form of Incremental Assumption Agreement, dated August 19, 2015, relating to the Senior Secured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8"/>
              </w:rPr>
              <w:t>Revolving Credit Agreement, dated as of October 17, 2014, among Capitala Finance Corp., as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3"/>
              </w:rPr>
              <w:t>borrower, the lenders from time to time party thereto, and ING Capital LLC, as administrative agent,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arranger and bookrunner</w:t>
            </w:r>
            <w:r>
              <w:rPr>
                <w:rFonts w:ascii="Arial" w:cs="Arial" w:eastAsia="Arial" w:hAnsi="Arial"/>
                <w:sz w:val="29"/>
                <w:szCs w:val="29"/>
                <w:color w:val="auto"/>
                <w:vertAlign w:val="superscript"/>
              </w:rPr>
              <w:t>(8)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16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w w:val="95"/>
              </w:rPr>
              <w:t>Computation of Per Share Earnings (included in the notes to the consolidated financial statements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14.1</w:t>
            </w:r>
          </w:p>
        </w:tc>
        <w:tc>
          <w:tcPr>
            <w:tcW w:w="16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contained in this report)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7440" w:type="dxa"/>
            <w:vAlign w:val="bottom"/>
          </w:tcPr>
          <w:p>
            <w:pPr>
              <w:spacing w:after="0" w:line="253" w:lineRule="exact"/>
              <w:rPr>
                <w:sz w:val="20"/>
                <w:szCs w:val="20"/>
                <w:color w:val="auto"/>
              </w:rPr>
            </w:pPr>
            <w:r>
              <w:rPr>
                <w:rFonts w:ascii="Arial" w:cs="Arial" w:eastAsia="Arial" w:hAnsi="Arial"/>
                <w:sz w:val="18"/>
                <w:szCs w:val="18"/>
                <w:color w:val="auto"/>
              </w:rPr>
              <w:t>Code of Business Conduct</w:t>
            </w:r>
            <w:r>
              <w:rPr>
                <w:rFonts w:ascii="Arial" w:cs="Arial" w:eastAsia="Arial" w:hAnsi="Arial"/>
                <w:sz w:val="29"/>
                <w:szCs w:val="29"/>
                <w:color w:val="auto"/>
                <w:vertAlign w:val="superscript"/>
              </w:rPr>
              <w:t>(1)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14.2</w:t>
            </w:r>
          </w:p>
        </w:tc>
        <w:tc>
          <w:tcPr>
            <w:tcW w:w="160" w:type="dxa"/>
            <w:vAlign w:val="bottom"/>
          </w:tcPr>
          <w:p>
            <w:pPr>
              <w:spacing w:after="0"/>
              <w:rPr>
                <w:sz w:val="22"/>
                <w:szCs w:val="22"/>
                <w:color w:val="auto"/>
              </w:rPr>
            </w:pPr>
          </w:p>
        </w:tc>
        <w:tc>
          <w:tcPr>
            <w:tcW w:w="7440" w:type="dxa"/>
            <w:vAlign w:val="bottom"/>
          </w:tcPr>
          <w:p>
            <w:pPr>
              <w:spacing w:after="0" w:line="256" w:lineRule="exact"/>
              <w:rPr>
                <w:sz w:val="20"/>
                <w:szCs w:val="20"/>
                <w:color w:val="auto"/>
              </w:rPr>
            </w:pPr>
            <w:r>
              <w:rPr>
                <w:rFonts w:ascii="Arial" w:cs="Arial" w:eastAsia="Arial" w:hAnsi="Arial"/>
                <w:sz w:val="18"/>
                <w:szCs w:val="18"/>
                <w:color w:val="auto"/>
              </w:rPr>
              <w:t>Code of Ethics</w:t>
            </w:r>
            <w:r>
              <w:rPr>
                <w:rFonts w:ascii="Arial" w:cs="Arial" w:eastAsia="Arial" w:hAnsi="Arial"/>
                <w:sz w:val="29"/>
                <w:szCs w:val="29"/>
                <w:color w:val="auto"/>
                <w:vertAlign w:val="superscript"/>
              </w:rPr>
              <w:t>(2)</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6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List of Subsidiaries (filed herewith)</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0" w:type="dxa"/>
            <w:vAlign w:val="bottom"/>
            <w:gridSpan w:val="2"/>
          </w:tcPr>
          <w:p>
            <w:pPr>
              <w:jc w:val="right"/>
              <w:ind w:right="3372"/>
              <w:spacing w:after="0"/>
              <w:rPr>
                <w:sz w:val="20"/>
                <w:szCs w:val="20"/>
                <w:color w:val="auto"/>
              </w:rPr>
            </w:pPr>
            <w:r>
              <w:rPr>
                <w:rFonts w:ascii="Arial" w:cs="Arial" w:eastAsia="Arial" w:hAnsi="Arial"/>
                <w:sz w:val="18"/>
                <w:szCs w:val="18"/>
                <w:color w:val="auto"/>
              </w:rPr>
              <w:t>91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2640" w:type="dxa"/>
            <w:vAlign w:val="bottom"/>
            <w:vMerge w:val="restart"/>
          </w:tcPr>
          <w:p>
            <w:pPr>
              <w:ind w:left="1100"/>
              <w:spacing w:after="0"/>
              <w:rPr>
                <w:sz w:val="20"/>
                <w:szCs w:val="20"/>
                <w:color w:val="auto"/>
              </w:rPr>
            </w:pPr>
            <w:r>
              <w:rPr>
                <w:rFonts w:ascii="Arial" w:cs="Arial" w:eastAsia="Arial" w:hAnsi="Arial"/>
                <w:sz w:val="14"/>
                <w:szCs w:val="14"/>
                <w:b w:val="1"/>
                <w:bCs w:val="1"/>
                <w:color w:val="auto"/>
                <w:w w:val="91"/>
              </w:rPr>
              <w:t>Description of Document</w:t>
            </w:r>
          </w:p>
        </w:tc>
        <w:tc>
          <w:tcPr>
            <w:tcW w:w="0" w:type="dxa"/>
            <w:vAlign w:val="bottom"/>
          </w:tcPr>
          <w:p>
            <w:pPr>
              <w:spacing w:after="0"/>
              <w:rPr>
                <w:sz w:val="1"/>
                <w:szCs w:val="1"/>
                <w:color w:val="auto"/>
              </w:rPr>
            </w:pPr>
          </w:p>
        </w:tc>
      </w:tr>
      <w:tr>
        <w:trPr>
          <w:trHeight w:val="186"/>
        </w:trPr>
        <w:tc>
          <w:tcPr>
            <w:tcW w:w="2620" w:type="dxa"/>
            <w:vAlign w:val="bottom"/>
          </w:tcPr>
          <w:p>
            <w:pPr>
              <w:ind w:left="40"/>
              <w:spacing w:after="0"/>
              <w:rPr>
                <w:sz w:val="20"/>
                <w:szCs w:val="20"/>
                <w:color w:val="auto"/>
              </w:rPr>
            </w:pPr>
            <w:r>
              <w:rPr>
                <w:rFonts w:ascii="Arial" w:cs="Arial" w:eastAsia="Arial" w:hAnsi="Arial"/>
                <w:sz w:val="14"/>
                <w:szCs w:val="14"/>
                <w:b w:val="1"/>
                <w:bCs w:val="1"/>
                <w:u w:val="single" w:color="auto"/>
                <w:color w:val="auto"/>
              </w:rPr>
              <w:t>Number</w:t>
            </w: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-8890</wp:posOffset>
            </wp:positionV>
            <wp:extent cx="47250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-300355</wp:posOffset>
            </wp:positionV>
            <wp:extent cx="9785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97853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-274955</wp:posOffset>
            </wp:positionV>
            <wp:extent cx="517144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ind w:left="14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of the Securities Exchange Act of</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1934, as adopted pursuant to Section 302 of the Sarbanes-Oxley Act of 2002 (filed herewith)</w:t>
      </w:r>
    </w:p>
    <w:p>
      <w:pPr>
        <w:spacing w:after="0" w:line="9"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1934, as adopted pursuant to Section 302 of the Sarbanes-Oxley Act of 2002 (filed herewith)</w:t>
      </w:r>
    </w:p>
    <w:p>
      <w:pPr>
        <w:spacing w:after="0" w:line="9" w:lineRule="exact"/>
        <w:rPr>
          <w:sz w:val="20"/>
          <w:szCs w:val="20"/>
          <w:color w:val="auto"/>
        </w:rPr>
      </w:pPr>
    </w:p>
    <w:p>
      <w:pPr>
        <w:ind w:left="760" w:right="1919" w:hanging="622"/>
        <w:spacing w:after="0" w:line="250"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18 U.S.C. Section 1350, as adopted pursuant to section 906 of the Sarbanes-Oxley Act of 2002 (filed herewith)</w:t>
      </w:r>
    </w:p>
    <w:p>
      <w:pPr>
        <w:spacing w:after="0" w:line="1" w:lineRule="exact"/>
        <w:rPr>
          <w:sz w:val="20"/>
          <w:szCs w:val="20"/>
          <w:color w:val="auto"/>
        </w:rPr>
      </w:pPr>
    </w:p>
    <w:p>
      <w:pPr>
        <w:ind w:left="760" w:right="1979" w:hanging="622"/>
        <w:spacing w:after="0" w:line="261" w:lineRule="auto"/>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18 U.S.C. Section 1350, as adopted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172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280" w:right="779" w:hanging="272"/>
        <w:spacing w:after="0" w:line="277" w:lineRule="auto"/>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the Pre-Effective Amendment No. 1 to Capitala Finance Corp.’s registration statement on Form N-2 (File No. 333-188956) filed on September 9, 2013.</w:t>
      </w:r>
    </w:p>
    <w:p>
      <w:pPr>
        <w:spacing w:after="0" w:line="62" w:lineRule="exact"/>
        <w:rPr>
          <w:rFonts w:ascii="Arial" w:cs="Arial" w:eastAsia="Arial" w:hAnsi="Arial"/>
          <w:sz w:val="18"/>
          <w:szCs w:val="18"/>
          <w:color w:val="auto"/>
        </w:rPr>
      </w:pPr>
    </w:p>
    <w:p>
      <w:pPr>
        <w:ind w:left="280" w:right="619" w:hanging="272"/>
        <w:spacing w:after="0" w:line="277" w:lineRule="auto"/>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333-188956) filed on September 16, 2013.</w:t>
      </w:r>
    </w:p>
    <w:p>
      <w:pPr>
        <w:spacing w:after="0" w:line="62" w:lineRule="exact"/>
        <w:rPr>
          <w:rFonts w:ascii="Arial" w:cs="Arial" w:eastAsia="Arial" w:hAnsi="Arial"/>
          <w:sz w:val="18"/>
          <w:szCs w:val="18"/>
          <w:color w:val="auto"/>
        </w:rPr>
      </w:pPr>
    </w:p>
    <w:p>
      <w:pPr>
        <w:ind w:left="280" w:right="619" w:hanging="272"/>
        <w:spacing w:after="0" w:line="277" w:lineRule="auto"/>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5 to Capitala Finance Corp.’s registration statement on Form N-2 (File No. 333-188956) filed on September 24, 2013.</w:t>
      </w:r>
    </w:p>
    <w:p>
      <w:pPr>
        <w:spacing w:after="0" w:line="62" w:lineRule="exact"/>
        <w:rPr>
          <w:rFonts w:ascii="Arial" w:cs="Arial" w:eastAsia="Arial" w:hAnsi="Arial"/>
          <w:sz w:val="18"/>
          <w:szCs w:val="18"/>
          <w:color w:val="auto"/>
        </w:rPr>
      </w:pPr>
    </w:p>
    <w:p>
      <w:pPr>
        <w:ind w:left="280" w:right="619" w:hanging="272"/>
        <w:spacing w:after="0" w:line="277" w:lineRule="auto"/>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Capitala Finance Corp.’s registration statement on Form N-2 (File No. 333-193374) filed on May 21, 2014.</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October 21, 2014.</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January 8, 2015.</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March 24, 2015.</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Previously filed in connection with Capitala Finance Corp.’s report on Form 8-K filed on August 25, 2015.</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 Consolidated Financial Statement Schedules</w:t>
      </w:r>
    </w:p>
    <w:p>
      <w:pPr>
        <w:spacing w:after="0" w:line="117" w:lineRule="exact"/>
        <w:rPr>
          <w:sz w:val="20"/>
          <w:szCs w:val="20"/>
          <w:color w:val="auto"/>
        </w:rPr>
      </w:pPr>
    </w:p>
    <w:p>
      <w:pPr>
        <w:ind w:left="40" w:right="1239" w:firstLine="270"/>
        <w:spacing w:after="0" w:line="277" w:lineRule="auto"/>
        <w:rPr>
          <w:sz w:val="20"/>
          <w:szCs w:val="20"/>
          <w:color w:val="auto"/>
        </w:rPr>
      </w:pPr>
      <w:r>
        <w:rPr>
          <w:rFonts w:ascii="Arial" w:cs="Arial" w:eastAsia="Arial" w:hAnsi="Arial"/>
          <w:sz w:val="18"/>
          <w:szCs w:val="18"/>
          <w:color w:val="auto"/>
        </w:rPr>
        <w:t>No consolidated financial statement schedules are filed herewith because (1) such schedules are not required or (2) the information has been presented in the aforementioned consolidated financial statements.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1" w:name="page152"/>
    <w:bookmarkEnd w:id="151"/>
    <w:p>
      <w:pPr>
        <w:ind w:left="14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80" w:right="659" w:firstLine="270"/>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-8890</wp:posOffset>
            </wp:positionV>
            <wp:extent cx="518858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7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5480" w:type="dxa"/>
            <w:vAlign w:val="bottom"/>
            <w:gridSpan w:val="2"/>
          </w:tcPr>
          <w:p>
            <w:pPr>
              <w:ind w:left="1240"/>
              <w:spacing w:after="0"/>
              <w:rPr>
                <w:sz w:val="20"/>
                <w:szCs w:val="20"/>
                <w:color w:val="auto"/>
              </w:rPr>
            </w:pPr>
            <w:r>
              <w:rPr>
                <w:rFonts w:ascii="Arial" w:cs="Arial" w:eastAsia="Arial" w:hAnsi="Arial"/>
                <w:sz w:val="18"/>
                <w:szCs w:val="18"/>
                <w:color w:val="auto"/>
              </w:rPr>
              <w:t>Capitala Finance Corp.</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Date: March 8, 2016</w:t>
            </w:r>
          </w:p>
        </w:tc>
        <w:tc>
          <w:tcPr>
            <w:tcW w:w="1600" w:type="dxa"/>
            <w:vAlign w:val="bottom"/>
          </w:tcPr>
          <w:p>
            <w:pPr>
              <w:ind w:left="124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B. Alala III</w:t>
            </w:r>
          </w:p>
        </w:tc>
      </w:tr>
      <w:tr>
        <w:trPr>
          <w:trHeight w:val="195"/>
        </w:trPr>
        <w:tc>
          <w:tcPr>
            <w:tcW w:w="2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Joseph B. Alala III</w:t>
            </w:r>
          </w:p>
        </w:tc>
      </w:tr>
      <w:tr>
        <w:trPr>
          <w:trHeight w:val="216"/>
        </w:trPr>
        <w:tc>
          <w:tcPr>
            <w:tcW w:w="2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30"/>
        </w:trPr>
        <w:tc>
          <w:tcPr>
            <w:tcW w:w="2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Capitala Finance Corp.</w:t>
            </w:r>
          </w:p>
        </w:tc>
      </w:tr>
      <w:tr>
        <w:trPr>
          <w:trHeight w:val="432"/>
        </w:trPr>
        <w:tc>
          <w:tcPr>
            <w:tcW w:w="2720" w:type="dxa"/>
            <w:vAlign w:val="bottom"/>
          </w:tcPr>
          <w:p>
            <w:pPr>
              <w:spacing w:after="0"/>
              <w:rPr>
                <w:sz w:val="20"/>
                <w:szCs w:val="20"/>
                <w:color w:val="auto"/>
              </w:rPr>
            </w:pPr>
            <w:r>
              <w:rPr>
                <w:rFonts w:ascii="Arial" w:cs="Arial" w:eastAsia="Arial" w:hAnsi="Arial"/>
                <w:sz w:val="18"/>
                <w:szCs w:val="18"/>
                <w:color w:val="auto"/>
              </w:rPr>
              <w:t>Date: March 8, 2016</w:t>
            </w:r>
          </w:p>
        </w:tc>
        <w:tc>
          <w:tcPr>
            <w:tcW w:w="1600" w:type="dxa"/>
            <w:vAlign w:val="bottom"/>
          </w:tcPr>
          <w:p>
            <w:pPr>
              <w:ind w:left="124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Arnall</w:t>
            </w:r>
          </w:p>
        </w:tc>
      </w:tr>
      <w:tr>
        <w:trPr>
          <w:trHeight w:val="211"/>
        </w:trPr>
        <w:tc>
          <w:tcPr>
            <w:tcW w:w="2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Stephen A. Arnall</w:t>
            </w:r>
          </w:p>
        </w:tc>
      </w:tr>
    </w:tbl>
    <w:p>
      <w:pPr>
        <w:ind w:left="446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Capitala Finance Corp.</w:t>
      </w:r>
    </w:p>
    <w:p>
      <w:pPr>
        <w:spacing w:after="0" w:line="103" w:lineRule="exact"/>
        <w:rPr>
          <w:sz w:val="20"/>
          <w:szCs w:val="20"/>
          <w:color w:val="auto"/>
        </w:rPr>
      </w:pPr>
    </w:p>
    <w:p>
      <w:pPr>
        <w:ind w:left="180" w:right="109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424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B. Alala III</w:t>
            </w:r>
          </w:p>
        </w:tc>
        <w:tc>
          <w:tcPr>
            <w:tcW w:w="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6"/>
              </w:rPr>
              <w:t>Chief Executive Officer, President and Chairman of the</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8, 2016</w:t>
            </w:r>
          </w:p>
        </w:tc>
        <w:tc>
          <w:tcPr>
            <w:tcW w:w="1260" w:type="dxa"/>
            <w:vAlign w:val="bottom"/>
          </w:tcPr>
          <w:p>
            <w:pPr>
              <w:spacing w:after="0"/>
              <w:rPr>
                <w:sz w:val="18"/>
                <w:szCs w:val="18"/>
                <w:color w:val="auto"/>
              </w:rPr>
            </w:pPr>
          </w:p>
        </w:tc>
      </w:tr>
      <w:tr>
        <w:trPr>
          <w:trHeight w:val="182"/>
        </w:trPr>
        <w:tc>
          <w:tcPr>
            <w:tcW w:w="120" w:type="dxa"/>
            <w:vAlign w:val="bottom"/>
          </w:tcPr>
          <w:p>
            <w:pPr>
              <w:spacing w:after="0"/>
              <w:rPr>
                <w:sz w:val="15"/>
                <w:szCs w:val="15"/>
                <w:color w:val="auto"/>
              </w:rPr>
            </w:pPr>
          </w:p>
        </w:tc>
        <w:tc>
          <w:tcPr>
            <w:tcW w:w="2340" w:type="dxa"/>
            <w:vAlign w:val="bottom"/>
          </w:tcPr>
          <w:p>
            <w:pPr>
              <w:ind w:left="20"/>
              <w:spacing w:after="0" w:line="182" w:lineRule="exact"/>
              <w:rPr>
                <w:sz w:val="20"/>
                <w:szCs w:val="20"/>
                <w:color w:val="auto"/>
              </w:rPr>
            </w:pPr>
            <w:r>
              <w:rPr>
                <w:rFonts w:ascii="Arial" w:cs="Arial" w:eastAsia="Arial" w:hAnsi="Arial"/>
                <w:sz w:val="18"/>
                <w:szCs w:val="18"/>
                <w:color w:val="auto"/>
              </w:rPr>
              <w:t>Joseph B. Alala III</w:t>
            </w:r>
          </w:p>
        </w:tc>
        <w:tc>
          <w:tcPr>
            <w:tcW w:w="160" w:type="dxa"/>
            <w:vAlign w:val="bottom"/>
          </w:tcPr>
          <w:p>
            <w:pPr>
              <w:spacing w:after="0"/>
              <w:rPr>
                <w:sz w:val="15"/>
                <w:szCs w:val="15"/>
                <w:color w:val="auto"/>
              </w:rPr>
            </w:pPr>
          </w:p>
        </w:tc>
        <w:tc>
          <w:tcPr>
            <w:tcW w:w="4240" w:type="dxa"/>
            <w:vAlign w:val="bottom"/>
          </w:tcPr>
          <w:p>
            <w:pPr>
              <w:ind w:left="20"/>
              <w:spacing w:after="0" w:line="182" w:lineRule="exact"/>
              <w:rPr>
                <w:sz w:val="20"/>
                <w:szCs w:val="20"/>
                <w:color w:val="auto"/>
              </w:rPr>
            </w:pPr>
            <w:r>
              <w:rPr>
                <w:rFonts w:ascii="Arial" w:cs="Arial" w:eastAsia="Arial" w:hAnsi="Arial"/>
                <w:sz w:val="18"/>
                <w:szCs w:val="18"/>
                <w:color w:val="auto"/>
              </w:rPr>
              <w:t>Board of Directors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Arnall</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8, 2016</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Stephen A. Arnall</w:t>
            </w:r>
          </w:p>
        </w:tc>
        <w:tc>
          <w:tcPr>
            <w:tcW w:w="160" w:type="dxa"/>
            <w:vAlign w:val="bottom"/>
          </w:tcPr>
          <w:p>
            <w:pPr>
              <w:spacing w:after="0"/>
              <w:rPr>
                <w:sz w:val="16"/>
                <w:szCs w:val="16"/>
                <w:color w:val="auto"/>
              </w:rPr>
            </w:pPr>
          </w:p>
        </w:tc>
        <w:tc>
          <w:tcPr>
            <w:tcW w:w="4240" w:type="dxa"/>
            <w:vAlign w:val="bottom"/>
          </w:tcPr>
          <w:p>
            <w:pPr>
              <w:ind w:left="20"/>
              <w:spacing w:after="0" w:line="195" w:lineRule="exact"/>
              <w:rPr>
                <w:sz w:val="20"/>
                <w:szCs w:val="20"/>
                <w:color w:val="auto"/>
              </w:rPr>
            </w:pPr>
            <w:r>
              <w:rPr>
                <w:rFonts w:ascii="Arial" w:cs="Arial" w:eastAsia="Arial" w:hAnsi="Arial"/>
                <w:sz w:val="18"/>
                <w:szCs w:val="18"/>
                <w:i w:val="1"/>
                <w:iCs w:val="1"/>
                <w:color w:val="auto"/>
              </w:rPr>
              <w:t>(Principal Financial and Accounting Officer)</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 Hunt Broyhill</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8, 2016</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M. Hunt Broyhill</w:t>
            </w:r>
          </w:p>
        </w:tc>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Charles Moyer</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8, 2016</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R. Charles Moyer</w:t>
            </w:r>
          </w:p>
        </w:tc>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Larry W. Carroll</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8, 2016</w:t>
            </w:r>
          </w:p>
        </w:tc>
        <w:tc>
          <w:tcPr>
            <w:tcW w:w="126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2340" w:type="dxa"/>
            <w:vAlign w:val="bottom"/>
          </w:tcPr>
          <w:p>
            <w:pPr>
              <w:ind w:left="20"/>
              <w:spacing w:after="0" w:line="195" w:lineRule="exact"/>
              <w:rPr>
                <w:sz w:val="20"/>
                <w:szCs w:val="20"/>
                <w:color w:val="auto"/>
              </w:rPr>
            </w:pPr>
            <w:r>
              <w:rPr>
                <w:rFonts w:ascii="Arial" w:cs="Arial" w:eastAsia="Arial" w:hAnsi="Arial"/>
                <w:sz w:val="18"/>
                <w:szCs w:val="18"/>
                <w:color w:val="auto"/>
              </w:rPr>
              <w:t>Larry W. Carroll</w:t>
            </w:r>
          </w:p>
        </w:tc>
        <w:tc>
          <w:tcPr>
            <w:tcW w:w="1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 Paul Chapman</w:t>
            </w: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March 8, 2016</w:t>
            </w:r>
          </w:p>
        </w:tc>
        <w:tc>
          <w:tcPr>
            <w:tcW w:w="1260" w:type="dxa"/>
            <w:vAlign w:val="bottom"/>
          </w:tcPr>
          <w:p>
            <w:pPr>
              <w:spacing w:after="0"/>
              <w:rPr>
                <w:sz w:val="20"/>
                <w:szCs w:val="20"/>
                <w:color w:val="auto"/>
              </w:rPr>
            </w:pPr>
          </w:p>
        </w:tc>
      </w:tr>
      <w:tr>
        <w:trPr>
          <w:trHeight w:val="224"/>
        </w:trPr>
        <w:tc>
          <w:tcPr>
            <w:tcW w:w="12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H. Paul Chapman</w:t>
            </w:r>
          </w:p>
        </w:tc>
        <w:tc>
          <w:tcPr>
            <w:tcW w:w="1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755"/>
        </w:trPr>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0" w:type="dxa"/>
            <w:vAlign w:val="bottom"/>
            <w:gridSpan w:val="2"/>
          </w:tcPr>
          <w:p>
            <w:pPr>
              <w:jc w:val="right"/>
              <w:ind w:right="1892"/>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23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2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52" w:name="page153"/>
    <w:bookmarkEnd w:id="152"/>
    <w:p>
      <w:pPr>
        <w:jc w:val="right"/>
        <w:ind w:right="519"/>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List of 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Florida Sidecar Fund I, L.P. (Delaware)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CSP-Florida Mezzanine Fund I, LLC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Fund II Limited Partnership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F-II, LLC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SBIC Fund III, L.P.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CapitalSouth Partners SBIC F-III, LLC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455930</wp:posOffset>
            </wp:positionV>
            <wp:extent cx="6114415" cy="596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53" w:name="page154"/>
    <w:bookmarkEnd w:id="153"/>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Joseph B. Alala III, certify that:</w:t>
      </w:r>
    </w:p>
    <w:p>
      <w:pPr>
        <w:spacing w:after="0" w:line="117" w:lineRule="exact"/>
        <w:rPr>
          <w:sz w:val="20"/>
          <w:szCs w:val="20"/>
          <w:color w:val="auto"/>
        </w:rPr>
      </w:pPr>
    </w:p>
    <w:p>
      <w:pPr>
        <w:ind w:left="500" w:hanging="262"/>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Capitala Finance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39" w:hanging="26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879" w:hanging="262"/>
        <w:spacing w:after="0" w:line="286" w:lineRule="auto"/>
        <w:tabs>
          <w:tab w:leader="none" w:pos="5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780" w:right="539" w:hanging="272"/>
        <w:spacing w:after="0" w:line="264" w:lineRule="auto"/>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599" w:hanging="272"/>
        <w:spacing w:after="0" w:line="264" w:lineRule="auto"/>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73" w:lineRule="exact"/>
        <w:rPr>
          <w:rFonts w:ascii="Arial" w:cs="Arial" w:eastAsia="Arial" w:hAnsi="Arial"/>
          <w:sz w:val="18"/>
          <w:szCs w:val="18"/>
          <w:color w:val="auto"/>
        </w:rPr>
      </w:pPr>
    </w:p>
    <w:p>
      <w:pPr>
        <w:ind w:left="780" w:right="719" w:hanging="272"/>
        <w:spacing w:after="0" w:line="259" w:lineRule="auto"/>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00" w:right="639" w:hanging="262"/>
        <w:spacing w:after="0" w:line="264"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80" w:right="519" w:hanging="272"/>
        <w:spacing w:after="0" w:line="264" w:lineRule="auto"/>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899" w:hanging="272"/>
        <w:spacing w:after="0" w:line="277" w:lineRule="auto"/>
        <w:tabs>
          <w:tab w:leader="none" w:pos="7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2016</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54" w:name="page155"/>
    <w:bookmarkEnd w:id="154"/>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59"/>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Stephen A. Arnall, certify that:</w:t>
      </w:r>
    </w:p>
    <w:p>
      <w:pPr>
        <w:spacing w:after="0" w:line="117" w:lineRule="exact"/>
        <w:rPr>
          <w:sz w:val="20"/>
          <w:szCs w:val="20"/>
          <w:color w:val="auto"/>
        </w:rPr>
      </w:pPr>
    </w:p>
    <w:p>
      <w:pPr>
        <w:ind w:left="500" w:hanging="26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Capitala Finance Corp.;</w:t>
      </w:r>
    </w:p>
    <w:p>
      <w:pPr>
        <w:spacing w:after="0" w:line="117" w:lineRule="exact"/>
        <w:rPr>
          <w:rFonts w:ascii="Arial" w:cs="Arial" w:eastAsia="Arial" w:hAnsi="Arial"/>
          <w:sz w:val="18"/>
          <w:szCs w:val="18"/>
          <w:color w:val="auto"/>
        </w:rPr>
      </w:pPr>
    </w:p>
    <w:p>
      <w:pPr>
        <w:ind w:left="500" w:right="699" w:hanging="262"/>
        <w:spacing w:after="0" w:line="264"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jc w:val="both"/>
        <w:ind w:left="500" w:right="539" w:hanging="262"/>
        <w:spacing w:after="0" w:line="264"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00" w:right="879" w:hanging="262"/>
        <w:spacing w:after="0" w:line="286" w:lineRule="auto"/>
        <w:tabs>
          <w:tab w:leader="none" w:pos="5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780" w:right="539" w:hanging="272"/>
        <w:spacing w:after="0" w:line="264"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right="739" w:hanging="272"/>
        <w:spacing w:after="0" w:line="312" w:lineRule="auto"/>
        <w:tabs>
          <w:tab w:leader="none" w:pos="780"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780" w:right="599" w:hanging="272"/>
        <w:spacing w:after="0" w:line="264"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73" w:lineRule="exact"/>
        <w:rPr>
          <w:rFonts w:ascii="Arial" w:cs="Arial" w:eastAsia="Arial" w:hAnsi="Arial"/>
          <w:sz w:val="18"/>
          <w:szCs w:val="18"/>
          <w:color w:val="auto"/>
        </w:rPr>
      </w:pPr>
    </w:p>
    <w:p>
      <w:pPr>
        <w:ind w:left="780" w:right="719" w:hanging="272"/>
        <w:spacing w:after="0" w:line="259"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00" w:right="639" w:hanging="262"/>
        <w:spacing w:after="0" w:line="264"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780" w:right="519" w:hanging="272"/>
        <w:spacing w:after="0" w:line="264"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780" w:right="899" w:hanging="272"/>
        <w:spacing w:after="0" w:line="277" w:lineRule="auto"/>
        <w:tabs>
          <w:tab w:leader="none" w:pos="7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2016</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55" w:name="page156"/>
    <w:bookmarkEnd w:id="155"/>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739" w:firstLine="270"/>
        <w:spacing w:after="0" w:line="312" w:lineRule="auto"/>
        <w:rPr>
          <w:sz w:val="20"/>
          <w:szCs w:val="20"/>
          <w:color w:val="auto"/>
        </w:rPr>
      </w:pPr>
      <w:r>
        <w:rPr>
          <w:rFonts w:ascii="Arial" w:cs="Arial" w:eastAsia="Arial" w:hAnsi="Arial"/>
          <w:sz w:val="16"/>
          <w:szCs w:val="16"/>
          <w:color w:val="auto"/>
        </w:rPr>
        <w:t>In connection with the Annual Report on Form 10-K of Capitala Finance Corp. (the “Company”) for the annual period ended December 31, 2015, as filed with the Securities Exchange Commission on the date hereof (the “Report”), I, Joseph B. Alala III, Chief Executive Officer of the Company, certify, pursuant to Section 906 of the Sarbanes-Oxley Act of 2002, that:</w:t>
      </w:r>
    </w:p>
    <w:p>
      <w:pPr>
        <w:spacing w:after="0" w:line="39" w:lineRule="exact"/>
        <w:rPr>
          <w:sz w:val="20"/>
          <w:szCs w:val="20"/>
          <w:color w:val="auto"/>
        </w:rPr>
      </w:pPr>
    </w:p>
    <w:p>
      <w:pPr>
        <w:ind w:left="500" w:right="1079" w:hanging="262"/>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2016</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Joseph B. Alala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15240</wp:posOffset>
            </wp:positionV>
            <wp:extent cx="397891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Joseph B. Alala III</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156" w:name="page157"/>
    <w:bookmarkEnd w:id="156"/>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739" w:firstLine="270"/>
        <w:spacing w:after="0" w:line="286" w:lineRule="auto"/>
        <w:rPr>
          <w:sz w:val="20"/>
          <w:szCs w:val="20"/>
          <w:color w:val="auto"/>
        </w:rPr>
      </w:pPr>
      <w:r>
        <w:rPr>
          <w:rFonts w:ascii="Arial" w:cs="Arial" w:eastAsia="Arial" w:hAnsi="Arial"/>
          <w:sz w:val="17"/>
          <w:szCs w:val="17"/>
          <w:color w:val="auto"/>
        </w:rPr>
        <w:t>In connection with the Annual Report on Form 10-K of Capitala Finance Corp. (the “Company”) for the annual period ended December 31, 2015, as filed with the Securities Exchange Commission on the date hereof (the “Report”), I, Stephen A. Arnall, Chief Financial Officer of the Company, certify, pursuant to Section 906 of the Sarbanes-Oxley Act of 2002, that:</w:t>
      </w:r>
    </w:p>
    <w:p>
      <w:pPr>
        <w:spacing w:after="0" w:line="57" w:lineRule="exact"/>
        <w:rPr>
          <w:sz w:val="20"/>
          <w:szCs w:val="20"/>
          <w:color w:val="auto"/>
        </w:rPr>
      </w:pPr>
    </w:p>
    <w:p>
      <w:pPr>
        <w:ind w:left="500" w:right="1079" w:hanging="262"/>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2016</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Stephen A. Arnall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15240</wp:posOffset>
            </wp:positionV>
            <wp:extent cx="397891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Stephen A. Arnall</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Capitala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bullet"/>
      <w:start w:val="1"/>
    </w:lvl>
  </w:abstractNum>
  <w:abstractNum w:abstractNumId="9">
    <w:nsid w:val="3855585C"/>
    <w:multiLevelType w:val="hybridMultilevel"/>
    <w:lvl w:ilvl="0">
      <w:lvlJc w:val="left"/>
      <w:lvlText w:val="2"/>
      <w:numFmt w:val="bullet"/>
      <w:start w:val="1"/>
    </w:lvl>
  </w:abstractNum>
  <w:abstractNum w:abstractNumId="10">
    <w:nsid w:val="70A64E2A"/>
    <w:multiLevelType w:val="hybridMultilevel"/>
    <w:lvl w:ilvl="0">
      <w:lvlJc w:val="left"/>
      <w:lvlText w:val="3"/>
      <w:numFmt w:val="bullet"/>
      <w:start w:val="1"/>
    </w:lvl>
  </w:abstractNum>
  <w:abstractNum w:abstractNumId="11">
    <w:nsid w:val="6A2342EC"/>
    <w:multiLevelType w:val="hybridMultilevel"/>
    <w:lvl w:ilvl="0">
      <w:lvlJc w:val="left"/>
      <w:lvlText w:val="4"/>
      <w:numFmt w:val="bullet"/>
      <w:start w:val="1"/>
    </w:lvl>
  </w:abstractNum>
  <w:abstractNum w:abstractNumId="12">
    <w:nsid w:val="2A487CB0"/>
    <w:multiLevelType w:val="hybridMultilevel"/>
    <w:lvl w:ilvl="0">
      <w:lvlJc w:val="left"/>
      <w:lvlText w:val="5"/>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lvl>
    <w:lvl w:ilvl="1">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lvl w:ilvl="1">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bullet"/>
      <w:start w:val="1"/>
    </w:lvl>
  </w:abstractNum>
  <w:abstractNum w:abstractNumId="47">
    <w:nsid w:val="D34B6A8"/>
    <w:multiLevelType w:val="hybridMultilevel"/>
    <w:lvl w:ilvl="0">
      <w:lvlJc w:val="left"/>
      <w:lvlText w:val="2"/>
      <w:numFmt w:val="bullet"/>
      <w:start w:val="1"/>
    </w:lvl>
  </w:abstractNum>
  <w:abstractNum w:abstractNumId="48">
    <w:nsid w:val="10233C99"/>
    <w:multiLevelType w:val="hybridMultilevel"/>
    <w:lvl w:ilvl="0">
      <w:lvlJc w:val="left"/>
      <w:lvlText w:val="3"/>
      <w:numFmt w:val="bullet"/>
      <w:start w:val="1"/>
    </w:lvl>
  </w:abstractNum>
  <w:abstractNum w:abstractNumId="49">
    <w:nsid w:val="3F6AB60F"/>
    <w:multiLevelType w:val="hybridMultilevel"/>
    <w:lvl w:ilvl="0">
      <w:lvlJc w:val="left"/>
      <w:lvlText w:val="4"/>
      <w:numFmt w:val="bullet"/>
      <w:start w:val="1"/>
    </w:lvl>
  </w:abstractNum>
  <w:abstractNum w:abstractNumId="50">
    <w:nsid w:val="61574095"/>
    <w:multiLevelType w:val="hybridMultilevel"/>
    <w:lvl w:ilvl="0">
      <w:lvlJc w:val="left"/>
      <w:lvlText w:val="5"/>
      <w:numFmt w:val="bullet"/>
      <w:start w:val="1"/>
    </w:lvl>
  </w:abstractNum>
  <w:abstractNum w:abstractNumId="51">
    <w:nsid w:val="7E0C57B1"/>
    <w:multiLevelType w:val="hybridMultilevel"/>
    <w:lvl w:ilvl="0">
      <w:lvlJc w:val="left"/>
      <w:lvlText w:val="(%1)"/>
      <w:numFmt w:val="lowerRoman"/>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12"/>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8"/>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3"/>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2019-12-29T12:24:02Z</dcterms:created>
  <dcterms:modified xsi:type="dcterms:W3CDTF">2019-12-29T12:24:02Z</dcterms:modified>
</cp:coreProperties>
</file>