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60" w:hanging="330"/>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2016</w:t>
      </w:r>
    </w:p>
    <w:p>
      <w:pPr>
        <w:spacing w:after="0" w:line="225" w:lineRule="exact"/>
        <w:rPr>
          <w:sz w:val="24"/>
          <w:szCs w:val="24"/>
          <w:color w:val="auto"/>
        </w:rPr>
      </w:pPr>
    </w:p>
    <w:p>
      <w:pPr>
        <w:ind w:left="460" w:hanging="330"/>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Exact name of registrant as specified in its</w:t>
            </w:r>
          </w:p>
        </w:tc>
        <w:tc>
          <w:tcPr>
            <w:tcW w:w="2220" w:type="dxa"/>
            <w:vAlign w:val="bottom"/>
          </w:tcPr>
          <w:p>
            <w:pPr>
              <w:spacing w:after="0"/>
              <w:rPr>
                <w:sz w:val="18"/>
                <w:szCs w:val="18"/>
                <w:color w:val="auto"/>
              </w:rPr>
            </w:pPr>
          </w:p>
        </w:tc>
      </w:tr>
      <w:tr>
        <w:trPr>
          <w:trHeight w:val="216"/>
        </w:trPr>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Commission</w:t>
            </w:r>
          </w:p>
        </w:tc>
        <w:tc>
          <w:tcPr>
            <w:tcW w:w="7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charter, address of principal executive</w:t>
            </w:r>
          </w:p>
        </w:tc>
        <w:tc>
          <w:tcPr>
            <w:tcW w:w="22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File Number</w:t>
            </w:r>
          </w:p>
        </w:tc>
        <w:tc>
          <w:tcPr>
            <w:tcW w:w="7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office, telephone number and state or other jurisdiction of incorporation or organization</w:t>
            </w:r>
          </w:p>
        </w:tc>
        <w:tc>
          <w:tcPr>
            <w:tcW w:w="22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Identification Number</w:t>
            </w:r>
          </w:p>
        </w:tc>
      </w:tr>
      <w:tr>
        <w:trPr>
          <w:trHeight w:val="191"/>
        </w:trPr>
        <w:tc>
          <w:tcPr>
            <w:tcW w:w="20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814-01022</w:t>
            </w:r>
          </w:p>
        </w:tc>
        <w:tc>
          <w:tcPr>
            <w:tcW w:w="100" w:type="dxa"/>
            <w:vAlign w:val="bottom"/>
          </w:tcPr>
          <w:p>
            <w:pPr>
              <w:spacing w:after="0"/>
              <w:rPr>
                <w:sz w:val="16"/>
                <w:szCs w:val="16"/>
                <w:color w:val="auto"/>
              </w:rPr>
            </w:pPr>
          </w:p>
        </w:tc>
        <w:tc>
          <w:tcPr>
            <w:tcW w:w="6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Capitala Finance Corp.</w:t>
            </w:r>
          </w:p>
        </w:tc>
        <w:tc>
          <w:tcPr>
            <w:tcW w:w="120" w:type="dxa"/>
            <w:vAlign w:val="bottom"/>
          </w:tcPr>
          <w:p>
            <w:pPr>
              <w:spacing w:after="0"/>
              <w:rPr>
                <w:sz w:val="16"/>
                <w:szCs w:val="16"/>
                <w:color w:val="auto"/>
              </w:rPr>
            </w:pPr>
          </w:p>
        </w:tc>
        <w:tc>
          <w:tcPr>
            <w:tcW w:w="2220" w:type="dxa"/>
            <w:vAlign w:val="bottom"/>
            <w:tcBorders>
              <w:top w:val="single" w:sz="8" w:color="auto"/>
            </w:tcBorders>
          </w:tcPr>
          <w:p>
            <w:pPr>
              <w:jc w:val="right"/>
              <w:ind w:right="590"/>
              <w:spacing w:after="0" w:line="191" w:lineRule="exact"/>
              <w:rPr>
                <w:sz w:val="20"/>
                <w:szCs w:val="20"/>
                <w:color w:val="auto"/>
              </w:rPr>
            </w:pPr>
            <w:r>
              <w:rPr>
                <w:rFonts w:ascii="Arial" w:cs="Arial" w:eastAsia="Arial" w:hAnsi="Arial"/>
                <w:sz w:val="18"/>
                <w:szCs w:val="18"/>
                <w:b w:val="1"/>
                <w:bCs w:val="1"/>
                <w:color w:val="auto"/>
              </w:rPr>
              <w:t>90-0945675</w:t>
            </w: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4201 Congress St., Suite 360</w:t>
            </w:r>
          </w:p>
        </w:tc>
        <w:tc>
          <w:tcPr>
            <w:tcW w:w="22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Charlotte, North Carolina</w:t>
            </w:r>
          </w:p>
        </w:tc>
        <w:tc>
          <w:tcPr>
            <w:tcW w:w="22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Telephone: (704) 376-5502</w:t>
            </w:r>
          </w:p>
        </w:tc>
        <w:tc>
          <w:tcPr>
            <w:tcW w:w="222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State of Incorporation: Maryland</w:t>
            </w:r>
          </w:p>
        </w:tc>
        <w:tc>
          <w:tcPr>
            <w:tcW w:w="2220" w:type="dxa"/>
            <w:vAlign w:val="bottom"/>
          </w:tcPr>
          <w:p>
            <w:pPr>
              <w:spacing w:after="0"/>
              <w:rPr>
                <w:sz w:val="20"/>
                <w:szCs w:val="20"/>
                <w:color w:val="auto"/>
              </w:rPr>
            </w:pPr>
          </w:p>
        </w:tc>
      </w:tr>
    </w:tbl>
    <w:p>
      <w:pPr>
        <w:spacing w:after="0" w:line="202" w:lineRule="exact"/>
        <w:rPr>
          <w:sz w:val="24"/>
          <w:szCs w:val="24"/>
          <w:color w:val="auto"/>
        </w:rPr>
      </w:pPr>
    </w:p>
    <w:p>
      <w:pPr>
        <w:ind w:right="80" w:firstLine="881"/>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1300"/>
        <w:spacing w:after="0" w:line="207" w:lineRule="exact"/>
        <w:tabs>
          <w:tab w:leader="none" w:pos="6840" w:val="left"/>
          <w:tab w:leader="none" w:pos="7240" w:val="left"/>
          <w:tab w:leader="none" w:pos="7920" w:val="left"/>
          <w:tab w:leader="none" w:pos="82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4"/>
          <w:szCs w:val="24"/>
          <w:color w:val="auto"/>
        </w:rPr>
      </w:pPr>
    </w:p>
    <w:p>
      <w:pPr>
        <w:ind w:left="1300"/>
        <w:spacing w:after="0" w:line="207" w:lineRule="exact"/>
        <w:tabs>
          <w:tab w:leader="none" w:pos="6840" w:val="left"/>
          <w:tab w:leader="none" w:pos="7240" w:val="left"/>
          <w:tab w:leader="none" w:pos="8000" w:val="left"/>
          <w:tab w:leader="none" w:pos="834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400" w:firstLine="88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Capitala Finance Corp.</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5">
            <w:col w:w="2260" w:space="720"/>
            <w:col w:w="1920" w:space="720"/>
            <w:col w:w="160" w:space="400"/>
            <w:col w:w="3960" w:space="720"/>
            <w:col w:w="560"/>
          </w:cols>
          <w:pgMar w:left="240" w:top="472" w:right="239" w:bottom="1440" w:gutter="0" w:footer="0" w:header="0"/>
          <w:type w:val="continuous"/>
        </w:sectPr>
      </w:pPr>
    </w:p>
    <w:p>
      <w:pPr>
        <w:spacing w:after="0" w:line="48"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4900" w:space="720"/>
            <w:col w:w="160" w:space="400"/>
            <w:col w:w="3960" w:space="720"/>
            <w:col w:w="560"/>
          </w:cols>
          <w:pgMar w:left="240" w:top="472" w:right="239" w:bottom="1440" w:gutter="0" w:footer="0" w:header="0"/>
          <w:type w:val="continuous"/>
        </w:sectPr>
      </w:pPr>
    </w:p>
    <w:p>
      <w:pPr>
        <w:spacing w:after="0" w:line="48" w:lineRule="exact"/>
        <w:rPr>
          <w:sz w:val="24"/>
          <w:szCs w:val="24"/>
          <w:color w:val="auto"/>
        </w:rPr>
      </w:pPr>
    </w:p>
    <w:p>
      <w:pPr>
        <w:ind w:left="8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4"/>
          <w:szCs w:val="24"/>
          <w:color w:val="auto"/>
        </w:rPr>
      </w:pPr>
    </w:p>
    <w:p>
      <w:pPr>
        <w:ind w:left="1300"/>
        <w:spacing w:after="0" w:line="207" w:lineRule="exact"/>
        <w:tabs>
          <w:tab w:leader="none" w:pos="6840" w:val="left"/>
          <w:tab w:leader="none" w:pos="7760" w:val="left"/>
          <w:tab w:leader="none" w:pos="812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tab/>
        <w:t>x</w:t>
      </w:r>
    </w:p>
    <w:p>
      <w:pPr>
        <w:spacing w:after="0" w:line="258" w:lineRule="exact"/>
        <w:rPr>
          <w:sz w:val="24"/>
          <w:szCs w:val="24"/>
          <w:color w:val="auto"/>
        </w:rPr>
      </w:pPr>
    </w:p>
    <w:p>
      <w:pPr>
        <w:ind w:left="880"/>
        <w:spacing w:after="0"/>
        <w:rPr>
          <w:sz w:val="20"/>
          <w:szCs w:val="20"/>
          <w:color w:val="auto"/>
        </w:rPr>
      </w:pPr>
      <w:r>
        <w:rPr>
          <w:rFonts w:ascii="Arial" w:cs="Arial" w:eastAsia="Arial" w:hAnsi="Arial"/>
          <w:sz w:val="16"/>
          <w:szCs w:val="16"/>
          <w:color w:val="auto"/>
        </w:rPr>
        <w:t>The number of shares of Capitala Finance Corp.’s common stock, $0.01 par value, outstanding as of May 6, 2016 was 15,806,260.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gridSpan w:val="10"/>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March 31, 2016 (unaudited) and December 31, 2015</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March 31, 2016 and 2015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Changes in Net Assets for the three months ended March 31, 2016 and 2015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2016 and 2015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March 31, 2016 (unaudited) and December 31, 2015</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Notes to Consolidated Financial Statements as of March 31, 2016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1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OTHER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600" w:type="dxa"/>
            <w:vAlign w:val="bottom"/>
            <w:tcBorders>
              <w:top w:val="single" w:sz="8" w:color="CCEEFF"/>
              <w:bottom w:val="single" w:sz="8" w:color="auto"/>
            </w:tcBorders>
            <w:gridSpan w:val="12"/>
          </w:tcPr>
          <w:p>
            <w:pPr>
              <w:ind w:left="4520"/>
              <w:spacing w:after="0"/>
              <w:rPr>
                <w:sz w:val="20"/>
                <w:szCs w:val="20"/>
                <w:color w:val="auto"/>
              </w:rPr>
            </w:pPr>
            <w:r>
              <w:rPr>
                <w:rFonts w:ascii="Arial" w:cs="Arial" w:eastAsia="Arial" w:hAnsi="Arial"/>
                <w:sz w:val="18"/>
                <w:szCs w:val="18"/>
                <w:color w:val="auto"/>
              </w:rPr>
              <w:t>2</w:t>
            </w:r>
          </w:p>
        </w:tc>
        <w:tc>
          <w:tcPr>
            <w:tcW w:w="86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ind w:left="450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92"/>
              </w:rPr>
              <w:t>Capitala Finance Corp.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128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March 31, 2016</w:t>
            </w:r>
          </w:p>
        </w:tc>
        <w:tc>
          <w:tcPr>
            <w:tcW w:w="8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Non-control/non-affiliate investments (amortized cost of $387,712 and $391,031, respectively)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401,251</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 (amortized cost of $94,520 and $99,290, respectively)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100,161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Control investments (amortized cost of $104,588 and $79,866, respectively)</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98,329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investments at fair value (amortized cost of $586,820 and $570,187, respectively)</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14,346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receivable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SBA debentures (net of deferred financing costs of $3,378 and $3,537, respectively)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178,822</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Notes (net of deferred financing costs of $3,447 and $3,583, respectively)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109,991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Credit Facility (net of deferred financing costs of $1,409 and $1,649, respectively)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71,591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Management and incentive fee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2,368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$.01, 100,000,000 common shares authorized, 15,799,635 and 15,777,345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20"/>
              <w:spacing w:after="0"/>
              <w:rPr>
                <w:sz w:val="20"/>
                <w:szCs w:val="20"/>
                <w:color w:val="auto"/>
              </w:rPr>
            </w:pPr>
            <w:r>
              <w:rPr>
                <w:rFonts w:ascii="Arial" w:cs="Arial" w:eastAsia="Arial" w:hAnsi="Arial"/>
                <w:sz w:val="18"/>
                <w:szCs w:val="18"/>
                <w:color w:val="auto"/>
              </w:rPr>
              <w:t>shares issued and outstanding, respectively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239,331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8,570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from investments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12,921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621,345</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20" w:type="dxa"/>
            <w:vAlign w:val="bottom"/>
            <w:tcBorders>
              <w:bottom w:val="single" w:sz="8" w:color="auto"/>
            </w:tcBorders>
          </w:tcPr>
          <w:p>
            <w:pPr>
              <w:jc w:val="center"/>
              <w:ind w:left="3290"/>
              <w:spacing w:after="0"/>
              <w:rPr>
                <w:sz w:val="20"/>
                <w:szCs w:val="20"/>
                <w:color w:val="auto"/>
              </w:rPr>
            </w:pPr>
            <w:r>
              <w:rPr>
                <w:rFonts w:ascii="Arial" w:cs="Arial" w:eastAsia="Arial" w:hAnsi="Arial"/>
                <w:sz w:val="18"/>
                <w:szCs w:val="18"/>
                <w:color w:val="auto"/>
                <w:w w:val="79"/>
              </w:rPr>
              <w:t>3</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92"/>
              </w:rPr>
              <w:t>Capitala Finance Corp.</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Dividend income: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Base management fee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2,728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before incentive fee waiver</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Incentive fee waiver (See Note 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 net of incentive fee waiver</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realized gain (loss) from investments: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 realized gain (loss) from investments</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gain (loss) on investments</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(4,189)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9,867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9"/>
              </w:rPr>
              <w:t>NET INCREASE (DECREASE) IN NET ASSETS PER SHARE RESULTING FROM OPERATIONS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15,785,943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12,974,483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DISTRIBUTIONS PAID PER SHARE</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DISTRIBUTIONS PAYABLE PER SHARE</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20" w:type="dxa"/>
            <w:vAlign w:val="bottom"/>
            <w:tcBorders>
              <w:bottom w:val="single" w:sz="8" w:color="auto"/>
            </w:tcBorders>
          </w:tcPr>
          <w:p>
            <w:pPr>
              <w:jc w:val="center"/>
              <w:ind w:left="3290"/>
              <w:spacing w:after="0"/>
              <w:rPr>
                <w:sz w:val="20"/>
                <w:szCs w:val="20"/>
                <w:color w:val="auto"/>
              </w:rPr>
            </w:pPr>
            <w:r>
              <w:rPr>
                <w:rFonts w:ascii="Arial" w:cs="Arial" w:eastAsia="Arial" w:hAnsi="Arial"/>
                <w:sz w:val="18"/>
                <w:szCs w:val="18"/>
                <w:color w:val="auto"/>
                <w:w w:val="79"/>
              </w:rPr>
              <w:t>4</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3"/>
              </w:rPr>
              <w:t>Accumulated</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9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Appreciation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w w:val="99"/>
              </w:rPr>
              <w:t>Number of</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68"/>
              <w:spacing w:after="0" w:line="133" w:lineRule="exact"/>
              <w:rPr>
                <w:sz w:val="20"/>
                <w:szCs w:val="20"/>
                <w:color w:val="auto"/>
              </w:rPr>
            </w:pPr>
            <w:r>
              <w:rPr>
                <w:rFonts w:ascii="Arial" w:cs="Arial" w:eastAsia="Arial" w:hAnsi="Arial"/>
                <w:sz w:val="14"/>
                <w:szCs w:val="14"/>
                <w:b w:val="1"/>
                <w:bCs w:val="1"/>
                <w:color w:val="auto"/>
                <w:w w:val="97"/>
              </w:rPr>
              <w:t>Par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5"/>
              </w:rPr>
              <w:t>Paid in</w:t>
            </w:r>
          </w:p>
        </w:tc>
        <w:tc>
          <w:tcPr>
            <w:tcW w:w="120" w:type="dxa"/>
            <w:vAlign w:val="bottom"/>
          </w:tcPr>
          <w:p>
            <w:pPr>
              <w:spacing w:after="0"/>
              <w:rPr>
                <w:sz w:val="11"/>
                <w:szCs w:val="11"/>
                <w:color w:val="auto"/>
              </w:rPr>
            </w:pPr>
          </w:p>
        </w:tc>
        <w:tc>
          <w:tcPr>
            <w:tcW w:w="1300" w:type="dxa"/>
            <w:vAlign w:val="bottom"/>
            <w:gridSpan w:val="3"/>
          </w:tcPr>
          <w:p>
            <w:pPr>
              <w:jc w:val="right"/>
              <w:ind w:right="160"/>
              <w:spacing w:after="0" w:line="133" w:lineRule="exact"/>
              <w:rPr>
                <w:sz w:val="20"/>
                <w:szCs w:val="20"/>
                <w:color w:val="auto"/>
              </w:rPr>
            </w:pPr>
            <w:r>
              <w:rPr>
                <w:rFonts w:ascii="Arial" w:cs="Arial" w:eastAsia="Arial" w:hAnsi="Arial"/>
                <w:sz w:val="14"/>
                <w:szCs w:val="14"/>
                <w:b w:val="1"/>
                <w:bCs w:val="1"/>
                <w:color w:val="auto"/>
                <w:w w:val="95"/>
              </w:rPr>
              <w:t>Undistributed Net</w:t>
            </w:r>
          </w:p>
        </w:tc>
        <w:tc>
          <w:tcPr>
            <w:tcW w:w="122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Realized Gains</w:t>
            </w:r>
          </w:p>
        </w:tc>
        <w:tc>
          <w:tcPr>
            <w:tcW w:w="12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(Depreciation) on</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 Income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Investments</w:t>
            </w:r>
          </w:p>
        </w:tc>
        <w:tc>
          <w:tcPr>
            <w:tcW w:w="1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12,974,420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188,408</w:t>
            </w:r>
          </w:p>
        </w:tc>
        <w:tc>
          <w:tcPr>
            <w:tcW w:w="5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12,314</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39,182</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4,817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realized gain from investments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9,340</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Net change in unrealized depreciation on investments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(4,290)</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Distributions to Shareholders: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Stock issued under dividend reinvestment plan</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2,822</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declared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(6,484)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BALANCE, March 31, 2015</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12,977,242</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188,458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3,659</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34,892</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238,172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BALANCE, December 31, 2015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15,777,345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239,104</w:t>
            </w:r>
          </w:p>
        </w:tc>
        <w:tc>
          <w:tcPr>
            <w:tcW w:w="5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8,570</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(1,299)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22,269</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268,802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Net realized loss from investments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(2,262)</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change in unrealized depreciation on investments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(9,348)</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Distributions to Shareholders: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issued under dividend reinvestment plan</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22,290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ind w:left="160"/>
              <w:spacing w:after="0"/>
              <w:rPr>
                <w:sz w:val="20"/>
                <w:szCs w:val="20"/>
                <w:color w:val="auto"/>
              </w:rPr>
            </w:pPr>
            <w:r>
              <w:rPr>
                <w:rFonts w:ascii="Arial" w:cs="Arial" w:eastAsia="Arial" w:hAnsi="Arial"/>
                <w:sz w:val="14"/>
                <w:szCs w:val="14"/>
                <w:color w:val="auto"/>
              </w:rPr>
              <w:t>Distributions declared</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(7,421)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March 31, 2016</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15,799,635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239,331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8,570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(3,561</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12,921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257,419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40" w:type="dxa"/>
            <w:vAlign w:val="bottom"/>
          </w:tcPr>
          <w:p>
            <w:pPr>
              <w:jc w:val="center"/>
              <w:ind w:left="3370"/>
              <w:spacing w:after="0"/>
              <w:rPr>
                <w:sz w:val="20"/>
                <w:szCs w:val="20"/>
                <w:color w:val="auto"/>
              </w:rPr>
            </w:pPr>
            <w:r>
              <w:rPr>
                <w:rFonts w:ascii="Arial" w:cs="Arial" w:eastAsia="Arial" w:hAnsi="Arial"/>
                <w:sz w:val="18"/>
                <w:szCs w:val="18"/>
                <w:b w:val="1"/>
                <w:bCs w:val="1"/>
                <w:color w:val="auto"/>
                <w:w w:val="92"/>
              </w:rPr>
              <w:t>Capitala Finance Corp.</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4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Net increase (decrease) in net assets resulting from operations</w:t>
            </w:r>
          </w:p>
        </w:tc>
        <w:tc>
          <w:tcPr>
            <w:tcW w:w="11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(4,189)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9,867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Adjustments to reconcile net increase (decrease) in net assets resulting from operations to net cash used in</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(27,523)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Repayments of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10,186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Net realized (gain)/loss on investments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Payment-in-kind interest and dividends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Accretion of original issue discount on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Amortization of deferred financing fees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Interest and dividend receivable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Due to related parties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Management and incentive fee payable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and financing fees payable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Paydowns on SBA debentures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Credit Facility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Distributions paid to shareholders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fees paid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(19,759)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34,105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14,346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1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6,217</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9"/>
              </w:rPr>
              <w:t>SUPPLEMENTAL DISCLOSURE OF NON-CASH INVESTING AND FINANCING TRANSACTIONS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Distributions declared and payable</w:t>
            </w:r>
          </w:p>
        </w:tc>
        <w:tc>
          <w:tcPr>
            <w:tcW w:w="11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paid through DRIP share issuances</w:t>
            </w:r>
          </w:p>
        </w:tc>
        <w:tc>
          <w:tcPr>
            <w:tcW w:w="11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24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Industry</w:t>
            </w: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Non-control/Non-affiliated investments -</w:t>
            </w:r>
          </w:p>
        </w:tc>
        <w:tc>
          <w:tcPr>
            <w:tcW w:w="2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155.9%</w:t>
            </w: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AAE Acquisition, LLC</w:t>
            </w:r>
          </w:p>
        </w:tc>
        <w:tc>
          <w:tcPr>
            <w:tcW w:w="24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Industrial Equipment Rental</w:t>
            </w:r>
          </w:p>
        </w:tc>
        <w:tc>
          <w:tcPr>
            <w:tcW w:w="23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3"/>
              </w:rPr>
              <w:t>Senior Secured Term Debt (12% Cash,</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Due 3/31/18) </w:t>
            </w:r>
            <w:r>
              <w:rPr>
                <w:rFonts w:ascii="Arial" w:cs="Arial" w:eastAsia="Arial" w:hAnsi="Arial"/>
                <w:sz w:val="22"/>
                <w:szCs w:val="22"/>
                <w:color w:val="auto"/>
                <w:vertAlign w:val="superscript"/>
              </w:rPr>
              <w:t>(1)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Industrial Equipment Rental</w:t>
            </w: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(14% fully diluted)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13,161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 LLC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Senior Secured Debt (L+9.5% Cash,</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1% Floor, Due 6/11/20)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9,625</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9,625</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9,625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9,625</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9,625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American Exteriors, LLC</w:t>
            </w:r>
          </w:p>
        </w:tc>
        <w:tc>
          <w:tcPr>
            <w:tcW w:w="24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Replacement Window Manufacturer</w:t>
            </w:r>
          </w:p>
        </w:tc>
        <w:tc>
          <w:tcPr>
            <w:tcW w:w="23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6"/>
              </w:rPr>
              <w:t>Senior Secured Debt (10%, 4% PIK at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w w:val="93"/>
              </w:rPr>
              <w:t xml:space="preserve">company's option, Due 12/31/16) </w:t>
            </w:r>
            <w:r>
              <w:rPr>
                <w:rFonts w:ascii="Arial" w:cs="Arial" w:eastAsia="Arial" w:hAnsi="Arial"/>
                <w:sz w:val="22"/>
                <w:szCs w:val="22"/>
                <w:color w:val="auto"/>
                <w:w w:val="93"/>
                <w:vertAlign w:val="superscript"/>
              </w:rPr>
              <w:t>(1)(2)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5,307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3,979</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3,324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Replacement Window Manufacturer</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Warrants (10% fully</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3,979</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3,324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 (14% Cash, Due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7/23/20)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9,992</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 Warrants (91,739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10,012</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14,950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Online Merchandise Retailer</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Senior Secured Term Debt (L+7.5%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Cash, 1% Floor, Due 11/7/20)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4,467</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4,329</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4,329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4,329</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4,329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Boot Barn Holdings, Inc</w:t>
            </w: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Western Wear Retail</w:t>
            </w:r>
          </w:p>
        </w:tc>
        <w:tc>
          <w:tcPr>
            <w:tcW w:w="23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Common Stock (95,252 shares) </w:t>
            </w:r>
            <w:r>
              <w:rPr>
                <w:rFonts w:ascii="Arial" w:cs="Arial" w:eastAsia="Arial" w:hAnsi="Arial"/>
                <w:sz w:val="23"/>
                <w:szCs w:val="23"/>
                <w:color w:val="auto"/>
                <w:vertAlign w:val="superscript"/>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Brock Holdings III,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Industrial Specialty Services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 (L+8.25% Cash,</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1.75% Floor, Due 3/16/18)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4,895</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4,895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4,895</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4,895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Bowling Products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Senior Secured Term Debt (L+6.0%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Cash, 2% Floor, Due 5/22/20)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Bowling Products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Subordinated Debt (L+14.25% Cash,</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2% Floor, Due 5/22/20)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6,983</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6,983</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6,983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Brunswick Bowling Products, Inc.</w:t>
            </w:r>
          </w:p>
        </w:tc>
        <w:tc>
          <w:tcPr>
            <w:tcW w:w="24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Bowling Products</w:t>
            </w:r>
          </w:p>
        </w:tc>
        <w:tc>
          <w:tcPr>
            <w:tcW w:w="23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Preferred Shares (2,966 shares, 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line="211"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3,183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3,860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12,166</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12,843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 LLC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Home Repair Parts Manufacturer</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Senior Secured Term Debt (9.5% Cash,</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Due 4/30/20)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4,875</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Burke America Parts Group, LLC</w:t>
            </w: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Home Repair Parts Manufacturer</w:t>
            </w: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(14 units)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4,880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5,751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Caregiver Services, Inc.</w:t>
            </w:r>
          </w:p>
        </w:tc>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In-Home Healthcare Services</w:t>
            </w: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(293,186 shares)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Caregiver Services, Inc.</w:t>
            </w:r>
          </w:p>
        </w:tc>
        <w:tc>
          <w:tcPr>
            <w:tcW w:w="24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In-Home Healthcare Services</w:t>
            </w:r>
          </w:p>
        </w:tc>
        <w:tc>
          <w:tcPr>
            <w:tcW w:w="23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Common Stock Warrants (655,908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Cedar Electronics Holding Corp.</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Electronics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 (12% Cash, Due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12/26/20)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Community Choice Financial,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Financial Services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Senior Secured Revolving Debt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(L+13.0% Cash, 1% Floor, Due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line="211" w:lineRule="exact"/>
              <w:rPr>
                <w:sz w:val="20"/>
                <w:szCs w:val="20"/>
                <w:color w:val="auto"/>
              </w:rPr>
            </w:pPr>
            <w:r>
              <w:rPr>
                <w:rFonts w:ascii="Arial" w:cs="Arial" w:eastAsia="Arial" w:hAnsi="Arial"/>
                <w:sz w:val="14"/>
                <w:szCs w:val="14"/>
                <w:color w:val="auto"/>
              </w:rPr>
              <w:t xml:space="preserve">3/27/17) </w:t>
            </w:r>
            <w:r>
              <w:rPr>
                <w:rFonts w:ascii="Arial" w:cs="Arial" w:eastAsia="Arial" w:hAnsi="Arial"/>
                <w:sz w:val="23"/>
                <w:szCs w:val="23"/>
                <w:color w:val="auto"/>
                <w:vertAlign w:val="superscript"/>
              </w:rPr>
              <w:t>(8)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Construction Partners,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Construction Services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Subordinated Debt (11.5% Cash, Due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6/12/20)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44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380" w:type="dxa"/>
            <w:vAlign w:val="bottom"/>
          </w:tcPr>
          <w:p>
            <w:pPr>
              <w:ind w:left="80"/>
              <w:spacing w:after="0"/>
              <w:rPr>
                <w:sz w:val="20"/>
                <w:szCs w:val="20"/>
                <w:color w:val="auto"/>
              </w:rPr>
            </w:pPr>
            <w:r>
              <w:rPr>
                <w:rFonts w:ascii="Arial" w:cs="Arial" w:eastAsia="Arial" w:hAnsi="Arial"/>
                <w:sz w:val="14"/>
                <w:szCs w:val="14"/>
                <w:color w:val="auto"/>
                <w:w w:val="94"/>
              </w:rPr>
              <w:t>Subordinated Debt (9% Cash, 2% PIK,</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Due 11/29/21)</w:t>
            </w:r>
          </w:p>
        </w:tc>
      </w:tr>
      <w:tr>
        <w:trPr>
          <w:trHeight w:val="297"/>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44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380" w:type="dxa"/>
            <w:vAlign w:val="bottom"/>
          </w:tcPr>
          <w:p>
            <w:pPr>
              <w:ind w:left="80"/>
              <w:spacing w:after="0"/>
              <w:rPr>
                <w:sz w:val="20"/>
                <w:szCs w:val="20"/>
                <w:color w:val="auto"/>
              </w:rPr>
            </w:pPr>
            <w:r>
              <w:rPr>
                <w:rFonts w:ascii="Arial" w:cs="Arial" w:eastAsia="Arial" w:hAnsi="Arial"/>
                <w:sz w:val="14"/>
                <w:szCs w:val="14"/>
                <w:color w:val="auto"/>
              </w:rPr>
              <w:t>Common Stock (15,750 shares)</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CSM Bakery Solutions, LLC</w:t>
            </w:r>
          </w:p>
        </w:tc>
        <w:tc>
          <w:tcPr>
            <w:tcW w:w="2440" w:type="dxa"/>
            <w:vAlign w:val="bottom"/>
          </w:tcPr>
          <w:p>
            <w:pPr>
              <w:ind w:left="100"/>
              <w:spacing w:after="0"/>
              <w:rPr>
                <w:sz w:val="20"/>
                <w:szCs w:val="20"/>
                <w:color w:val="auto"/>
              </w:rPr>
            </w:pPr>
            <w:r>
              <w:rPr>
                <w:rFonts w:ascii="Arial" w:cs="Arial" w:eastAsia="Arial" w:hAnsi="Arial"/>
                <w:sz w:val="14"/>
                <w:szCs w:val="14"/>
                <w:color w:val="auto"/>
              </w:rPr>
              <w:t>Bakery Supplies Distributor</w:t>
            </w:r>
          </w:p>
        </w:tc>
        <w:tc>
          <w:tcPr>
            <w:tcW w:w="2380" w:type="dxa"/>
            <w:vAlign w:val="bottom"/>
          </w:tcPr>
          <w:p>
            <w:pPr>
              <w:ind w:left="80"/>
              <w:spacing w:after="0"/>
              <w:rPr>
                <w:sz w:val="20"/>
                <w:szCs w:val="20"/>
                <w:color w:val="auto"/>
              </w:rPr>
            </w:pPr>
            <w:r>
              <w:rPr>
                <w:rFonts w:ascii="Arial" w:cs="Arial" w:eastAsia="Arial" w:hAnsi="Arial"/>
                <w:sz w:val="14"/>
                <w:szCs w:val="14"/>
                <w:color w:val="auto"/>
                <w:w w:val="92"/>
              </w:rPr>
              <w:t>Subordinated Debt (L+7.75% Cash, 1%</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Floor, Due 8/7/22)</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DSW Homes, LLC</w:t>
            </w:r>
          </w:p>
        </w:tc>
        <w:tc>
          <w:tcPr>
            <w:tcW w:w="2440" w:type="dxa"/>
            <w:vAlign w:val="bottom"/>
          </w:tcPr>
          <w:p>
            <w:pPr>
              <w:ind w:left="100"/>
              <w:spacing w:after="0"/>
              <w:rPr>
                <w:sz w:val="20"/>
                <w:szCs w:val="20"/>
                <w:color w:val="auto"/>
              </w:rPr>
            </w:pPr>
            <w:r>
              <w:rPr>
                <w:rFonts w:ascii="Arial" w:cs="Arial" w:eastAsia="Arial" w:hAnsi="Arial"/>
                <w:sz w:val="14"/>
                <w:szCs w:val="14"/>
                <w:color w:val="auto"/>
              </w:rPr>
              <w:t>Disaster Recovery Homebuilding</w:t>
            </w:r>
          </w:p>
        </w:tc>
        <w:tc>
          <w:tcPr>
            <w:tcW w:w="2380" w:type="dxa"/>
            <w:vAlign w:val="bottom"/>
          </w:tcPr>
          <w:p>
            <w:pPr>
              <w:ind w:left="80"/>
              <w:spacing w:after="0"/>
              <w:rPr>
                <w:sz w:val="20"/>
                <w:szCs w:val="20"/>
                <w:color w:val="auto"/>
              </w:rPr>
            </w:pPr>
            <w:r>
              <w:rPr>
                <w:rFonts w:ascii="Arial" w:cs="Arial" w:eastAsia="Arial" w:hAnsi="Arial"/>
                <w:sz w:val="14"/>
                <w:szCs w:val="14"/>
                <w:color w:val="auto"/>
                <w:w w:val="95"/>
              </w:rPr>
              <w:t>Subordinated Debt (L+12% Cash, Due</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9/24/18)</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w w:val="98"/>
              </w:rPr>
              <w:t>Emerging Markets Communications, LLC</w:t>
            </w:r>
          </w:p>
        </w:tc>
        <w:tc>
          <w:tcPr>
            <w:tcW w:w="2440" w:type="dxa"/>
            <w:vAlign w:val="bottom"/>
          </w:tcPr>
          <w:p>
            <w:pPr>
              <w:ind w:left="100"/>
              <w:spacing w:after="0"/>
              <w:rPr>
                <w:sz w:val="20"/>
                <w:szCs w:val="20"/>
                <w:color w:val="auto"/>
              </w:rPr>
            </w:pPr>
            <w:r>
              <w:rPr>
                <w:rFonts w:ascii="Arial" w:cs="Arial" w:eastAsia="Arial" w:hAnsi="Arial"/>
                <w:sz w:val="14"/>
                <w:szCs w:val="14"/>
                <w:color w:val="auto"/>
              </w:rPr>
              <w:t>Satellite Communications</w:t>
            </w:r>
          </w:p>
        </w:tc>
        <w:tc>
          <w:tcPr>
            <w:tcW w:w="2380" w:type="dxa"/>
            <w:vAlign w:val="bottom"/>
          </w:tcPr>
          <w:p>
            <w:pPr>
              <w:ind w:left="80"/>
              <w:spacing w:after="0"/>
              <w:rPr>
                <w:sz w:val="20"/>
                <w:szCs w:val="20"/>
                <w:color w:val="auto"/>
              </w:rPr>
            </w:pPr>
            <w:r>
              <w:rPr>
                <w:rFonts w:ascii="Arial" w:cs="Arial" w:eastAsia="Arial" w:hAnsi="Arial"/>
                <w:sz w:val="14"/>
                <w:szCs w:val="14"/>
                <w:color w:val="auto"/>
                <w:w w:val="99"/>
              </w:rPr>
              <w:t>Subordinated Debt (L+9.625% Cash,</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1% Floor, Due 7/1/22)</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44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380" w:type="dxa"/>
            <w:vAlign w:val="bottom"/>
          </w:tcPr>
          <w:p>
            <w:pPr>
              <w:ind w:left="80"/>
              <w:spacing w:after="0"/>
              <w:rPr>
                <w:sz w:val="20"/>
                <w:szCs w:val="20"/>
                <w:color w:val="auto"/>
              </w:rPr>
            </w:pPr>
            <w:r>
              <w:rPr>
                <w:rFonts w:ascii="Arial" w:cs="Arial" w:eastAsia="Arial" w:hAnsi="Arial"/>
                <w:sz w:val="14"/>
                <w:szCs w:val="14"/>
                <w:color w:val="auto"/>
                <w:w w:val="98"/>
              </w:rPr>
              <w:t>Senior Secured Term Debt (L+5.75%</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Cash, 1% Floor, Due 4/3/20)</w:t>
            </w:r>
          </w:p>
        </w:tc>
      </w:tr>
      <w:tr>
        <w:trPr>
          <w:trHeight w:val="263"/>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44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380" w:type="dxa"/>
            <w:vAlign w:val="bottom"/>
          </w:tcPr>
          <w:p>
            <w:pPr>
              <w:ind w:left="80"/>
              <w:spacing w:after="0"/>
              <w:rPr>
                <w:sz w:val="20"/>
                <w:szCs w:val="20"/>
                <w:color w:val="auto"/>
              </w:rPr>
            </w:pPr>
            <w:r>
              <w:rPr>
                <w:rFonts w:ascii="Arial" w:cs="Arial" w:eastAsia="Arial" w:hAnsi="Arial"/>
                <w:sz w:val="14"/>
                <w:szCs w:val="14"/>
                <w:color w:val="auto"/>
                <w:w w:val="97"/>
              </w:rPr>
              <w:t>Subordinated Debt (L+10% Cash, 1%</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Floor, Due 10/3/21)</w:t>
            </w:r>
          </w:p>
        </w:tc>
      </w:tr>
      <w:tr>
        <w:trPr>
          <w:trHeight w:val="624"/>
        </w:trPr>
        <w:tc>
          <w:tcPr>
            <w:tcW w:w="2540" w:type="dxa"/>
            <w:vAlign w:val="bottom"/>
          </w:tcPr>
          <w:p>
            <w:pPr>
              <w:spacing w:after="0"/>
              <w:rPr>
                <w:sz w:val="20"/>
                <w:szCs w:val="20"/>
                <w:color w:val="auto"/>
              </w:rPr>
            </w:pPr>
            <w:r>
              <w:rPr>
                <w:rFonts w:ascii="Arial" w:cs="Arial" w:eastAsia="Arial" w:hAnsi="Arial"/>
                <w:sz w:val="14"/>
                <w:szCs w:val="14"/>
                <w:color w:val="auto"/>
              </w:rPr>
              <w:t>Group Cirque du Soleil, Inc.</w:t>
            </w:r>
          </w:p>
        </w:tc>
        <w:tc>
          <w:tcPr>
            <w:tcW w:w="2440" w:type="dxa"/>
            <w:vAlign w:val="bottom"/>
          </w:tcPr>
          <w:p>
            <w:pPr>
              <w:ind w:left="100"/>
              <w:spacing w:after="0"/>
              <w:rPr>
                <w:sz w:val="20"/>
                <w:szCs w:val="20"/>
                <w:color w:val="auto"/>
              </w:rPr>
            </w:pPr>
            <w:r>
              <w:rPr>
                <w:rFonts w:ascii="Arial" w:cs="Arial" w:eastAsia="Arial" w:hAnsi="Arial"/>
                <w:sz w:val="14"/>
                <w:szCs w:val="14"/>
                <w:color w:val="auto"/>
              </w:rPr>
              <w:t>Entertainment</w:t>
            </w:r>
          </w:p>
        </w:tc>
        <w:tc>
          <w:tcPr>
            <w:tcW w:w="2380" w:type="dxa"/>
            <w:vAlign w:val="bottom"/>
          </w:tcPr>
          <w:p>
            <w:pPr>
              <w:ind w:left="80"/>
              <w:spacing w:after="0"/>
              <w:rPr>
                <w:sz w:val="20"/>
                <w:szCs w:val="20"/>
                <w:color w:val="auto"/>
              </w:rPr>
            </w:pPr>
            <w:r>
              <w:rPr>
                <w:rFonts w:ascii="Arial" w:cs="Arial" w:eastAsia="Arial" w:hAnsi="Arial"/>
                <w:sz w:val="14"/>
                <w:szCs w:val="14"/>
                <w:color w:val="auto"/>
                <w:w w:val="92"/>
              </w:rPr>
              <w:t>Subordinated Debt (L+8.25% Cash, 1%</w:t>
            </w:r>
          </w:p>
        </w:tc>
      </w:tr>
      <w:tr>
        <w:trPr>
          <w:trHeight w:val="313"/>
        </w:trPr>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 xml:space="preserve">Floor, Due 7/8/23) </w:t>
            </w:r>
            <w:r>
              <w:rPr>
                <w:rFonts w:ascii="Arial" w:cs="Arial" w:eastAsia="Arial" w:hAnsi="Arial"/>
                <w:sz w:val="23"/>
                <w:szCs w:val="23"/>
                <w:color w:val="auto"/>
                <w:vertAlign w:val="superscript"/>
              </w:rPr>
              <w:t>(8)</w:t>
            </w:r>
          </w:p>
        </w:tc>
      </w:tr>
      <w:tr>
        <w:trPr>
          <w:trHeight w:val="524"/>
        </w:trPr>
        <w:tc>
          <w:tcPr>
            <w:tcW w:w="2540" w:type="dxa"/>
            <w:vAlign w:val="bottom"/>
          </w:tcPr>
          <w:p>
            <w:pPr>
              <w:spacing w:after="0"/>
              <w:rPr>
                <w:sz w:val="20"/>
                <w:szCs w:val="20"/>
                <w:color w:val="auto"/>
              </w:rPr>
            </w:pPr>
            <w:r>
              <w:rPr>
                <w:rFonts w:ascii="Arial" w:cs="Arial" w:eastAsia="Arial" w:hAnsi="Arial"/>
                <w:sz w:val="14"/>
                <w:szCs w:val="14"/>
                <w:color w:val="auto"/>
                <w:w w:val="99"/>
              </w:rPr>
              <w:t>Immersive Media Tactical Solutions, LLC</w:t>
            </w:r>
          </w:p>
        </w:tc>
        <w:tc>
          <w:tcPr>
            <w:tcW w:w="2440" w:type="dxa"/>
            <w:vAlign w:val="bottom"/>
          </w:tcPr>
          <w:p>
            <w:pPr>
              <w:ind w:left="100"/>
              <w:spacing w:after="0"/>
              <w:rPr>
                <w:sz w:val="20"/>
                <w:szCs w:val="20"/>
                <w:color w:val="auto"/>
              </w:rPr>
            </w:pPr>
            <w:r>
              <w:rPr>
                <w:rFonts w:ascii="Arial" w:cs="Arial" w:eastAsia="Arial" w:hAnsi="Arial"/>
                <w:sz w:val="14"/>
                <w:szCs w:val="14"/>
                <w:color w:val="auto"/>
              </w:rPr>
              <w:t>Specialty Defense Contractor</w:t>
            </w:r>
          </w:p>
        </w:tc>
        <w:tc>
          <w:tcPr>
            <w:tcW w:w="2380" w:type="dxa"/>
            <w:vAlign w:val="bottom"/>
          </w:tcPr>
          <w:p>
            <w:pPr>
              <w:ind w:left="80"/>
              <w:spacing w:after="0"/>
              <w:rPr>
                <w:sz w:val="20"/>
                <w:szCs w:val="20"/>
                <w:color w:val="auto"/>
              </w:rPr>
            </w:pPr>
            <w:r>
              <w:rPr>
                <w:rFonts w:ascii="Arial" w:cs="Arial" w:eastAsia="Arial" w:hAnsi="Arial"/>
                <w:sz w:val="14"/>
                <w:szCs w:val="14"/>
                <w:color w:val="auto"/>
              </w:rPr>
              <w:t>Senior Secured Term Debt (Due</w:t>
            </w:r>
          </w:p>
        </w:tc>
      </w:tr>
      <w:tr>
        <w:trPr>
          <w:trHeight w:val="313"/>
        </w:trPr>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 xml:space="preserve">12/9/19) </w:t>
            </w:r>
            <w:r>
              <w:rPr>
                <w:rFonts w:ascii="Arial" w:cs="Arial" w:eastAsia="Arial" w:hAnsi="Arial"/>
                <w:sz w:val="23"/>
                <w:szCs w:val="23"/>
                <w:color w:val="auto"/>
                <w:vertAlign w:val="superscript"/>
              </w:rPr>
              <w:t>(13)</w:t>
            </w:r>
          </w:p>
        </w:tc>
      </w:tr>
      <w:tr>
        <w:trPr>
          <w:trHeight w:val="514"/>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44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380" w:type="dxa"/>
            <w:vAlign w:val="bottom"/>
          </w:tcPr>
          <w:p>
            <w:pPr>
              <w:ind w:left="80"/>
              <w:spacing w:after="0"/>
              <w:rPr>
                <w:sz w:val="20"/>
                <w:szCs w:val="20"/>
                <w:color w:val="auto"/>
              </w:rPr>
            </w:pPr>
            <w:r>
              <w:rPr>
                <w:rFonts w:ascii="Arial" w:cs="Arial" w:eastAsia="Arial" w:hAnsi="Arial"/>
                <w:sz w:val="14"/>
                <w:szCs w:val="14"/>
                <w:color w:val="auto"/>
                <w:w w:val="96"/>
              </w:rPr>
              <w:t>Senior Secured Debt (14% Cash, Due</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3/31/19)</w:t>
            </w:r>
          </w:p>
        </w:tc>
      </w:tr>
      <w:tr>
        <w:trPr>
          <w:trHeight w:val="273"/>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44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380" w:type="dxa"/>
            <w:vAlign w:val="bottom"/>
          </w:tcPr>
          <w:p>
            <w:pPr>
              <w:ind w:left="80"/>
              <w:spacing w:after="0"/>
              <w:rPr>
                <w:sz w:val="20"/>
                <w:szCs w:val="20"/>
                <w:color w:val="auto"/>
              </w:rPr>
            </w:pPr>
            <w:r>
              <w:rPr>
                <w:rFonts w:ascii="Arial" w:cs="Arial" w:eastAsia="Arial" w:hAnsi="Arial"/>
                <w:sz w:val="14"/>
                <w:szCs w:val="14"/>
                <w:color w:val="auto"/>
                <w:w w:val="97"/>
              </w:rPr>
              <w:t>Preferred Units (1,000 units, 10% PIK</w:t>
            </w:r>
          </w:p>
        </w:tc>
      </w:tr>
      <w:tr>
        <w:trPr>
          <w:trHeight w:val="313"/>
        </w:trPr>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r>
      <w:tr>
        <w:trPr>
          <w:trHeight w:val="163"/>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44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380" w:type="dxa"/>
            <w:vAlign w:val="bottom"/>
          </w:tcPr>
          <w:p>
            <w:pPr>
              <w:ind w:left="80"/>
              <w:spacing w:after="0"/>
              <w:rPr>
                <w:sz w:val="20"/>
                <w:szCs w:val="20"/>
                <w:color w:val="auto"/>
              </w:rPr>
            </w:pPr>
            <w:r>
              <w:rPr>
                <w:rFonts w:ascii="Arial" w:cs="Arial" w:eastAsia="Arial" w:hAnsi="Arial"/>
                <w:sz w:val="14"/>
                <w:szCs w:val="14"/>
                <w:color w:val="auto"/>
              </w:rPr>
              <w:t>Common Stock Warrants (15% fully</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diluted)</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Maxim Crane Works, L.P.</w:t>
            </w:r>
          </w:p>
        </w:tc>
        <w:tc>
          <w:tcPr>
            <w:tcW w:w="2440" w:type="dxa"/>
            <w:vAlign w:val="bottom"/>
          </w:tcPr>
          <w:p>
            <w:pPr>
              <w:ind w:left="100"/>
              <w:spacing w:after="0"/>
              <w:rPr>
                <w:sz w:val="20"/>
                <w:szCs w:val="20"/>
                <w:color w:val="auto"/>
              </w:rPr>
            </w:pPr>
            <w:r>
              <w:rPr>
                <w:rFonts w:ascii="Arial" w:cs="Arial" w:eastAsia="Arial" w:hAnsi="Arial"/>
                <w:sz w:val="14"/>
                <w:szCs w:val="14"/>
                <w:color w:val="auto"/>
              </w:rPr>
              <w:t>Crane Rental and Sales</w:t>
            </w:r>
          </w:p>
        </w:tc>
        <w:tc>
          <w:tcPr>
            <w:tcW w:w="2380" w:type="dxa"/>
            <w:vAlign w:val="bottom"/>
          </w:tcPr>
          <w:p>
            <w:pPr>
              <w:ind w:left="80"/>
              <w:spacing w:after="0"/>
              <w:rPr>
                <w:sz w:val="20"/>
                <w:szCs w:val="20"/>
                <w:color w:val="auto"/>
              </w:rPr>
            </w:pPr>
            <w:r>
              <w:rPr>
                <w:rFonts w:ascii="Arial" w:cs="Arial" w:eastAsia="Arial" w:hAnsi="Arial"/>
                <w:sz w:val="14"/>
                <w:szCs w:val="14"/>
                <w:color w:val="auto"/>
                <w:w w:val="92"/>
              </w:rPr>
              <w:t>Subordinated Debt (L+9.25% Cash, 1%</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Floor, Due 11/26/18)</w:t>
            </w:r>
          </w:p>
        </w:tc>
      </w:tr>
      <w:tr>
        <w:trPr>
          <w:trHeight w:val="624"/>
        </w:trPr>
        <w:tc>
          <w:tcPr>
            <w:tcW w:w="2540" w:type="dxa"/>
            <w:vAlign w:val="bottom"/>
          </w:tcPr>
          <w:p>
            <w:pPr>
              <w:spacing w:after="0"/>
              <w:rPr>
                <w:sz w:val="20"/>
                <w:szCs w:val="20"/>
                <w:color w:val="auto"/>
              </w:rPr>
            </w:pPr>
            <w:r>
              <w:rPr>
                <w:rFonts w:ascii="Arial" w:cs="Arial" w:eastAsia="Arial" w:hAnsi="Arial"/>
                <w:sz w:val="14"/>
                <w:szCs w:val="14"/>
                <w:color w:val="auto"/>
              </w:rPr>
              <w:t>Medical Depot, Inc.</w:t>
            </w:r>
          </w:p>
        </w:tc>
        <w:tc>
          <w:tcPr>
            <w:tcW w:w="2440" w:type="dxa"/>
            <w:vAlign w:val="bottom"/>
          </w:tcPr>
          <w:p>
            <w:pPr>
              <w:ind w:left="100"/>
              <w:spacing w:after="0"/>
              <w:rPr>
                <w:sz w:val="20"/>
                <w:szCs w:val="20"/>
                <w:color w:val="auto"/>
              </w:rPr>
            </w:pPr>
            <w:r>
              <w:rPr>
                <w:rFonts w:ascii="Arial" w:cs="Arial" w:eastAsia="Arial" w:hAnsi="Arial"/>
                <w:sz w:val="14"/>
                <w:szCs w:val="14"/>
                <w:color w:val="auto"/>
              </w:rPr>
              <w:t>Medical Device Distributor</w:t>
            </w:r>
          </w:p>
        </w:tc>
        <w:tc>
          <w:tcPr>
            <w:tcW w:w="2380" w:type="dxa"/>
            <w:vAlign w:val="bottom"/>
          </w:tcPr>
          <w:p>
            <w:pPr>
              <w:ind w:left="80"/>
              <w:spacing w:after="0"/>
              <w:rPr>
                <w:sz w:val="20"/>
                <w:szCs w:val="20"/>
                <w:color w:val="auto"/>
              </w:rPr>
            </w:pPr>
            <w:r>
              <w:rPr>
                <w:rFonts w:ascii="Arial" w:cs="Arial" w:eastAsia="Arial" w:hAnsi="Arial"/>
                <w:sz w:val="14"/>
                <w:szCs w:val="14"/>
                <w:color w:val="auto"/>
              </w:rPr>
              <w:t>Subordinated Debt (14% Cash, Due</w:t>
            </w:r>
          </w:p>
        </w:tc>
      </w:tr>
      <w:tr>
        <w:trPr>
          <w:trHeight w:val="313"/>
        </w:trPr>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 xml:space="preserve">9/27/20) </w:t>
            </w:r>
            <w:r>
              <w:rPr>
                <w:rFonts w:ascii="Arial" w:cs="Arial" w:eastAsia="Arial" w:hAnsi="Arial"/>
                <w:sz w:val="23"/>
                <w:szCs w:val="23"/>
                <w:color w:val="auto"/>
                <w:vertAlign w:val="superscript"/>
              </w:rPr>
              <w:t>(1)</w:t>
            </w:r>
          </w:p>
        </w:tc>
      </w:tr>
      <w:tr>
        <w:trPr>
          <w:trHeight w:val="163"/>
        </w:trPr>
        <w:tc>
          <w:tcPr>
            <w:tcW w:w="2540" w:type="dxa"/>
            <w:vAlign w:val="bottom"/>
          </w:tcPr>
          <w:p>
            <w:pPr>
              <w:spacing w:after="0"/>
              <w:rPr>
                <w:sz w:val="20"/>
                <w:szCs w:val="20"/>
                <w:color w:val="auto"/>
              </w:rPr>
            </w:pPr>
            <w:r>
              <w:rPr>
                <w:rFonts w:ascii="Arial" w:cs="Arial" w:eastAsia="Arial" w:hAnsi="Arial"/>
                <w:sz w:val="14"/>
                <w:szCs w:val="14"/>
                <w:color w:val="auto"/>
              </w:rPr>
              <w:t>Medical Depot, Inc.</w:t>
            </w:r>
          </w:p>
        </w:tc>
        <w:tc>
          <w:tcPr>
            <w:tcW w:w="2440" w:type="dxa"/>
            <w:vAlign w:val="bottom"/>
          </w:tcPr>
          <w:p>
            <w:pPr>
              <w:ind w:left="100"/>
              <w:spacing w:after="0"/>
              <w:rPr>
                <w:sz w:val="20"/>
                <w:szCs w:val="20"/>
                <w:color w:val="auto"/>
              </w:rPr>
            </w:pPr>
            <w:r>
              <w:rPr>
                <w:rFonts w:ascii="Arial" w:cs="Arial" w:eastAsia="Arial" w:hAnsi="Arial"/>
                <w:sz w:val="14"/>
                <w:szCs w:val="14"/>
                <w:color w:val="auto"/>
              </w:rPr>
              <w:t>Medical Device Distributor</w:t>
            </w:r>
          </w:p>
        </w:tc>
        <w:tc>
          <w:tcPr>
            <w:tcW w:w="2380" w:type="dxa"/>
            <w:vAlign w:val="bottom"/>
          </w:tcPr>
          <w:p>
            <w:pPr>
              <w:ind w:left="80"/>
              <w:spacing w:after="0"/>
              <w:rPr>
                <w:sz w:val="20"/>
                <w:szCs w:val="20"/>
                <w:color w:val="auto"/>
              </w:rPr>
            </w:pPr>
            <w:r>
              <w:rPr>
                <w:rFonts w:ascii="Arial" w:cs="Arial" w:eastAsia="Arial" w:hAnsi="Arial"/>
                <w:sz w:val="14"/>
                <w:szCs w:val="14"/>
                <w:color w:val="auto"/>
                <w:w w:val="99"/>
              </w:rPr>
              <w:t>Series C Convertible Preferred Stock</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(740 shares)</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Merlin International, Inc.</w:t>
            </w:r>
          </w:p>
        </w:tc>
        <w:tc>
          <w:tcPr>
            <w:tcW w:w="2440" w:type="dxa"/>
            <w:vAlign w:val="bottom"/>
          </w:tcPr>
          <w:p>
            <w:pPr>
              <w:ind w:left="100"/>
              <w:spacing w:after="0"/>
              <w:rPr>
                <w:sz w:val="20"/>
                <w:szCs w:val="20"/>
                <w:color w:val="auto"/>
              </w:rPr>
            </w:pPr>
            <w:r>
              <w:rPr>
                <w:rFonts w:ascii="Arial" w:cs="Arial" w:eastAsia="Arial" w:hAnsi="Arial"/>
                <w:sz w:val="14"/>
                <w:szCs w:val="14"/>
                <w:color w:val="auto"/>
              </w:rPr>
              <w:t>IT Government Contracting</w:t>
            </w:r>
          </w:p>
        </w:tc>
        <w:tc>
          <w:tcPr>
            <w:tcW w:w="2380" w:type="dxa"/>
            <w:vAlign w:val="bottom"/>
          </w:tcPr>
          <w:p>
            <w:pPr>
              <w:ind w:left="80"/>
              <w:spacing w:after="0"/>
              <w:rPr>
                <w:sz w:val="20"/>
                <w:szCs w:val="20"/>
                <w:color w:val="auto"/>
              </w:rPr>
            </w:pPr>
            <w:r>
              <w:rPr>
                <w:rFonts w:ascii="Arial" w:cs="Arial" w:eastAsia="Arial" w:hAnsi="Arial"/>
                <w:sz w:val="14"/>
                <w:szCs w:val="14"/>
                <w:color w:val="auto"/>
                <w:w w:val="97"/>
              </w:rPr>
              <w:t>Subordinated Debt (12.5% Cash, Due</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12/16/19)</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Nielsen &amp; Bainbridge, LLC</w:t>
            </w:r>
          </w:p>
        </w:tc>
        <w:tc>
          <w:tcPr>
            <w:tcW w:w="2440" w:type="dxa"/>
            <w:vAlign w:val="bottom"/>
          </w:tcPr>
          <w:p>
            <w:pPr>
              <w:ind w:left="100"/>
              <w:spacing w:after="0"/>
              <w:rPr>
                <w:sz w:val="20"/>
                <w:szCs w:val="20"/>
                <w:color w:val="auto"/>
              </w:rPr>
            </w:pPr>
            <w:r>
              <w:rPr>
                <w:rFonts w:ascii="Arial" w:cs="Arial" w:eastAsia="Arial" w:hAnsi="Arial"/>
                <w:sz w:val="14"/>
                <w:szCs w:val="14"/>
                <w:color w:val="auto"/>
              </w:rPr>
              <w:t>Home Décor Manufacturer</w:t>
            </w:r>
          </w:p>
        </w:tc>
        <w:tc>
          <w:tcPr>
            <w:tcW w:w="2380" w:type="dxa"/>
            <w:vAlign w:val="bottom"/>
          </w:tcPr>
          <w:p>
            <w:pPr>
              <w:ind w:left="80"/>
              <w:spacing w:after="0"/>
              <w:rPr>
                <w:sz w:val="20"/>
                <w:szCs w:val="20"/>
                <w:color w:val="auto"/>
              </w:rPr>
            </w:pPr>
            <w:r>
              <w:rPr>
                <w:rFonts w:ascii="Arial" w:cs="Arial" w:eastAsia="Arial" w:hAnsi="Arial"/>
                <w:sz w:val="14"/>
                <w:szCs w:val="14"/>
                <w:color w:val="auto"/>
                <w:w w:val="92"/>
              </w:rPr>
              <w:t>Subordinated Debt (L+9.25% Cash, 1%</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Floor, Due 8/15/21)</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Nth Degree, Inc.</w:t>
            </w:r>
          </w:p>
        </w:tc>
        <w:tc>
          <w:tcPr>
            <w:tcW w:w="244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380" w:type="dxa"/>
            <w:vAlign w:val="bottom"/>
          </w:tcPr>
          <w:p>
            <w:pPr>
              <w:ind w:left="80"/>
              <w:spacing w:after="0"/>
              <w:rPr>
                <w:sz w:val="20"/>
                <w:szCs w:val="20"/>
                <w:color w:val="auto"/>
              </w:rPr>
            </w:pPr>
            <w:r>
              <w:rPr>
                <w:rFonts w:ascii="Arial" w:cs="Arial" w:eastAsia="Arial" w:hAnsi="Arial"/>
                <w:sz w:val="14"/>
                <w:szCs w:val="14"/>
                <w:color w:val="auto"/>
              </w:rPr>
              <w:t>Senior Secured Debt (L+7.0% Cash.</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1% Floor, 1% PIK, Due 12/14/20)</w:t>
            </w:r>
          </w:p>
        </w:tc>
      </w:tr>
      <w:tr>
        <w:trPr>
          <w:trHeight w:val="263"/>
        </w:trPr>
        <w:tc>
          <w:tcPr>
            <w:tcW w:w="2540" w:type="dxa"/>
            <w:vAlign w:val="bottom"/>
          </w:tcPr>
          <w:p>
            <w:pPr>
              <w:spacing w:after="0"/>
              <w:rPr>
                <w:sz w:val="20"/>
                <w:szCs w:val="20"/>
                <w:color w:val="auto"/>
              </w:rPr>
            </w:pPr>
            <w:r>
              <w:rPr>
                <w:rFonts w:ascii="Arial" w:cs="Arial" w:eastAsia="Arial" w:hAnsi="Arial"/>
                <w:sz w:val="14"/>
                <w:szCs w:val="14"/>
                <w:color w:val="auto"/>
              </w:rPr>
              <w:t>Nth Degree, Inc.</w:t>
            </w:r>
          </w:p>
        </w:tc>
        <w:tc>
          <w:tcPr>
            <w:tcW w:w="244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380" w:type="dxa"/>
            <w:vAlign w:val="bottom"/>
          </w:tcPr>
          <w:p>
            <w:pPr>
              <w:ind w:left="80"/>
              <w:spacing w:after="0"/>
              <w:rPr>
                <w:sz w:val="20"/>
                <w:szCs w:val="20"/>
                <w:color w:val="auto"/>
              </w:rPr>
            </w:pPr>
            <w:r>
              <w:rPr>
                <w:rFonts w:ascii="Arial" w:cs="Arial" w:eastAsia="Arial" w:hAnsi="Arial"/>
                <w:sz w:val="14"/>
                <w:szCs w:val="14"/>
                <w:color w:val="auto"/>
                <w:w w:val="97"/>
              </w:rPr>
              <w:t>Senior Secured Debt (L+11.5% Cash.</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1% Floor, 2% PIK, Due 12/14/20)</w:t>
            </w:r>
          </w:p>
        </w:tc>
      </w:tr>
      <w:tr>
        <w:trPr>
          <w:trHeight w:val="438"/>
        </w:trPr>
        <w:tc>
          <w:tcPr>
            <w:tcW w:w="2540" w:type="dxa"/>
            <w:vAlign w:val="bottom"/>
          </w:tcPr>
          <w:p>
            <w:pPr>
              <w:spacing w:after="0"/>
              <w:rPr>
                <w:sz w:val="20"/>
                <w:szCs w:val="20"/>
                <w:color w:val="auto"/>
              </w:rPr>
            </w:pPr>
            <w:r>
              <w:rPr>
                <w:rFonts w:ascii="Arial" w:cs="Arial" w:eastAsia="Arial" w:hAnsi="Arial"/>
                <w:sz w:val="14"/>
                <w:szCs w:val="14"/>
                <w:color w:val="auto"/>
              </w:rPr>
              <w:t>Nth Degree, Inc.</w:t>
            </w:r>
          </w:p>
        </w:tc>
        <w:tc>
          <w:tcPr>
            <w:tcW w:w="244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380" w:type="dxa"/>
            <w:vAlign w:val="bottom"/>
          </w:tcPr>
          <w:p>
            <w:pPr>
              <w:ind w:left="80"/>
              <w:spacing w:after="0"/>
              <w:rPr>
                <w:sz w:val="20"/>
                <w:szCs w:val="20"/>
                <w:color w:val="auto"/>
              </w:rPr>
            </w:pPr>
            <w:r>
              <w:rPr>
                <w:rFonts w:ascii="Arial" w:cs="Arial" w:eastAsia="Arial" w:hAnsi="Arial"/>
                <w:sz w:val="14"/>
                <w:szCs w:val="14"/>
                <w:color w:val="auto"/>
                <w:w w:val="93"/>
              </w:rPr>
              <w:t xml:space="preserve">Preferred Stock (10% PIK dividend) </w:t>
            </w:r>
            <w:r>
              <w:rPr>
                <w:rFonts w:ascii="Arial" w:cs="Arial" w:eastAsia="Arial" w:hAnsi="Arial"/>
                <w:sz w:val="23"/>
                <w:szCs w:val="23"/>
                <w:color w:val="auto"/>
                <w:w w:val="93"/>
                <w:vertAlign w:val="superscript"/>
              </w:rPr>
              <w:t>(6)</w:t>
            </w:r>
          </w:p>
        </w:tc>
      </w:tr>
      <w:tr>
        <w:trPr>
          <w:trHeight w:val="514"/>
        </w:trPr>
        <w:tc>
          <w:tcPr>
            <w:tcW w:w="2540" w:type="dxa"/>
            <w:vAlign w:val="bottom"/>
          </w:tcPr>
          <w:p>
            <w:pPr>
              <w:spacing w:after="0"/>
              <w:rPr>
                <w:sz w:val="20"/>
                <w:szCs w:val="20"/>
                <w:color w:val="auto"/>
              </w:rPr>
            </w:pPr>
            <w:r>
              <w:rPr>
                <w:rFonts w:ascii="Arial" w:cs="Arial" w:eastAsia="Arial" w:hAnsi="Arial"/>
                <w:sz w:val="14"/>
                <w:szCs w:val="14"/>
                <w:color w:val="auto"/>
              </w:rPr>
              <w:t>Portrait Innovations, Inc.</w:t>
            </w:r>
          </w:p>
        </w:tc>
        <w:tc>
          <w:tcPr>
            <w:tcW w:w="2440" w:type="dxa"/>
            <w:vAlign w:val="bottom"/>
          </w:tcPr>
          <w:p>
            <w:pPr>
              <w:ind w:left="100"/>
              <w:spacing w:after="0"/>
              <w:rPr>
                <w:sz w:val="20"/>
                <w:szCs w:val="20"/>
                <w:color w:val="auto"/>
              </w:rPr>
            </w:pPr>
            <w:r>
              <w:rPr>
                <w:rFonts w:ascii="Arial" w:cs="Arial" w:eastAsia="Arial" w:hAnsi="Arial"/>
                <w:sz w:val="14"/>
                <w:szCs w:val="14"/>
                <w:color w:val="auto"/>
              </w:rPr>
              <w:t>Professional and Personal Digital</w:t>
            </w:r>
          </w:p>
        </w:tc>
        <w:tc>
          <w:tcPr>
            <w:tcW w:w="2380" w:type="dxa"/>
            <w:vAlign w:val="bottom"/>
          </w:tcPr>
          <w:p>
            <w:pPr>
              <w:ind w:left="80"/>
              <w:spacing w:after="0"/>
              <w:rPr>
                <w:sz w:val="20"/>
                <w:szCs w:val="20"/>
                <w:color w:val="auto"/>
              </w:rPr>
            </w:pPr>
            <w:r>
              <w:rPr>
                <w:rFonts w:ascii="Arial" w:cs="Arial" w:eastAsia="Arial" w:hAnsi="Arial"/>
                <w:sz w:val="14"/>
                <w:szCs w:val="14"/>
                <w:color w:val="auto"/>
                <w:w w:val="93"/>
              </w:rPr>
              <w:t>Senior Secured Term Debt (12% Cash,</w:t>
            </w:r>
          </w:p>
        </w:tc>
      </w:tr>
      <w:tr>
        <w:trPr>
          <w:trHeight w:val="182"/>
        </w:trPr>
        <w:tc>
          <w:tcPr>
            <w:tcW w:w="2540" w:type="dxa"/>
            <w:vAlign w:val="bottom"/>
          </w:tcPr>
          <w:p>
            <w:pPr>
              <w:spacing w:after="0"/>
              <w:rPr>
                <w:sz w:val="15"/>
                <w:szCs w:val="15"/>
                <w:color w:val="auto"/>
              </w:rPr>
            </w:pPr>
          </w:p>
        </w:tc>
        <w:tc>
          <w:tcPr>
            <w:tcW w:w="2440" w:type="dxa"/>
            <w:vAlign w:val="bottom"/>
          </w:tcPr>
          <w:p>
            <w:pPr>
              <w:ind w:left="100"/>
              <w:spacing w:after="0"/>
              <w:rPr>
                <w:sz w:val="20"/>
                <w:szCs w:val="20"/>
                <w:color w:val="auto"/>
              </w:rPr>
            </w:pPr>
            <w:r>
              <w:rPr>
                <w:rFonts w:ascii="Arial" w:cs="Arial" w:eastAsia="Arial" w:hAnsi="Arial"/>
                <w:sz w:val="14"/>
                <w:szCs w:val="14"/>
                <w:color w:val="auto"/>
              </w:rPr>
              <w:t>Imaging</w:t>
            </w:r>
          </w:p>
        </w:tc>
        <w:tc>
          <w:tcPr>
            <w:tcW w:w="2380" w:type="dxa"/>
            <w:vAlign w:val="bottom"/>
          </w:tcPr>
          <w:p>
            <w:pPr>
              <w:ind w:left="80"/>
              <w:spacing w:after="0"/>
              <w:rPr>
                <w:sz w:val="20"/>
                <w:szCs w:val="20"/>
                <w:color w:val="auto"/>
              </w:rPr>
            </w:pPr>
            <w:r>
              <w:rPr>
                <w:rFonts w:ascii="Arial" w:cs="Arial" w:eastAsia="Arial" w:hAnsi="Arial"/>
                <w:sz w:val="14"/>
                <w:szCs w:val="14"/>
                <w:color w:val="auto"/>
              </w:rPr>
              <w:t>Due 2/26/20)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Sequoia Healthcare Management, LLC</w:t>
            </w:r>
          </w:p>
        </w:tc>
        <w:tc>
          <w:tcPr>
            <w:tcW w:w="2440" w:type="dxa"/>
            <w:vAlign w:val="bottom"/>
          </w:tcPr>
          <w:p>
            <w:pPr>
              <w:ind w:left="100"/>
              <w:spacing w:after="0"/>
              <w:rPr>
                <w:sz w:val="20"/>
                <w:szCs w:val="20"/>
                <w:color w:val="auto"/>
              </w:rPr>
            </w:pPr>
            <w:r>
              <w:rPr>
                <w:rFonts w:ascii="Arial" w:cs="Arial" w:eastAsia="Arial" w:hAnsi="Arial"/>
                <w:sz w:val="14"/>
                <w:szCs w:val="14"/>
                <w:color w:val="auto"/>
              </w:rPr>
              <w:t>Healthcare Management</w:t>
            </w:r>
          </w:p>
        </w:tc>
        <w:tc>
          <w:tcPr>
            <w:tcW w:w="2380" w:type="dxa"/>
            <w:vAlign w:val="bottom"/>
          </w:tcPr>
          <w:p>
            <w:pPr>
              <w:ind w:left="80"/>
              <w:spacing w:after="0"/>
              <w:rPr>
                <w:sz w:val="20"/>
                <w:szCs w:val="20"/>
                <w:color w:val="auto"/>
              </w:rPr>
            </w:pPr>
            <w:r>
              <w:rPr>
                <w:rFonts w:ascii="Arial" w:cs="Arial" w:eastAsia="Arial" w:hAnsi="Arial"/>
                <w:sz w:val="14"/>
                <w:szCs w:val="14"/>
                <w:color w:val="auto"/>
                <w:w w:val="93"/>
              </w:rPr>
              <w:t>Senior Secured Term Debt (12% Cash,</w:t>
            </w: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4% PIK, Due 7/17/19)</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Sierra Hamilton, LLC</w:t>
            </w:r>
          </w:p>
        </w:tc>
        <w:tc>
          <w:tcPr>
            <w:tcW w:w="2440" w:type="dxa"/>
            <w:vAlign w:val="bottom"/>
          </w:tcPr>
          <w:p>
            <w:pPr>
              <w:ind w:left="100"/>
              <w:spacing w:after="0"/>
              <w:rPr>
                <w:sz w:val="20"/>
                <w:szCs w:val="20"/>
                <w:color w:val="auto"/>
              </w:rPr>
            </w:pPr>
            <w:r>
              <w:rPr>
                <w:rFonts w:ascii="Arial" w:cs="Arial" w:eastAsia="Arial" w:hAnsi="Arial"/>
                <w:sz w:val="14"/>
                <w:szCs w:val="14"/>
                <w:color w:val="auto"/>
                <w:w w:val="98"/>
              </w:rPr>
              <w:t>Oil &amp; Gas Engineering and Consulting</w:t>
            </w:r>
          </w:p>
        </w:tc>
        <w:tc>
          <w:tcPr>
            <w:tcW w:w="2380" w:type="dxa"/>
            <w:vAlign w:val="bottom"/>
          </w:tcPr>
          <w:p>
            <w:pPr>
              <w:ind w:left="80"/>
              <w:spacing w:after="0"/>
              <w:rPr>
                <w:sz w:val="20"/>
                <w:szCs w:val="20"/>
                <w:color w:val="auto"/>
              </w:rPr>
            </w:pPr>
            <w:r>
              <w:rPr>
                <w:rFonts w:ascii="Arial" w:cs="Arial" w:eastAsia="Arial" w:hAnsi="Arial"/>
                <w:sz w:val="14"/>
                <w:szCs w:val="14"/>
                <w:color w:val="auto"/>
              </w:rPr>
              <w:t>Senior Secured Debt (12.25% Cash,</w:t>
            </w:r>
          </w:p>
        </w:tc>
      </w:tr>
      <w:tr>
        <w:trPr>
          <w:trHeight w:val="182"/>
        </w:trPr>
        <w:tc>
          <w:tcPr>
            <w:tcW w:w="2540" w:type="dxa"/>
            <w:vAlign w:val="bottom"/>
          </w:tcPr>
          <w:p>
            <w:pPr>
              <w:spacing w:after="0"/>
              <w:rPr>
                <w:sz w:val="15"/>
                <w:szCs w:val="15"/>
                <w:color w:val="auto"/>
              </w:rPr>
            </w:pPr>
          </w:p>
        </w:tc>
        <w:tc>
          <w:tcPr>
            <w:tcW w:w="2440" w:type="dxa"/>
            <w:vAlign w:val="bottom"/>
          </w:tcPr>
          <w:p>
            <w:pPr>
              <w:ind w:left="100"/>
              <w:spacing w:after="0"/>
              <w:rPr>
                <w:sz w:val="20"/>
                <w:szCs w:val="20"/>
                <w:color w:val="auto"/>
              </w:rPr>
            </w:pPr>
            <w:r>
              <w:rPr>
                <w:rFonts w:ascii="Arial" w:cs="Arial" w:eastAsia="Arial" w:hAnsi="Arial"/>
                <w:sz w:val="14"/>
                <w:szCs w:val="14"/>
                <w:color w:val="auto"/>
              </w:rPr>
              <w:t>Services</w:t>
            </w:r>
          </w:p>
        </w:tc>
        <w:tc>
          <w:tcPr>
            <w:tcW w:w="2380" w:type="dxa"/>
            <w:vAlign w:val="bottom"/>
          </w:tcPr>
          <w:p>
            <w:pPr>
              <w:ind w:left="80"/>
              <w:spacing w:after="0"/>
              <w:rPr>
                <w:sz w:val="20"/>
                <w:szCs w:val="20"/>
                <w:color w:val="auto"/>
              </w:rPr>
            </w:pPr>
            <w:r>
              <w:rPr>
                <w:rFonts w:ascii="Arial" w:cs="Arial" w:eastAsia="Arial" w:hAnsi="Arial"/>
                <w:sz w:val="14"/>
                <w:szCs w:val="14"/>
                <w:color w:val="auto"/>
              </w:rPr>
              <w:t>Due 12/15/18)</w:t>
            </w:r>
          </w:p>
        </w:tc>
      </w:tr>
      <w:tr>
        <w:trPr>
          <w:trHeight w:val="624"/>
        </w:trPr>
        <w:tc>
          <w:tcPr>
            <w:tcW w:w="2540" w:type="dxa"/>
            <w:vAlign w:val="bottom"/>
          </w:tcPr>
          <w:p>
            <w:pPr>
              <w:spacing w:after="0"/>
              <w:rPr>
                <w:sz w:val="20"/>
                <w:szCs w:val="20"/>
                <w:color w:val="auto"/>
              </w:rPr>
            </w:pPr>
            <w:r>
              <w:rPr>
                <w:rFonts w:ascii="Arial" w:cs="Arial" w:eastAsia="Arial" w:hAnsi="Arial"/>
                <w:sz w:val="14"/>
                <w:szCs w:val="14"/>
                <w:color w:val="auto"/>
              </w:rPr>
              <w:t>Sparus Holdings, Inc.</w:t>
            </w:r>
          </w:p>
        </w:tc>
        <w:tc>
          <w:tcPr>
            <w:tcW w:w="2440" w:type="dxa"/>
            <w:vAlign w:val="bottom"/>
          </w:tcPr>
          <w:p>
            <w:pPr>
              <w:ind w:left="100"/>
              <w:spacing w:after="0"/>
              <w:rPr>
                <w:sz w:val="20"/>
                <w:szCs w:val="20"/>
                <w:color w:val="auto"/>
              </w:rPr>
            </w:pPr>
            <w:r>
              <w:rPr>
                <w:rFonts w:ascii="Arial" w:cs="Arial" w:eastAsia="Arial" w:hAnsi="Arial"/>
                <w:sz w:val="14"/>
                <w:szCs w:val="14"/>
                <w:color w:val="auto"/>
              </w:rPr>
              <w:t>Energy Services</w:t>
            </w:r>
          </w:p>
        </w:tc>
        <w:tc>
          <w:tcPr>
            <w:tcW w:w="2380" w:type="dxa"/>
            <w:vAlign w:val="bottom"/>
          </w:tcPr>
          <w:p>
            <w:pPr>
              <w:ind w:left="80"/>
              <w:spacing w:after="0"/>
              <w:rPr>
                <w:sz w:val="20"/>
                <w:szCs w:val="20"/>
                <w:color w:val="auto"/>
              </w:rPr>
            </w:pPr>
            <w:r>
              <w:rPr>
                <w:rFonts w:ascii="Arial" w:cs="Arial" w:eastAsia="Arial" w:hAnsi="Arial"/>
                <w:sz w:val="14"/>
                <w:szCs w:val="14"/>
                <w:color w:val="auto"/>
                <w:w w:val="93"/>
              </w:rPr>
              <w:t>Senior Secured Term Debt (12% Cash,</w:t>
            </w:r>
          </w:p>
        </w:tc>
      </w:tr>
      <w:tr>
        <w:trPr>
          <w:trHeight w:val="313"/>
        </w:trPr>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 xml:space="preserve">Due 9/30/16) </w:t>
            </w:r>
            <w:r>
              <w:rPr>
                <w:rFonts w:ascii="Arial" w:cs="Arial" w:eastAsia="Arial" w:hAnsi="Arial"/>
                <w:sz w:val="23"/>
                <w:szCs w:val="23"/>
                <w:color w:val="auto"/>
                <w:vertAlign w:val="superscript"/>
              </w:rPr>
              <w:t>(1)</w:t>
            </w:r>
          </w:p>
        </w:tc>
      </w:tr>
      <w:tr>
        <w:trPr>
          <w:trHeight w:val="197"/>
        </w:trPr>
        <w:tc>
          <w:tcPr>
            <w:tcW w:w="2540" w:type="dxa"/>
            <w:vAlign w:val="bottom"/>
          </w:tcPr>
          <w:p>
            <w:pPr>
              <w:spacing w:after="0"/>
              <w:rPr>
                <w:sz w:val="20"/>
                <w:szCs w:val="20"/>
                <w:color w:val="auto"/>
              </w:rPr>
            </w:pPr>
            <w:r>
              <w:rPr>
                <w:rFonts w:ascii="Arial" w:cs="Arial" w:eastAsia="Arial" w:hAnsi="Arial"/>
                <w:sz w:val="14"/>
                <w:szCs w:val="14"/>
                <w:color w:val="auto"/>
              </w:rPr>
              <w:t>Sparus Holdings, Inc.</w:t>
            </w:r>
          </w:p>
        </w:tc>
        <w:tc>
          <w:tcPr>
            <w:tcW w:w="2440" w:type="dxa"/>
            <w:vAlign w:val="bottom"/>
          </w:tcPr>
          <w:p>
            <w:pPr>
              <w:ind w:left="100"/>
              <w:spacing w:after="0"/>
              <w:rPr>
                <w:sz w:val="20"/>
                <w:szCs w:val="20"/>
                <w:color w:val="auto"/>
              </w:rPr>
            </w:pPr>
            <w:r>
              <w:rPr>
                <w:rFonts w:ascii="Arial" w:cs="Arial" w:eastAsia="Arial" w:hAnsi="Arial"/>
                <w:sz w:val="14"/>
                <w:szCs w:val="14"/>
                <w:color w:val="auto"/>
              </w:rPr>
              <w:t>Energy Services</w:t>
            </w:r>
          </w:p>
        </w:tc>
        <w:tc>
          <w:tcPr>
            <w:tcW w:w="2380" w:type="dxa"/>
            <w:vAlign w:val="bottom"/>
          </w:tcPr>
          <w:p>
            <w:pPr>
              <w:ind w:left="80"/>
              <w:spacing w:after="0"/>
              <w:rPr>
                <w:sz w:val="20"/>
                <w:szCs w:val="20"/>
                <w:color w:val="auto"/>
              </w:rPr>
            </w:pPr>
            <w:r>
              <w:rPr>
                <w:rFonts w:ascii="Arial" w:cs="Arial" w:eastAsia="Arial" w:hAnsi="Arial"/>
                <w:sz w:val="14"/>
                <w:szCs w:val="14"/>
                <w:color w:val="auto"/>
              </w:rPr>
              <w:t>Subordinated Debt (12% Cash, Due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-10428605</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-10145395</wp:posOffset>
            </wp:positionV>
            <wp:extent cx="724662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-9939655</wp:posOffset>
            </wp:positionV>
            <wp:extent cx="724662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-9733915</wp:posOffset>
            </wp:positionV>
            <wp:extent cx="724662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-9433560</wp:posOffset>
            </wp:positionV>
            <wp:extent cx="724662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-9227820</wp:posOffset>
            </wp:positionV>
            <wp:extent cx="724662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-8927465</wp:posOffset>
            </wp:positionV>
            <wp:extent cx="724662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-8721725</wp:posOffset>
            </wp:positionV>
            <wp:extent cx="724662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-8422005</wp:posOffset>
            </wp:positionV>
            <wp:extent cx="72466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-8215630</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-7933055</wp:posOffset>
            </wp:positionV>
            <wp:extent cx="72466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-7632700</wp:posOffset>
            </wp:positionV>
            <wp:extent cx="72466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-7426960</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-7101205</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-6895465</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-6569075</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-6363335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-6080760</wp:posOffset>
            </wp:positionV>
            <wp:extent cx="72466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-5772150</wp:posOffset>
            </wp:positionV>
            <wp:extent cx="72466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-5471795</wp:posOffset>
            </wp:positionV>
            <wp:extent cx="72466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-5266055</wp:posOffset>
            </wp:positionV>
            <wp:extent cx="724662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-4965700</wp:posOffset>
            </wp:positionV>
            <wp:extent cx="72466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-4759960</wp:posOffset>
            </wp:positionV>
            <wp:extent cx="72466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-4451350</wp:posOffset>
            </wp:positionV>
            <wp:extent cx="724662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-4150995</wp:posOffset>
            </wp:positionV>
            <wp:extent cx="72466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-3945255</wp:posOffset>
            </wp:positionV>
            <wp:extent cx="724662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-3644900</wp:posOffset>
            </wp:positionV>
            <wp:extent cx="72466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-3439160</wp:posOffset>
            </wp:positionV>
            <wp:extent cx="724662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-3138805</wp:posOffset>
            </wp:positionV>
            <wp:extent cx="72466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-2933065</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-2650490</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-2367280</wp:posOffset>
            </wp:positionV>
            <wp:extent cx="72466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-2135505</wp:posOffset>
            </wp:positionV>
            <wp:extent cx="72466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-1929765</wp:posOffset>
            </wp:positionV>
            <wp:extent cx="7246620" cy="197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-1629410</wp:posOffset>
            </wp:positionV>
            <wp:extent cx="724662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-1423670</wp:posOffset>
            </wp:positionV>
            <wp:extent cx="7246620"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-1123950</wp:posOffset>
            </wp:positionV>
            <wp:extent cx="724662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-918210</wp:posOffset>
            </wp:positionV>
            <wp:extent cx="7246620"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90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90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16,021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16,021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16,021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6.2%</w:t>
            </w:r>
          </w:p>
        </w:tc>
      </w:tr>
      <w:tr>
        <w:trPr>
          <w:trHeight w:val="44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1,575</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1,728</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17,596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17,749</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17,000</w:t>
            </w:r>
          </w:p>
        </w:tc>
        <w:tc>
          <w:tcPr>
            <w:tcW w:w="800" w:type="dxa"/>
            <w:vAlign w:val="bottom"/>
          </w:tcPr>
          <w:p>
            <w:pPr>
              <w:jc w:val="right"/>
              <w:spacing w:after="0"/>
              <w:rPr>
                <w:sz w:val="20"/>
                <w:szCs w:val="20"/>
                <w:color w:val="auto"/>
              </w:rPr>
            </w:pPr>
            <w:r>
              <w:rPr>
                <w:rFonts w:ascii="Arial" w:cs="Arial" w:eastAsia="Arial" w:hAnsi="Arial"/>
                <w:sz w:val="14"/>
                <w:szCs w:val="14"/>
                <w:color w:val="auto"/>
              </w:rPr>
              <w:t>16,699</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16,150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6.3%</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16,699</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16,150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6.3%</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2,000</w:t>
            </w: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5,000</w:t>
            </w:r>
          </w:p>
        </w:tc>
        <w:tc>
          <w:tcPr>
            <w:tcW w:w="800" w:type="dxa"/>
            <w:vAlign w:val="bottom"/>
          </w:tcPr>
          <w:p>
            <w:pPr>
              <w:jc w:val="right"/>
              <w:spacing w:after="0"/>
              <w:rPr>
                <w:sz w:val="20"/>
                <w:szCs w:val="20"/>
                <w:color w:val="auto"/>
              </w:rPr>
            </w:pPr>
            <w:r>
              <w:rPr>
                <w:rFonts w:ascii="Arial" w:cs="Arial" w:eastAsia="Arial" w:hAnsi="Arial"/>
                <w:sz w:val="14"/>
                <w:szCs w:val="14"/>
                <w:color w:val="auto"/>
              </w:rPr>
              <w:t>4,935</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4,935</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4,935</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4,935</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7,400</w:t>
            </w:r>
          </w:p>
        </w:tc>
        <w:tc>
          <w:tcPr>
            <w:tcW w:w="800" w:type="dxa"/>
            <w:vAlign w:val="bottom"/>
          </w:tcPr>
          <w:p>
            <w:pPr>
              <w:jc w:val="right"/>
              <w:spacing w:after="0"/>
              <w:rPr>
                <w:sz w:val="20"/>
                <w:szCs w:val="20"/>
                <w:color w:val="auto"/>
              </w:rPr>
            </w:pPr>
            <w:r>
              <w:rPr>
                <w:rFonts w:ascii="Arial" w:cs="Arial" w:eastAsia="Arial" w:hAnsi="Arial"/>
                <w:sz w:val="14"/>
                <w:szCs w:val="14"/>
                <w:color w:val="auto"/>
              </w:rPr>
              <w:t>7,182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6,586</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444"/>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12,000</w:t>
            </w:r>
          </w:p>
        </w:tc>
        <w:tc>
          <w:tcPr>
            <w:tcW w:w="800" w:type="dxa"/>
            <w:vAlign w:val="bottom"/>
          </w:tcPr>
          <w:p>
            <w:pPr>
              <w:jc w:val="right"/>
              <w:spacing w:after="0"/>
              <w:rPr>
                <w:sz w:val="20"/>
                <w:szCs w:val="20"/>
                <w:color w:val="auto"/>
              </w:rPr>
            </w:pPr>
            <w:r>
              <w:rPr>
                <w:rFonts w:ascii="Arial" w:cs="Arial" w:eastAsia="Arial" w:hAnsi="Arial"/>
                <w:sz w:val="14"/>
                <w:szCs w:val="14"/>
                <w:color w:val="auto"/>
              </w:rPr>
              <w:t>11,619</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10,440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18,801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17,026</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6.7%</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1,000</w:t>
            </w:r>
          </w:p>
        </w:tc>
        <w:tc>
          <w:tcPr>
            <w:tcW w:w="80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2,400</w:t>
            </w: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1,532</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1,532</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14,200</w:t>
            </w:r>
          </w:p>
        </w:tc>
        <w:tc>
          <w:tcPr>
            <w:tcW w:w="800" w:type="dxa"/>
            <w:vAlign w:val="bottom"/>
          </w:tcPr>
          <w:p>
            <w:pPr>
              <w:jc w:val="right"/>
              <w:spacing w:after="0"/>
              <w:rPr>
                <w:sz w:val="20"/>
                <w:szCs w:val="20"/>
                <w:color w:val="auto"/>
              </w:rPr>
            </w:pPr>
            <w:r>
              <w:rPr>
                <w:rFonts w:ascii="Arial" w:cs="Arial" w:eastAsia="Arial" w:hAnsi="Arial"/>
                <w:sz w:val="14"/>
                <w:szCs w:val="14"/>
                <w:color w:val="auto"/>
              </w:rPr>
              <w:t>14,190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5.5%</w:t>
            </w:r>
          </w:p>
        </w:tc>
      </w:tr>
      <w:tr>
        <w:trPr>
          <w:trHeight w:val="486"/>
        </w:trPr>
        <w:tc>
          <w:tcPr>
            <w:tcW w:w="6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3,181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3,181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44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2,998</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17,393</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20,379</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7.9%</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5,000</w:t>
            </w:r>
          </w:p>
        </w:tc>
        <w:tc>
          <w:tcPr>
            <w:tcW w:w="800" w:type="dxa"/>
            <w:vAlign w:val="bottom"/>
          </w:tcPr>
          <w:p>
            <w:pPr>
              <w:jc w:val="right"/>
              <w:spacing w:after="0"/>
              <w:rPr>
                <w:sz w:val="20"/>
                <w:szCs w:val="20"/>
                <w:color w:val="auto"/>
              </w:rPr>
            </w:pPr>
            <w:r>
              <w:rPr>
                <w:rFonts w:ascii="Arial" w:cs="Arial" w:eastAsia="Arial" w:hAnsi="Arial"/>
                <w:sz w:val="14"/>
                <w:szCs w:val="14"/>
                <w:color w:val="auto"/>
              </w:rPr>
              <w:t>5,029</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5,029</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5,029</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5,029</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14,667</w:t>
            </w:r>
          </w:p>
        </w:tc>
        <w:tc>
          <w:tcPr>
            <w:tcW w:w="800" w:type="dxa"/>
            <w:vAlign w:val="bottom"/>
          </w:tcPr>
          <w:p>
            <w:pPr>
              <w:jc w:val="right"/>
              <w:spacing w:after="0"/>
              <w:rPr>
                <w:sz w:val="20"/>
                <w:szCs w:val="20"/>
                <w:color w:val="auto"/>
              </w:rPr>
            </w:pPr>
            <w:r>
              <w:rPr>
                <w:rFonts w:ascii="Arial" w:cs="Arial" w:eastAsia="Arial" w:hAnsi="Arial"/>
                <w:sz w:val="14"/>
                <w:szCs w:val="14"/>
                <w:color w:val="auto"/>
              </w:rPr>
              <w:t>14,667</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14,667</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5.7%</w:t>
            </w:r>
          </w:p>
        </w:tc>
      </w:tr>
      <w:tr>
        <w:trPr>
          <w:trHeight w:val="44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1,333</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11,590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26,257</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10.2%</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20,000</w:t>
            </w: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7.8%</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7.8%</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15,000</w:t>
            </w:r>
          </w:p>
        </w:tc>
        <w:tc>
          <w:tcPr>
            <w:tcW w:w="800" w:type="dxa"/>
            <w:vAlign w:val="bottom"/>
          </w:tcPr>
          <w:p>
            <w:pPr>
              <w:jc w:val="right"/>
              <w:spacing w:after="0"/>
              <w:rPr>
                <w:sz w:val="20"/>
                <w:szCs w:val="20"/>
                <w:color w:val="auto"/>
              </w:rPr>
            </w:pPr>
            <w:r>
              <w:rPr>
                <w:rFonts w:ascii="Arial" w:cs="Arial" w:eastAsia="Arial" w:hAnsi="Arial"/>
                <w:sz w:val="14"/>
                <w:szCs w:val="14"/>
                <w:color w:val="auto"/>
              </w:rPr>
              <w:t>14,825</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14,614</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5.7%</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14,825</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14,614</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5.7%</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12,287</w:t>
            </w:r>
          </w:p>
        </w:tc>
        <w:tc>
          <w:tcPr>
            <w:tcW w:w="800" w:type="dxa"/>
            <w:vAlign w:val="bottom"/>
          </w:tcPr>
          <w:p>
            <w:pPr>
              <w:jc w:val="right"/>
              <w:spacing w:after="0"/>
              <w:rPr>
                <w:sz w:val="20"/>
                <w:szCs w:val="20"/>
                <w:color w:val="auto"/>
              </w:rPr>
            </w:pPr>
            <w:r>
              <w:rPr>
                <w:rFonts w:ascii="Arial" w:cs="Arial" w:eastAsia="Arial" w:hAnsi="Arial"/>
                <w:sz w:val="14"/>
                <w:szCs w:val="14"/>
                <w:color w:val="auto"/>
              </w:rPr>
              <w:t>12,287</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12,287</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4.8%</w:t>
            </w:r>
          </w:p>
        </w:tc>
      </w:tr>
      <w:tr>
        <w:trPr>
          <w:trHeight w:val="446"/>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9,054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9,054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9,054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3.5%</w:t>
            </w:r>
          </w:p>
        </w:tc>
      </w:tr>
      <w:tr>
        <w:trPr>
          <w:trHeight w:val="336"/>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24,431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24,431</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9.5%</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15,000</w:t>
            </w: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11,461</w:t>
            </w:r>
          </w:p>
        </w:tc>
        <w:tc>
          <w:tcPr>
            <w:tcW w:w="800" w:type="dxa"/>
            <w:vAlign w:val="bottom"/>
          </w:tcPr>
          <w:p>
            <w:pPr>
              <w:jc w:val="right"/>
              <w:spacing w:after="0"/>
              <w:rPr>
                <w:sz w:val="20"/>
                <w:szCs w:val="20"/>
                <w:color w:val="auto"/>
              </w:rPr>
            </w:pPr>
            <w:r>
              <w:rPr>
                <w:rFonts w:ascii="Arial" w:cs="Arial" w:eastAsia="Arial" w:hAnsi="Arial"/>
                <w:sz w:val="14"/>
                <w:szCs w:val="14"/>
                <w:color w:val="auto"/>
              </w:rPr>
              <w:t>11,318</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11,461</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11,318</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11,461</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15,000</w:t>
            </w: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5,120</w:t>
            </w:r>
          </w:p>
        </w:tc>
        <w:tc>
          <w:tcPr>
            <w:tcW w:w="800" w:type="dxa"/>
            <w:vAlign w:val="bottom"/>
          </w:tcPr>
          <w:p>
            <w:pPr>
              <w:jc w:val="right"/>
              <w:spacing w:after="0"/>
              <w:rPr>
                <w:sz w:val="20"/>
                <w:szCs w:val="20"/>
                <w:color w:val="auto"/>
              </w:rPr>
            </w:pPr>
            <w:r>
              <w:rPr>
                <w:rFonts w:ascii="Arial" w:cs="Arial" w:eastAsia="Arial" w:hAnsi="Arial"/>
                <w:sz w:val="14"/>
                <w:szCs w:val="14"/>
                <w:color w:val="auto"/>
              </w:rPr>
              <w:t>5,120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5,120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97"/>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5,380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5,380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5,380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2">
            <w:col w:w="7360" w:space="520"/>
            <w:col w:w="3520"/>
          </w:cols>
          <w:pgMar w:left="240" w:top="108" w:right="25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xml:space="preserve">9/30/16)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Taylor Precision Products, Inc.</w:t>
            </w:r>
          </w:p>
        </w:tc>
        <w:tc>
          <w:tcPr>
            <w:tcW w:w="2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Household Product Manufacturer</w:t>
            </w: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6"/>
              </w:rPr>
              <w:t>Series C Preferred Stock (379 shares)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Tenere, Inc.</w:t>
            </w:r>
          </w:p>
        </w:tc>
        <w:tc>
          <w:tcPr>
            <w:tcW w:w="2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Industrial Manufacturing</w:t>
            </w:r>
          </w:p>
        </w:tc>
        <w:tc>
          <w:tcPr>
            <w:tcW w:w="25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w w:val="94"/>
              </w:rPr>
              <w:t>Senior Secured Term Debt (11% Cash,</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520" w:type="dxa"/>
            <w:vAlign w:val="bottom"/>
            <w:shd w:val="clear" w:color="auto" w:fill="CCEEFF"/>
          </w:tcPr>
          <w:p>
            <w:pPr>
              <w:ind w:left="200"/>
              <w:spacing w:after="0" w:line="211" w:lineRule="exact"/>
              <w:rPr>
                <w:sz w:val="20"/>
                <w:szCs w:val="20"/>
                <w:color w:val="auto"/>
              </w:rPr>
            </w:pPr>
            <w:r>
              <w:rPr>
                <w:rFonts w:ascii="Arial" w:cs="Arial" w:eastAsia="Arial" w:hAnsi="Arial"/>
                <w:sz w:val="14"/>
                <w:szCs w:val="14"/>
                <w:color w:val="auto"/>
              </w:rPr>
              <w:t xml:space="preserve">2% PIK, Due 12/15/17) </w:t>
            </w:r>
            <w:r>
              <w:rPr>
                <w:rFonts w:ascii="Arial" w:cs="Arial" w:eastAsia="Arial" w:hAnsi="Arial"/>
                <w:sz w:val="23"/>
                <w:szCs w:val="23"/>
                <w:color w:val="auto"/>
                <w:vertAlign w:val="superscript"/>
              </w:rPr>
              <w:t>(9)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3,559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3,559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3,559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3,559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3,559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2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Oil &amp; Gas Services</w:t>
            </w:r>
          </w:p>
        </w:tc>
        <w:tc>
          <w:tcPr>
            <w:tcW w:w="25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8"/>
              </w:rPr>
              <w:t>Senior Secured Debt (L+11.5% Cash,</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0.5% Floor, Due 5/2/19)</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13,905</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13,859</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13,905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13,859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13,905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9"/>
              </w:rPr>
              <w:t>Velum Global Credit Management, LLC</w:t>
            </w:r>
          </w:p>
        </w:tc>
        <w:tc>
          <w:tcPr>
            <w:tcW w:w="2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Financial Services</w:t>
            </w:r>
          </w:p>
        </w:tc>
        <w:tc>
          <w:tcPr>
            <w:tcW w:w="25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Senior Secured Debt (15% PIK,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520" w:type="dxa"/>
            <w:vAlign w:val="bottom"/>
            <w:shd w:val="clear" w:color="auto" w:fill="CCEEFF"/>
          </w:tcPr>
          <w:p>
            <w:pPr>
              <w:ind w:left="200"/>
              <w:spacing w:after="0" w:line="211" w:lineRule="exact"/>
              <w:rPr>
                <w:sz w:val="20"/>
                <w:szCs w:val="20"/>
                <w:color w:val="auto"/>
              </w:rPr>
            </w:pPr>
            <w:r>
              <w:rPr>
                <w:rFonts w:ascii="Arial" w:cs="Arial" w:eastAsia="Arial" w:hAnsi="Arial"/>
                <w:sz w:val="14"/>
                <w:szCs w:val="14"/>
                <w:color w:val="auto"/>
              </w:rPr>
              <w:t xml:space="preserve">12/31/17) </w:t>
            </w:r>
            <w:r>
              <w:rPr>
                <w:rFonts w:ascii="Arial" w:cs="Arial" w:eastAsia="Arial" w:hAnsi="Arial"/>
                <w:sz w:val="23"/>
                <w:szCs w:val="23"/>
                <w:color w:val="auto"/>
                <w:vertAlign w:val="superscript"/>
              </w:rPr>
              <w:t>(1)(8)</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9,417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9,417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9,417</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2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Information Technology</w:t>
            </w:r>
          </w:p>
        </w:tc>
        <w:tc>
          <w:tcPr>
            <w:tcW w:w="25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8"/>
              </w:rPr>
              <w:t>Subordinated Debt (L+14% Cash, 1%</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Floor, Due 1/24/21)</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8,000</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Western Windows Systems, LLC</w:t>
            </w:r>
          </w:p>
        </w:tc>
        <w:tc>
          <w:tcPr>
            <w:tcW w:w="2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Building Products</w:t>
            </w:r>
          </w:p>
        </w:tc>
        <w:tc>
          <w:tcPr>
            <w:tcW w:w="25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Senior Secured Term Debt (12.2%</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52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Cash, Due 7/31/20) </w:t>
            </w:r>
            <w:r>
              <w:rPr>
                <w:rFonts w:ascii="Arial" w:cs="Arial" w:eastAsia="Arial" w:hAnsi="Arial"/>
                <w:sz w:val="22"/>
                <w:szCs w:val="22"/>
                <w:color w:val="auto"/>
                <w:vertAlign w:val="superscript"/>
              </w:rPr>
              <w:t>(3)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Western Windows Systems, LLC</w:t>
            </w:r>
          </w:p>
        </w:tc>
        <w:tc>
          <w:tcPr>
            <w:tcW w:w="2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Building Products</w:t>
            </w: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Membership units (39,860 units)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4,987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18,987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238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23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387,712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401,251</w:t>
            </w:r>
          </w:p>
        </w:tc>
        <w:tc>
          <w:tcPr>
            <w:tcW w:w="94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2"/>
                <w:szCs w:val="12"/>
                <w:color w:val="auto"/>
              </w:rPr>
              <w:t>155.9</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- 38.9%</w:t>
            </w:r>
          </w:p>
        </w:tc>
        <w:tc>
          <w:tcPr>
            <w:tcW w:w="23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2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Automobile Part Manufacturer</w:t>
            </w:r>
          </w:p>
        </w:tc>
        <w:tc>
          <w:tcPr>
            <w:tcW w:w="25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6"/>
              </w:rPr>
              <w:t>Senior Subordinated Debt (14% Cash,</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8/9/19)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3,000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2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Automobile Part Manufacturer</w:t>
            </w:r>
          </w:p>
        </w:tc>
        <w:tc>
          <w:tcPr>
            <w:tcW w:w="25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7"/>
              </w:rPr>
              <w:t>Junior Subordinated Debt (12% Cash,</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8/9/19)</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5,828</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5,828</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5,828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Automobile Part Manufacturer</w:t>
            </w: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Stock (1,253,198 shares)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2,634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10,332</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11,462</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2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Footwear Retail</w:t>
            </w:r>
          </w:p>
        </w:tc>
        <w:tc>
          <w:tcPr>
            <w:tcW w:w="25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Subordinated Debt (13% Cash,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52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9/28/17)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8,231</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8,231</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2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Footwear Retail</w:t>
            </w:r>
          </w:p>
        </w:tc>
        <w:tc>
          <w:tcPr>
            <w:tcW w:w="25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Preferred Membership Units (2.78%</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52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fully diluted, 9% Cash Dividend) </w:t>
            </w:r>
            <w:r>
              <w:rPr>
                <w:rFonts w:ascii="Arial" w:cs="Arial" w:eastAsia="Arial" w:hAnsi="Arial"/>
                <w:sz w:val="22"/>
                <w:szCs w:val="22"/>
                <w:color w:val="auto"/>
                <w:vertAlign w:val="superscript"/>
              </w:rPr>
              <w:t>(6)</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Footwear Retail</w:t>
            </w:r>
          </w:p>
        </w:tc>
        <w:tc>
          <w:tcPr>
            <w:tcW w:w="25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Membership Unit Warrants (11.38%</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fully diluted)</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9,240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18,740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GA Communications, Inc.</w:t>
            </w:r>
          </w:p>
        </w:tc>
        <w:tc>
          <w:tcPr>
            <w:tcW w:w="2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Advertising &amp; Marketing Services</w:t>
            </w:r>
          </w:p>
        </w:tc>
        <w:tc>
          <w:tcPr>
            <w:tcW w:w="25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Series A-1 Preferred Stock (1,998</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52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shares, 8% PIK dividend) </w:t>
            </w:r>
            <w:r>
              <w:rPr>
                <w:rFonts w:ascii="Arial" w:cs="Arial" w:eastAsia="Arial" w:hAnsi="Arial"/>
                <w:sz w:val="22"/>
                <w:szCs w:val="22"/>
                <w:color w:val="auto"/>
                <w:vertAlign w:val="superscript"/>
              </w:rPr>
              <w:t>(6)</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2,470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2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Advertising &amp; Marketing Services</w:t>
            </w:r>
          </w:p>
        </w:tc>
        <w:tc>
          <w:tcPr>
            <w:tcW w:w="25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Series B-1 Common Stock (200,000</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1,128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2,472</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3,945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J&amp;J Produce Holdings, Inc.</w:t>
            </w:r>
          </w:p>
        </w:tc>
        <w:tc>
          <w:tcPr>
            <w:tcW w:w="2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Produce Distribution</w:t>
            </w:r>
          </w:p>
        </w:tc>
        <w:tc>
          <w:tcPr>
            <w:tcW w:w="25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Subordinated Debt (13% Cash,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52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7/16/18) </w:t>
            </w:r>
            <w:r>
              <w:rPr>
                <w:rFonts w:ascii="Arial" w:cs="Arial" w:eastAsia="Arial" w:hAnsi="Arial"/>
                <w:sz w:val="22"/>
                <w:szCs w:val="22"/>
                <w:color w:val="auto"/>
                <w:vertAlign w:val="superscript"/>
              </w:rPr>
              <w:t>(12)</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5,182</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5,182</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2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Produce Distribution</w:t>
            </w:r>
          </w:p>
        </w:tc>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 (8,182 shares)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Produce Distribution</w:t>
            </w:r>
          </w:p>
        </w:tc>
        <w:tc>
          <w:tcPr>
            <w:tcW w:w="25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Stock Warrants (4,506</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QSR Franchisor</w:t>
            </w: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Stock (1,500,000 shares)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3,373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3,373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 LLC</w:t>
            </w:r>
          </w:p>
        </w:tc>
        <w:tc>
          <w:tcPr>
            <w:tcW w:w="2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Specialty Clothing</w:t>
            </w:r>
          </w:p>
        </w:tc>
        <w:tc>
          <w:tcPr>
            <w:tcW w:w="25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Series A Preferred Units (2,000,000</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units)</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4,438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4,438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Medical Device Distributor</w:t>
            </w:r>
          </w:p>
        </w:tc>
        <w:tc>
          <w:tcPr>
            <w:tcW w:w="25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w w:val="97"/>
              </w:rPr>
              <w:t>Senior Secured Debt (12% Cash,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52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1/31/17)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Medical Device Distributor</w:t>
            </w:r>
          </w:p>
        </w:tc>
        <w:tc>
          <w:tcPr>
            <w:tcW w:w="25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Subordinated Debt (6% Cash,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52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1/31/17)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400</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38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Medical Device Distributor</w:t>
            </w:r>
          </w:p>
        </w:tc>
        <w:tc>
          <w:tcPr>
            <w:tcW w:w="25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Preferred Units (1,000 units, 6% PIK</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52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(6)</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1,236</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1,370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Medical Device Distributor</w:t>
            </w:r>
          </w:p>
        </w:tc>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7"/>
              </w:rPr>
              <w:t>Common Membership Units (45 units)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4,224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23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Retail Display &amp; Security Services</w:t>
            </w:r>
          </w:p>
        </w:tc>
        <w:tc>
          <w:tcPr>
            <w:tcW w:w="25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Subordinated Debt (12% Cash, Due</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252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11/1/18)</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8,000</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8,000</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8,000</w:t>
            </w:r>
          </w:p>
        </w:tc>
        <w:tc>
          <w:tcPr>
            <w:tcW w:w="9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ectPr>
          <w:pgSz w:w="11900" w:h="16900" w:orient="portrait"/>
          <w:cols w:equalWidth="0" w:num="1">
            <w:col w:w="11420"/>
          </w:cols>
          <w:pgMar w:left="240" w:top="78" w:right="2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MTI Holdings, LLC</w:t>
            </w:r>
          </w:p>
        </w:tc>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Retail Display &amp; Security Services</w:t>
            </w: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Membership Units (2,000,000 units)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12,626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20,626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Source Capital ABUTEC, LLC</w:t>
            </w:r>
          </w:p>
        </w:tc>
        <w:tc>
          <w:tcPr>
            <w:tcW w:w="24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95"/>
              </w:rPr>
              <w:t>Senior Secured Term Debt (12% Cash,</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4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3% PIK, Due 12/28/17) </w:t>
            </w:r>
            <w:r>
              <w:rPr>
                <w:rFonts w:ascii="Arial" w:cs="Arial" w:eastAsia="Arial" w:hAnsi="Arial"/>
                <w:sz w:val="22"/>
                <w:szCs w:val="22"/>
                <w:color w:val="auto"/>
                <w:vertAlign w:val="superscript"/>
              </w:rPr>
              <w:t>(2)(11)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5,994</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5,404</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Preferred Membership Units (10.5%</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fully diluted)</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1,240</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6,644</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Automotive Chemicals &amp; Lubricants</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Subordinated Debt (13% Cash, Due</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2/17/17)</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Automotive Chemicals &amp; Lubricants</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Warrants (6.65%</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ownership)</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Penray, LLC</w:t>
            </w:r>
          </w:p>
        </w:tc>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Automotive Chemicals &amp; Lubricants</w:t>
            </w: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Membership Units (11.3% ownership)</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3,250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4,159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STX Healthcare Management Services,</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Dental Practice Management</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8"/>
              </w:rPr>
              <w:t>Subordinated Debt (12.5% Cash, Due</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400" w:type="dxa"/>
            <w:vAlign w:val="bottom"/>
            <w:shd w:val="clear" w:color="auto" w:fill="CCEEFF"/>
          </w:tcPr>
          <w:p>
            <w:pPr>
              <w:spacing w:after="0"/>
              <w:rPr>
                <w:sz w:val="18"/>
                <w:szCs w:val="18"/>
                <w:color w:val="auto"/>
              </w:rPr>
            </w:pPr>
          </w:p>
        </w:tc>
        <w:tc>
          <w:tcPr>
            <w:tcW w:w="2480" w:type="dxa"/>
            <w:vAlign w:val="bottom"/>
            <w:shd w:val="clear" w:color="auto" w:fill="CCEEFF"/>
          </w:tcPr>
          <w:p>
            <w:pPr>
              <w:ind w:left="140"/>
              <w:spacing w:after="0" w:line="208" w:lineRule="exact"/>
              <w:rPr>
                <w:sz w:val="20"/>
                <w:szCs w:val="20"/>
                <w:color w:val="auto"/>
              </w:rPr>
            </w:pPr>
            <w:r>
              <w:rPr>
                <w:rFonts w:ascii="Arial" w:cs="Arial" w:eastAsia="Arial" w:hAnsi="Arial"/>
                <w:sz w:val="14"/>
                <w:szCs w:val="14"/>
                <w:color w:val="auto"/>
              </w:rPr>
              <w:t xml:space="preserve">7/31/18)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6,425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6,398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STX Healthcare Management Services,</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Dental Practice Management</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(1,200,000 shares)</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STX Healthcare Management Services,</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Dental Practice Management</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Warrants (1,154,254</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400" w:type="dxa"/>
            <w:vAlign w:val="bottom"/>
            <w:shd w:val="clear" w:color="auto" w:fill="CCEEFF"/>
          </w:tcPr>
          <w:p>
            <w:pPr>
              <w:spacing w:after="0"/>
              <w:rPr>
                <w:sz w:val="15"/>
                <w:szCs w:val="15"/>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1,076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7,843</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8,592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TCE Holdings, Inc.</w:t>
            </w:r>
          </w:p>
        </w:tc>
        <w:tc>
          <w:tcPr>
            <w:tcW w:w="24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Subordinated Debt (12% Cash, 2%</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4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PIK, Due 2/1/19) </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13,787</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13,649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2,783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TCE Holdings, Inc.</w:t>
            </w:r>
          </w:p>
        </w:tc>
        <w:tc>
          <w:tcPr>
            <w:tcW w:w="24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Subordinated Debt (12% Cash, 2%</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4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PIK, Due 2/1/19) </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10,986</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10,876</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TCE Holdings, Inc.</w:t>
            </w:r>
          </w:p>
        </w:tc>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Class A Common Stock (3,600 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3,734</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28,259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9"/>
              </w:rPr>
              <w:t>Senior Secured Term Debt (15% PIK,</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11/26/16)</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490</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98"/>
              </w:rPr>
              <w:t>Bridge Note (0% Cash, Due 11/26/16)</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663</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Tier 2 Note (0% Cash, Due 11/26/16)</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Senior Subordinated Note (0% Cash,</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4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Due 11/26/16)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3,563</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3,563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Tier 3 Note (0% Cash, Due 11/26/16)</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299</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98"/>
              </w:rPr>
              <w:t>Jr. Subordinated Note (0% Cash, Due</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4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11/26/16)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2,750</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Tier 4 Note (0% Cash, Due 11/26/16)</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243</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Series A-1 Preferred Stock (255,102</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Series A-3 Preferred Stock (88,194</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Series A-5 Preferred Stock (20,530</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Warrants (2,063,629</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3,471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8,979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4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94,520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100,161</w:t>
            </w:r>
          </w:p>
        </w:tc>
        <w:tc>
          <w:tcPr>
            <w:tcW w:w="9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38.9</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- 38.2%</w:t>
            </w:r>
          </w:p>
        </w:tc>
        <w:tc>
          <w:tcPr>
            <w:tcW w:w="24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 Retail</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5"/>
              </w:rPr>
              <w:t>Senior Secured Term Debt (12% Cash,</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 PIK, Due 5/24/18)</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11,137</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11,137</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CableOrganizer Acquisition, LLC</w:t>
            </w:r>
          </w:p>
        </w:tc>
        <w:tc>
          <w:tcPr>
            <w:tcW w:w="24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Computer Supply Retail</w:t>
            </w:r>
          </w:p>
        </w:tc>
        <w:tc>
          <w:tcPr>
            <w:tcW w:w="24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(1,125,000 shares)</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1,125</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Supply Retail</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Warrants (570,000</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12,262</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w w:val="99"/>
              </w:rPr>
              <w:t>Capitala Senior Liquid Loan Fund I, LLC</w:t>
            </w:r>
          </w:p>
        </w:tc>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Fund</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Common Stock (80% ownership) </w:t>
            </w:r>
            <w:r>
              <w:rPr>
                <w:rFonts w:ascii="Arial" w:cs="Arial" w:eastAsia="Arial" w:hAnsi="Arial"/>
                <w:sz w:val="23"/>
                <w:szCs w:val="23"/>
                <w:color w:val="auto"/>
                <w:vertAlign w:val="superscript"/>
              </w:rPr>
              <w:t>(8)</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18,510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18,510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24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Subordinated Debt (L+13.0% Cash,</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0.5% Floor, Due 4/29/20)</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24,000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19,508</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Business Services</w:t>
            </w: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Membership Units (30% fully diluted)</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4,733</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4,733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24,241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28,733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Conglomerate</w:t>
            </w: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Subordinated Debt (10% Cash, Due</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1,862</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900" w:orient="portrait"/>
          <w:cols w:equalWidth="0" w:num="1">
            <w:col w:w="11420"/>
          </w:cols>
          <w:pgMar w:left="240" w:top="281"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9/16/16)</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24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Conglomerate</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Subordinated Debt (14% Cash, 4%</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PIK, Due 9/16/16)</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3,869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3,869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3,869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Conglomerate</w:t>
            </w: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Series A Preferred Units (47 units)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7,360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7,360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24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Textile Equipment Manufacturer</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Senior Secured Term Debt (15%, 2%</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278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PIK at company's option, Due</w:t>
            </w: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780" w:type="dxa"/>
            <w:vAlign w:val="bottom"/>
            <w:shd w:val="clear" w:color="auto" w:fill="CCEEFF"/>
          </w:tcPr>
          <w:p>
            <w:pPr>
              <w:ind w:left="260"/>
              <w:spacing w:after="0" w:line="198" w:lineRule="exact"/>
              <w:rPr>
                <w:sz w:val="20"/>
                <w:szCs w:val="20"/>
                <w:color w:val="auto"/>
              </w:rPr>
            </w:pPr>
            <w:r>
              <w:rPr>
                <w:rFonts w:ascii="Arial" w:cs="Arial" w:eastAsia="Arial" w:hAnsi="Arial"/>
                <w:sz w:val="14"/>
                <w:szCs w:val="14"/>
                <w:color w:val="auto"/>
              </w:rPr>
              <w:t xml:space="preserve">10/30/20) </w:t>
            </w:r>
            <w:r>
              <w:rPr>
                <w:rFonts w:ascii="Arial" w:cs="Arial" w:eastAsia="Arial" w:hAnsi="Arial"/>
                <w:sz w:val="22"/>
                <w:szCs w:val="22"/>
                <w:color w:val="auto"/>
                <w:vertAlign w:val="superscript"/>
              </w:rPr>
              <w:t>(1) (10)</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Navis Holdings, Inc.</w:t>
            </w:r>
          </w:p>
        </w:tc>
        <w:tc>
          <w:tcPr>
            <w:tcW w:w="244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rPr>
              <w:t>Textile Equipment Manufacturer</w:t>
            </w:r>
          </w:p>
        </w:tc>
        <w:tc>
          <w:tcPr>
            <w:tcW w:w="2780" w:type="dxa"/>
            <w:vAlign w:val="bottom"/>
            <w:shd w:val="clear" w:color="auto" w:fill="CCEEFF"/>
          </w:tcPr>
          <w:p>
            <w:pPr>
              <w:ind w:left="260"/>
              <w:spacing w:after="0" w:line="140" w:lineRule="exact"/>
              <w:rPr>
                <w:sz w:val="20"/>
                <w:szCs w:val="20"/>
                <w:color w:val="auto"/>
              </w:rPr>
            </w:pPr>
            <w:r>
              <w:rPr>
                <w:rFonts w:ascii="Arial" w:cs="Arial" w:eastAsia="Arial" w:hAnsi="Arial"/>
                <w:sz w:val="14"/>
                <w:szCs w:val="14"/>
                <w:color w:val="auto"/>
              </w:rPr>
              <w:t>Class A Preferred Stock (1,000 shares,</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780" w:type="dxa"/>
            <w:vAlign w:val="bottom"/>
            <w:shd w:val="clear" w:color="auto" w:fill="CCEEFF"/>
          </w:tcPr>
          <w:p>
            <w:pPr>
              <w:ind w:left="260"/>
              <w:spacing w:after="0" w:line="198" w:lineRule="exact"/>
              <w:rPr>
                <w:sz w:val="20"/>
                <w:szCs w:val="20"/>
                <w:color w:val="auto"/>
              </w:rPr>
            </w:pPr>
            <w:r>
              <w:rPr>
                <w:rFonts w:ascii="Arial" w:cs="Arial" w:eastAsia="Arial" w:hAnsi="Arial"/>
                <w:sz w:val="14"/>
                <w:szCs w:val="14"/>
                <w:color w:val="auto"/>
              </w:rPr>
              <w:t xml:space="preserve">10% Cash Dividend) </w:t>
            </w:r>
            <w:r>
              <w:rPr>
                <w:rFonts w:ascii="Arial" w:cs="Arial" w:eastAsia="Arial" w:hAnsi="Arial"/>
                <w:sz w:val="22"/>
                <w:szCs w:val="22"/>
                <w:color w:val="auto"/>
                <w:vertAlign w:val="superscript"/>
              </w:rPr>
              <w:t>(6)</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Textile Equipment Manufacturer</w:t>
            </w: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(300,000 shares)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On-Site Fuel Services, Inc.</w:t>
            </w:r>
          </w:p>
        </w:tc>
        <w:tc>
          <w:tcPr>
            <w:tcW w:w="244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rPr>
              <w:t>Fuel Transportation Services</w:t>
            </w:r>
          </w:p>
        </w:tc>
        <w:tc>
          <w:tcPr>
            <w:tcW w:w="2780" w:type="dxa"/>
            <w:vAlign w:val="bottom"/>
            <w:shd w:val="clear" w:color="auto" w:fill="CCEEFF"/>
          </w:tcPr>
          <w:p>
            <w:pPr>
              <w:ind w:left="260"/>
              <w:spacing w:after="0" w:line="140" w:lineRule="exact"/>
              <w:rPr>
                <w:sz w:val="20"/>
                <w:szCs w:val="20"/>
                <w:color w:val="auto"/>
              </w:rPr>
            </w:pPr>
            <w:r>
              <w:rPr>
                <w:rFonts w:ascii="Arial" w:cs="Arial" w:eastAsia="Arial" w:hAnsi="Arial"/>
                <w:sz w:val="14"/>
                <w:szCs w:val="14"/>
                <w:color w:val="auto"/>
              </w:rPr>
              <w:t>Subordinated Debt (14% Cash, 4%</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780" w:type="dxa"/>
            <w:vAlign w:val="bottom"/>
            <w:shd w:val="clear" w:color="auto" w:fill="CCEEFF"/>
          </w:tcPr>
          <w:p>
            <w:pPr>
              <w:ind w:left="260"/>
              <w:spacing w:after="0" w:line="198" w:lineRule="exact"/>
              <w:rPr>
                <w:sz w:val="20"/>
                <w:szCs w:val="20"/>
                <w:color w:val="auto"/>
              </w:rPr>
            </w:pPr>
            <w:r>
              <w:rPr>
                <w:rFonts w:ascii="Arial" w:cs="Arial" w:eastAsia="Arial" w:hAnsi="Arial"/>
                <w:sz w:val="14"/>
                <w:szCs w:val="14"/>
                <w:color w:val="auto"/>
              </w:rPr>
              <w:t xml:space="preserve">PIK, Due 12/19/16) </w:t>
            </w:r>
            <w:r>
              <w:rPr>
                <w:rFonts w:ascii="Arial" w:cs="Arial" w:eastAsia="Arial" w:hAnsi="Arial"/>
                <w:sz w:val="22"/>
                <w:szCs w:val="22"/>
                <w:color w:val="auto"/>
                <w:vertAlign w:val="superscript"/>
              </w:rPr>
              <w:t>(2)</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8,632</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8,448</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3,455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4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Fuel Transportation Services</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Series A Preferred Stock (32,782</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shares)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3,278</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4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Fuel Transportation Services</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Series B Preferred Stock (23,648</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shares)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2,365</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Fuel Transportation Services</w:t>
            </w: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(33,107 shares)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14,124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3,455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Print Direction, Inc.</w:t>
            </w:r>
          </w:p>
        </w:tc>
        <w:tc>
          <w:tcPr>
            <w:tcW w:w="24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Printing Services</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Senior Secured Term Debt (10% Cash,</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 PIK, Due 2/24/19)</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16,110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16,110</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 Direction, Inc.</w:t>
            </w:r>
          </w:p>
        </w:tc>
        <w:tc>
          <w:tcPr>
            <w:tcW w:w="2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Printing Services</w:t>
            </w:r>
          </w:p>
        </w:tc>
        <w:tc>
          <w:tcPr>
            <w:tcW w:w="27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Stock (18,543 shares)</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2,990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Printing Services</w:t>
            </w: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Warrants (820 shares)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19,100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16,432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w:t>
            </w:r>
          </w:p>
        </w:tc>
        <w:tc>
          <w:tcPr>
            <w:tcW w:w="244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104,588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98,329</w:t>
            </w:r>
          </w:p>
        </w:tc>
        <w:tc>
          <w:tcPr>
            <w:tcW w:w="9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38.2</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- 233%</w:t>
            </w:r>
          </w:p>
        </w:tc>
        <w:tc>
          <w:tcPr>
            <w:tcW w:w="244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586,820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599,741</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233.0</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$257,419 as of March 31,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jc w:val="both"/>
        <w:ind w:right="6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March 31, 2016, 8.0% of the Company's total assets were non-qualifying assets.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amended to 15% PIK through March 31, 2016.</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amended to 15% through June 30, 2016.</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was amended to zero. The Company will receive earn-out payments of up to $2.4 million in satisfaction of the debt.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24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Industry</w:t>
            </w: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Non-control/Non-affiliated investments -</w:t>
            </w:r>
          </w:p>
        </w:tc>
        <w:tc>
          <w:tcPr>
            <w:tcW w:w="2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150.5%</w:t>
            </w: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AAE Acquisition, LLC</w:t>
            </w:r>
          </w:p>
        </w:tc>
        <w:tc>
          <w:tcPr>
            <w:tcW w:w="24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Industrial Equipment Rental</w:t>
            </w:r>
          </w:p>
        </w:tc>
        <w:tc>
          <w:tcPr>
            <w:tcW w:w="23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3"/>
              </w:rPr>
              <w:t>Senior Secured Term Debt (12% Cash,</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Due 3/31/18) </w:t>
            </w:r>
            <w:r>
              <w:rPr>
                <w:rFonts w:ascii="Arial" w:cs="Arial" w:eastAsia="Arial" w:hAnsi="Arial"/>
                <w:sz w:val="22"/>
                <w:szCs w:val="22"/>
                <w:color w:val="auto"/>
                <w:vertAlign w:val="superscript"/>
              </w:rPr>
              <w:t>(1)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AAE Acquisition, LLC</w:t>
            </w: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Industrial Equipment Rental</w:t>
            </w: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(14% fully diluted)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2,181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13,181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 LLC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Senior Secured Debt (L+9.5% Cash,</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1% Floor, Due 6/11/20)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9,750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9,750</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9,750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American Exteriors, LLC</w:t>
            </w:r>
          </w:p>
        </w:tc>
        <w:tc>
          <w:tcPr>
            <w:tcW w:w="24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Replacement Window Manufacturer</w:t>
            </w:r>
          </w:p>
        </w:tc>
        <w:tc>
          <w:tcPr>
            <w:tcW w:w="23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6"/>
              </w:rPr>
              <w:t>Senior Secured Debt (14% Cash, Due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1/15/16) </w:t>
            </w:r>
            <w:r>
              <w:rPr>
                <w:rFonts w:ascii="Arial" w:cs="Arial" w:eastAsia="Arial" w:hAnsi="Arial"/>
                <w:sz w:val="22"/>
                <w:szCs w:val="22"/>
                <w:color w:val="auto"/>
                <w:vertAlign w:val="superscript"/>
              </w:rPr>
              <w:t>(1)(2)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4,879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3,679</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3,196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Replacement Window Manufacturer</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Warrants (15% fully</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3,679</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3,196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 (14% Cash, Due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7/23/20)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9,992</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 Warrants (91,739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5,408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10,012</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15,408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Online Merchandise Retailer</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Senior Secured Term Debt (L+7.5%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Cash, 1% Floor, Due 11/7/20)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4,529</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4,382</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4,382</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Boot Barn Holdings, Inc</w:t>
            </w: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Western Wear Retail</w:t>
            </w:r>
          </w:p>
        </w:tc>
        <w:tc>
          <w:tcPr>
            <w:tcW w:w="23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Common Stock (95,252 shares) </w:t>
            </w:r>
            <w:r>
              <w:rPr>
                <w:rFonts w:ascii="Arial" w:cs="Arial" w:eastAsia="Arial" w:hAnsi="Arial"/>
                <w:sz w:val="23"/>
                <w:szCs w:val="23"/>
                <w:color w:val="auto"/>
                <w:vertAlign w:val="superscript"/>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1,171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1,171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Brock Holdings III,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Industrial Specialty Services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 (L+8.25% Cash,</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1.75% Floor, Due 3/16/18)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4,881</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4,881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4,881</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4,881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Bowling Products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Senior Secured Term Debt (L+6.0%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Cash, 2% Floor, Due 5/22/20)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Bowling Products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Subordinated Debt (L+14.25% Cash,</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2% Floor, Due 5/22/20)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6,983</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6,983</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6,983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Brunswick Bowling Products, Inc.</w:t>
            </w:r>
          </w:p>
        </w:tc>
        <w:tc>
          <w:tcPr>
            <w:tcW w:w="24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Bowling Products</w:t>
            </w:r>
          </w:p>
        </w:tc>
        <w:tc>
          <w:tcPr>
            <w:tcW w:w="23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Preferred Shares (2,966 shares, 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line="211"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3,141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12,101</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12,124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 LLC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Home Repair Parts Manufacturer</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Senior Secured Term Debt (9.5% Cash,</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Due 4/30/20)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4,868</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Burke America Parts Group, LLC</w:t>
            </w: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Home Repair Parts Manufacturer</w:t>
            </w: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Membership Units (14 units)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4,873</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5,401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Caregiver Services, Inc.</w:t>
            </w:r>
          </w:p>
        </w:tc>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In-Home Healthcare Services</w:t>
            </w: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(293,186 shares)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Caregiver Services, Inc.</w:t>
            </w:r>
          </w:p>
        </w:tc>
        <w:tc>
          <w:tcPr>
            <w:tcW w:w="24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In-Home Healthcare Services</w:t>
            </w:r>
          </w:p>
        </w:tc>
        <w:tc>
          <w:tcPr>
            <w:tcW w:w="23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Common Stock Warrants (655,908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Cedar Electronics Holding Corp.</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Electronics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 (12% Cash,</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Matures 12/26/20)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Community Choice Financial,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Financial Services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Senior Secured Revolving Debt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(L+13.0% Cash, 1% Floor, Due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line="211" w:lineRule="exact"/>
              <w:rPr>
                <w:sz w:val="20"/>
                <w:szCs w:val="20"/>
                <w:color w:val="auto"/>
              </w:rPr>
            </w:pPr>
            <w:r>
              <w:rPr>
                <w:rFonts w:ascii="Arial" w:cs="Arial" w:eastAsia="Arial" w:hAnsi="Arial"/>
                <w:sz w:val="14"/>
                <w:szCs w:val="14"/>
                <w:color w:val="auto"/>
              </w:rPr>
              <w:t xml:space="preserve">3/27/17) </w:t>
            </w:r>
            <w:r>
              <w:rPr>
                <w:rFonts w:ascii="Arial" w:cs="Arial" w:eastAsia="Arial" w:hAnsi="Arial"/>
                <w:sz w:val="23"/>
                <w:szCs w:val="23"/>
                <w:color w:val="auto"/>
                <w:vertAlign w:val="superscript"/>
              </w:rPr>
              <w:t>(8) (11)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17,161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17,161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17,161</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Construction Partners, Inc.</w:t>
            </w:r>
          </w:p>
        </w:tc>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Construction Services</w:t>
            </w: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Subordinated Debt (11.5% Cash, Due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6/12/20)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Visions, Inc.</w:t>
            </w:r>
          </w:p>
        </w:tc>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&amp; Marketing Services</w:t>
            </w: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w w:val="94"/>
              </w:rPr>
              <w:t>Subordinated Debt (9% Cash, 2% PIK,</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15,941</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15,941</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15,941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Due 11/29/21)</w:t>
            </w:r>
          </w:p>
        </w:tc>
        <w:tc>
          <w:tcPr>
            <w:tcW w:w="660" w:type="dxa"/>
            <w:vAlign w:val="bottom"/>
          </w:tcPr>
          <w:p>
            <w:pPr>
              <w:spacing w:after="0"/>
              <w:rPr>
                <w:sz w:val="15"/>
                <w:szCs w:val="15"/>
                <w:color w:val="auto"/>
              </w:rPr>
            </w:pPr>
          </w:p>
        </w:tc>
      </w:tr>
      <w:tr>
        <w:trPr>
          <w:trHeight w:val="297"/>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44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640" w:type="dxa"/>
            <w:vAlign w:val="bottom"/>
          </w:tcPr>
          <w:p>
            <w:pPr>
              <w:ind w:left="80"/>
              <w:spacing w:after="0"/>
              <w:rPr>
                <w:sz w:val="20"/>
                <w:szCs w:val="20"/>
                <w:color w:val="auto"/>
              </w:rPr>
            </w:pPr>
            <w:r>
              <w:rPr>
                <w:rFonts w:ascii="Arial" w:cs="Arial" w:eastAsia="Arial" w:hAnsi="Arial"/>
                <w:sz w:val="14"/>
                <w:szCs w:val="14"/>
                <w:color w:val="auto"/>
              </w:rPr>
              <w:t>Common Stock (15,750 shares)</w:t>
            </w:r>
          </w:p>
        </w:tc>
        <w:tc>
          <w:tcPr>
            <w:tcW w:w="660" w:type="dxa"/>
            <w:vAlign w:val="bottom"/>
          </w:tcPr>
          <w:p>
            <w:pPr>
              <w:spacing w:after="0"/>
              <w:rPr>
                <w:sz w:val="24"/>
                <w:szCs w:val="24"/>
                <w:color w:val="auto"/>
              </w:rPr>
            </w:pP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Crowley Holdings, Inc.</w:t>
            </w:r>
          </w:p>
        </w:tc>
        <w:tc>
          <w:tcPr>
            <w:tcW w:w="244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640" w:type="dxa"/>
            <w:vAlign w:val="bottom"/>
          </w:tcPr>
          <w:p>
            <w:pPr>
              <w:ind w:left="80"/>
              <w:spacing w:after="0"/>
              <w:rPr>
                <w:sz w:val="20"/>
                <w:szCs w:val="20"/>
                <w:color w:val="auto"/>
              </w:rPr>
            </w:pPr>
            <w:r>
              <w:rPr>
                <w:rFonts w:ascii="Arial" w:cs="Arial" w:eastAsia="Arial" w:hAnsi="Arial"/>
                <w:sz w:val="14"/>
                <w:szCs w:val="14"/>
                <w:color w:val="auto"/>
              </w:rPr>
              <w:t>Series A Income Preferred Shares</w:t>
            </w:r>
          </w:p>
        </w:tc>
        <w:tc>
          <w:tcPr>
            <w:tcW w:w="660" w:type="dxa"/>
            <w:vAlign w:val="bottom"/>
          </w:tcPr>
          <w:p>
            <w:pPr>
              <w:spacing w:after="0"/>
              <w:rPr>
                <w:sz w:val="24"/>
                <w:szCs w:val="24"/>
                <w:color w:val="auto"/>
              </w:rPr>
            </w:pPr>
          </w:p>
        </w:tc>
      </w:tr>
      <w:tr>
        <w:trPr>
          <w:trHeight w:val="158"/>
        </w:trPr>
        <w:tc>
          <w:tcPr>
            <w:tcW w:w="2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640" w:type="dxa"/>
            <w:vAlign w:val="bottom"/>
          </w:tcPr>
          <w:p>
            <w:pPr>
              <w:ind w:left="80"/>
              <w:spacing w:after="0" w:line="159" w:lineRule="exact"/>
              <w:rPr>
                <w:sz w:val="20"/>
                <w:szCs w:val="20"/>
                <w:color w:val="auto"/>
              </w:rPr>
            </w:pPr>
            <w:r>
              <w:rPr>
                <w:rFonts w:ascii="Arial" w:cs="Arial" w:eastAsia="Arial" w:hAnsi="Arial"/>
                <w:sz w:val="14"/>
                <w:szCs w:val="14"/>
                <w:color w:val="auto"/>
              </w:rPr>
              <w:t>(6,000 shares, 10% Cash, 2% PIK</w:t>
            </w:r>
          </w:p>
        </w:tc>
        <w:tc>
          <w:tcPr>
            <w:tcW w:w="660" w:type="dxa"/>
            <w:vAlign w:val="bottom"/>
          </w:tcPr>
          <w:p>
            <w:pPr>
              <w:spacing w:after="0"/>
              <w:rPr>
                <w:sz w:val="13"/>
                <w:szCs w:val="13"/>
                <w:color w:val="auto"/>
              </w:rPr>
            </w:pPr>
          </w:p>
        </w:tc>
      </w:tr>
      <w:tr>
        <w:trPr>
          <w:trHeight w:val="313"/>
        </w:trPr>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c>
          <w:tcPr>
            <w:tcW w:w="660" w:type="dxa"/>
            <w:vAlign w:val="bottom"/>
          </w:tcPr>
          <w:p>
            <w:pPr>
              <w:spacing w:after="0"/>
              <w:rPr>
                <w:sz w:val="24"/>
                <w:szCs w:val="24"/>
                <w:color w:val="auto"/>
              </w:rPr>
            </w:pPr>
          </w:p>
        </w:tc>
      </w:tr>
      <w:tr>
        <w:trPr>
          <w:trHeight w:val="514"/>
        </w:trPr>
        <w:tc>
          <w:tcPr>
            <w:tcW w:w="2540" w:type="dxa"/>
            <w:vAlign w:val="bottom"/>
          </w:tcPr>
          <w:p>
            <w:pPr>
              <w:spacing w:after="0"/>
              <w:rPr>
                <w:sz w:val="20"/>
                <w:szCs w:val="20"/>
                <w:color w:val="auto"/>
              </w:rPr>
            </w:pPr>
            <w:r>
              <w:rPr>
                <w:rFonts w:ascii="Arial" w:cs="Arial" w:eastAsia="Arial" w:hAnsi="Arial"/>
                <w:sz w:val="14"/>
                <w:szCs w:val="14"/>
                <w:color w:val="auto"/>
              </w:rPr>
              <w:t>CSM Bakery Solutions, LLC</w:t>
            </w:r>
          </w:p>
        </w:tc>
        <w:tc>
          <w:tcPr>
            <w:tcW w:w="2440" w:type="dxa"/>
            <w:vAlign w:val="bottom"/>
          </w:tcPr>
          <w:p>
            <w:pPr>
              <w:ind w:left="100"/>
              <w:spacing w:after="0"/>
              <w:rPr>
                <w:sz w:val="20"/>
                <w:szCs w:val="20"/>
                <w:color w:val="auto"/>
              </w:rPr>
            </w:pPr>
            <w:r>
              <w:rPr>
                <w:rFonts w:ascii="Arial" w:cs="Arial" w:eastAsia="Arial" w:hAnsi="Arial"/>
                <w:sz w:val="14"/>
                <w:szCs w:val="14"/>
                <w:color w:val="auto"/>
              </w:rPr>
              <w:t>Bakery Supplies Distributor</w:t>
            </w:r>
          </w:p>
        </w:tc>
        <w:tc>
          <w:tcPr>
            <w:tcW w:w="2640" w:type="dxa"/>
            <w:vAlign w:val="bottom"/>
          </w:tcPr>
          <w:p>
            <w:pPr>
              <w:ind w:left="80"/>
              <w:spacing w:after="0"/>
              <w:rPr>
                <w:sz w:val="20"/>
                <w:szCs w:val="20"/>
                <w:color w:val="auto"/>
              </w:rPr>
            </w:pPr>
            <w:r>
              <w:rPr>
                <w:rFonts w:ascii="Arial" w:cs="Arial" w:eastAsia="Arial" w:hAnsi="Arial"/>
                <w:sz w:val="14"/>
                <w:szCs w:val="14"/>
                <w:color w:val="auto"/>
              </w:rPr>
              <w:t>Subordinated Debt (L+7.75% Cash, 1%</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Floor, Due 8/7/22)</w:t>
            </w:r>
          </w:p>
        </w:tc>
        <w:tc>
          <w:tcPr>
            <w:tcW w:w="660" w:type="dxa"/>
            <w:vAlign w:val="bottom"/>
          </w:tcPr>
          <w:p>
            <w:pPr>
              <w:jc w:val="right"/>
              <w:spacing w:after="0"/>
              <w:rPr>
                <w:sz w:val="20"/>
                <w:szCs w:val="20"/>
                <w:color w:val="auto"/>
              </w:rPr>
            </w:pPr>
            <w:r>
              <w:rPr>
                <w:rFonts w:ascii="Arial" w:cs="Arial" w:eastAsia="Arial" w:hAnsi="Arial"/>
                <w:sz w:val="14"/>
                <w:szCs w:val="14"/>
                <w:color w:val="auto"/>
              </w:rPr>
              <w:t>17,000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DSW Homes, LLC</w:t>
            </w:r>
          </w:p>
        </w:tc>
        <w:tc>
          <w:tcPr>
            <w:tcW w:w="2440" w:type="dxa"/>
            <w:vAlign w:val="bottom"/>
          </w:tcPr>
          <w:p>
            <w:pPr>
              <w:ind w:left="100"/>
              <w:spacing w:after="0"/>
              <w:rPr>
                <w:sz w:val="20"/>
                <w:szCs w:val="20"/>
                <w:color w:val="auto"/>
              </w:rPr>
            </w:pPr>
            <w:r>
              <w:rPr>
                <w:rFonts w:ascii="Arial" w:cs="Arial" w:eastAsia="Arial" w:hAnsi="Arial"/>
                <w:sz w:val="14"/>
                <w:szCs w:val="14"/>
                <w:color w:val="auto"/>
              </w:rPr>
              <w:t>Disaster Recovery Homebuilding</w:t>
            </w:r>
          </w:p>
        </w:tc>
        <w:tc>
          <w:tcPr>
            <w:tcW w:w="2640" w:type="dxa"/>
            <w:vAlign w:val="bottom"/>
          </w:tcPr>
          <w:p>
            <w:pPr>
              <w:ind w:left="80"/>
              <w:spacing w:after="0"/>
              <w:rPr>
                <w:sz w:val="20"/>
                <w:szCs w:val="20"/>
                <w:color w:val="auto"/>
              </w:rPr>
            </w:pPr>
            <w:r>
              <w:rPr>
                <w:rFonts w:ascii="Arial" w:cs="Arial" w:eastAsia="Arial" w:hAnsi="Arial"/>
                <w:sz w:val="14"/>
                <w:szCs w:val="14"/>
                <w:color w:val="auto"/>
              </w:rPr>
              <w:t>Subordinated Debt (L+12% Cash, Due</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9/24/18)</w:t>
            </w:r>
          </w:p>
        </w:tc>
        <w:tc>
          <w:tcPr>
            <w:tcW w:w="66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w w:val="98"/>
              </w:rPr>
              <w:t>Emerging Markets Communications, LLC</w:t>
            </w:r>
          </w:p>
        </w:tc>
        <w:tc>
          <w:tcPr>
            <w:tcW w:w="2440" w:type="dxa"/>
            <w:vAlign w:val="bottom"/>
          </w:tcPr>
          <w:p>
            <w:pPr>
              <w:ind w:left="100"/>
              <w:spacing w:after="0"/>
              <w:rPr>
                <w:sz w:val="20"/>
                <w:szCs w:val="20"/>
                <w:color w:val="auto"/>
              </w:rPr>
            </w:pPr>
            <w:r>
              <w:rPr>
                <w:rFonts w:ascii="Arial" w:cs="Arial" w:eastAsia="Arial" w:hAnsi="Arial"/>
                <w:sz w:val="14"/>
                <w:szCs w:val="14"/>
                <w:color w:val="auto"/>
              </w:rPr>
              <w:t>Satellite Communications</w:t>
            </w:r>
          </w:p>
        </w:tc>
        <w:tc>
          <w:tcPr>
            <w:tcW w:w="2640" w:type="dxa"/>
            <w:vAlign w:val="bottom"/>
          </w:tcPr>
          <w:p>
            <w:pPr>
              <w:ind w:left="80"/>
              <w:spacing w:after="0"/>
              <w:rPr>
                <w:sz w:val="20"/>
                <w:szCs w:val="20"/>
                <w:color w:val="auto"/>
              </w:rPr>
            </w:pPr>
            <w:r>
              <w:rPr>
                <w:rFonts w:ascii="Arial" w:cs="Arial" w:eastAsia="Arial" w:hAnsi="Arial"/>
                <w:sz w:val="14"/>
                <w:szCs w:val="14"/>
                <w:color w:val="auto"/>
              </w:rPr>
              <w:t>Subordinated Debt (L+9.625% Cash,</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1% Floor, Due 7/1/22)</w:t>
            </w:r>
          </w:p>
        </w:tc>
        <w:tc>
          <w:tcPr>
            <w:tcW w:w="66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44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640" w:type="dxa"/>
            <w:vAlign w:val="bottom"/>
          </w:tcPr>
          <w:p>
            <w:pPr>
              <w:ind w:left="80"/>
              <w:spacing w:after="0"/>
              <w:rPr>
                <w:sz w:val="20"/>
                <w:szCs w:val="20"/>
                <w:color w:val="auto"/>
              </w:rPr>
            </w:pPr>
            <w:r>
              <w:rPr>
                <w:rFonts w:ascii="Arial" w:cs="Arial" w:eastAsia="Arial" w:hAnsi="Arial"/>
                <w:sz w:val="14"/>
                <w:szCs w:val="14"/>
                <w:color w:val="auto"/>
              </w:rPr>
              <w:t>Senior Secured Term Debt (L+5.75%</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Cash, 1% Floor, Due 4/3/20)</w:t>
            </w:r>
          </w:p>
        </w:tc>
        <w:tc>
          <w:tcPr>
            <w:tcW w:w="660" w:type="dxa"/>
            <w:vAlign w:val="bottom"/>
          </w:tcPr>
          <w:p>
            <w:pPr>
              <w:jc w:val="right"/>
              <w:spacing w:after="0"/>
              <w:rPr>
                <w:sz w:val="20"/>
                <w:szCs w:val="20"/>
                <w:color w:val="auto"/>
              </w:rPr>
            </w:pPr>
            <w:r>
              <w:rPr>
                <w:rFonts w:ascii="Arial" w:cs="Arial" w:eastAsia="Arial" w:hAnsi="Arial"/>
                <w:sz w:val="14"/>
                <w:szCs w:val="14"/>
                <w:color w:val="auto"/>
              </w:rPr>
              <w:t>7,500</w:t>
            </w:r>
          </w:p>
        </w:tc>
      </w:tr>
      <w:tr>
        <w:trPr>
          <w:trHeight w:val="263"/>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44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640" w:type="dxa"/>
            <w:vAlign w:val="bottom"/>
          </w:tcPr>
          <w:p>
            <w:pPr>
              <w:ind w:left="80"/>
              <w:spacing w:after="0"/>
              <w:rPr>
                <w:sz w:val="20"/>
                <w:szCs w:val="20"/>
                <w:color w:val="auto"/>
              </w:rPr>
            </w:pPr>
            <w:r>
              <w:rPr>
                <w:rFonts w:ascii="Arial" w:cs="Arial" w:eastAsia="Arial" w:hAnsi="Arial"/>
                <w:sz w:val="14"/>
                <w:szCs w:val="14"/>
                <w:color w:val="auto"/>
              </w:rPr>
              <w:t>Subordinated Debt (L+10% Cash, 1%</w:t>
            </w:r>
          </w:p>
        </w:tc>
        <w:tc>
          <w:tcPr>
            <w:tcW w:w="660" w:type="dxa"/>
            <w:vAlign w:val="bottom"/>
          </w:tcPr>
          <w:p>
            <w:pPr>
              <w:spacing w:after="0"/>
              <w:rPr>
                <w:sz w:val="22"/>
                <w:szCs w:val="22"/>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Floor, Due 10/3/21)</w:t>
            </w:r>
          </w:p>
        </w:tc>
        <w:tc>
          <w:tcPr>
            <w:tcW w:w="66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624"/>
        </w:trPr>
        <w:tc>
          <w:tcPr>
            <w:tcW w:w="2540" w:type="dxa"/>
            <w:vAlign w:val="bottom"/>
          </w:tcPr>
          <w:p>
            <w:pPr>
              <w:spacing w:after="0"/>
              <w:rPr>
                <w:sz w:val="20"/>
                <w:szCs w:val="20"/>
                <w:color w:val="auto"/>
              </w:rPr>
            </w:pPr>
            <w:r>
              <w:rPr>
                <w:rFonts w:ascii="Arial" w:cs="Arial" w:eastAsia="Arial" w:hAnsi="Arial"/>
                <w:sz w:val="14"/>
                <w:szCs w:val="14"/>
                <w:color w:val="auto"/>
              </w:rPr>
              <w:t>Group Cirque du Soleil, Inc.</w:t>
            </w:r>
          </w:p>
        </w:tc>
        <w:tc>
          <w:tcPr>
            <w:tcW w:w="2440" w:type="dxa"/>
            <w:vAlign w:val="bottom"/>
          </w:tcPr>
          <w:p>
            <w:pPr>
              <w:ind w:left="100"/>
              <w:spacing w:after="0"/>
              <w:rPr>
                <w:sz w:val="20"/>
                <w:szCs w:val="20"/>
                <w:color w:val="auto"/>
              </w:rPr>
            </w:pPr>
            <w:r>
              <w:rPr>
                <w:rFonts w:ascii="Arial" w:cs="Arial" w:eastAsia="Arial" w:hAnsi="Arial"/>
                <w:sz w:val="14"/>
                <w:szCs w:val="14"/>
                <w:color w:val="auto"/>
              </w:rPr>
              <w:t>Entertainment</w:t>
            </w:r>
          </w:p>
        </w:tc>
        <w:tc>
          <w:tcPr>
            <w:tcW w:w="2640" w:type="dxa"/>
            <w:vAlign w:val="bottom"/>
          </w:tcPr>
          <w:p>
            <w:pPr>
              <w:ind w:left="80"/>
              <w:spacing w:after="0"/>
              <w:rPr>
                <w:sz w:val="20"/>
                <w:szCs w:val="20"/>
                <w:color w:val="auto"/>
              </w:rPr>
            </w:pPr>
            <w:r>
              <w:rPr>
                <w:rFonts w:ascii="Arial" w:cs="Arial" w:eastAsia="Arial" w:hAnsi="Arial"/>
                <w:sz w:val="14"/>
                <w:szCs w:val="14"/>
                <w:color w:val="auto"/>
              </w:rPr>
              <w:t>Subordinated Debt (L+8.25% Cash, 1%</w:t>
            </w:r>
          </w:p>
        </w:tc>
        <w:tc>
          <w:tcPr>
            <w:tcW w:w="660" w:type="dxa"/>
            <w:vAlign w:val="bottom"/>
          </w:tcPr>
          <w:p>
            <w:pPr>
              <w:spacing w:after="0"/>
              <w:rPr>
                <w:sz w:val="24"/>
                <w:szCs w:val="24"/>
                <w:color w:val="auto"/>
              </w:rPr>
            </w:pPr>
          </w:p>
        </w:tc>
      </w:tr>
      <w:tr>
        <w:trPr>
          <w:trHeight w:val="313"/>
        </w:trPr>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 xml:space="preserve">Floor, Due 7/8/23) </w:t>
            </w:r>
            <w:r>
              <w:rPr>
                <w:rFonts w:ascii="Arial" w:cs="Arial" w:eastAsia="Arial" w:hAnsi="Arial"/>
                <w:sz w:val="23"/>
                <w:szCs w:val="23"/>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524"/>
        </w:trPr>
        <w:tc>
          <w:tcPr>
            <w:tcW w:w="2540" w:type="dxa"/>
            <w:vAlign w:val="bottom"/>
          </w:tcPr>
          <w:p>
            <w:pPr>
              <w:spacing w:after="0"/>
              <w:rPr>
                <w:sz w:val="20"/>
                <w:szCs w:val="20"/>
                <w:color w:val="auto"/>
              </w:rPr>
            </w:pPr>
            <w:r>
              <w:rPr>
                <w:rFonts w:ascii="Arial" w:cs="Arial" w:eastAsia="Arial" w:hAnsi="Arial"/>
                <w:sz w:val="14"/>
                <w:szCs w:val="14"/>
                <w:color w:val="auto"/>
                <w:w w:val="99"/>
              </w:rPr>
              <w:t>Immersive Media Tactical Solutions, LLC</w:t>
            </w:r>
          </w:p>
        </w:tc>
        <w:tc>
          <w:tcPr>
            <w:tcW w:w="2440" w:type="dxa"/>
            <w:vAlign w:val="bottom"/>
          </w:tcPr>
          <w:p>
            <w:pPr>
              <w:ind w:left="100"/>
              <w:spacing w:after="0"/>
              <w:rPr>
                <w:sz w:val="20"/>
                <w:szCs w:val="20"/>
                <w:color w:val="auto"/>
              </w:rPr>
            </w:pPr>
            <w:r>
              <w:rPr>
                <w:rFonts w:ascii="Arial" w:cs="Arial" w:eastAsia="Arial" w:hAnsi="Arial"/>
                <w:sz w:val="14"/>
                <w:szCs w:val="14"/>
                <w:color w:val="auto"/>
              </w:rPr>
              <w:t>Specialty Defense Contractor</w:t>
            </w:r>
          </w:p>
        </w:tc>
        <w:tc>
          <w:tcPr>
            <w:tcW w:w="2640" w:type="dxa"/>
            <w:vAlign w:val="bottom"/>
          </w:tcPr>
          <w:p>
            <w:pPr>
              <w:ind w:left="80"/>
              <w:spacing w:after="0"/>
              <w:rPr>
                <w:sz w:val="20"/>
                <w:szCs w:val="20"/>
                <w:color w:val="auto"/>
              </w:rPr>
            </w:pPr>
            <w:r>
              <w:rPr>
                <w:rFonts w:ascii="Arial" w:cs="Arial" w:eastAsia="Arial" w:hAnsi="Arial"/>
                <w:sz w:val="14"/>
                <w:szCs w:val="14"/>
                <w:color w:val="auto"/>
              </w:rPr>
              <w:t>Senior Secured Term Debt (Due</w:t>
            </w:r>
          </w:p>
        </w:tc>
        <w:tc>
          <w:tcPr>
            <w:tcW w:w="660" w:type="dxa"/>
            <w:vAlign w:val="bottom"/>
          </w:tcPr>
          <w:p>
            <w:pPr>
              <w:spacing w:after="0"/>
              <w:rPr>
                <w:sz w:val="24"/>
                <w:szCs w:val="24"/>
                <w:color w:val="auto"/>
              </w:rPr>
            </w:pPr>
          </w:p>
        </w:tc>
      </w:tr>
      <w:tr>
        <w:trPr>
          <w:trHeight w:val="313"/>
        </w:trPr>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 xml:space="preserve">12/9/19) </w:t>
            </w:r>
            <w:r>
              <w:rPr>
                <w:rFonts w:ascii="Arial" w:cs="Arial" w:eastAsia="Arial" w:hAnsi="Arial"/>
                <w:sz w:val="23"/>
                <w:szCs w:val="23"/>
                <w:color w:val="auto"/>
                <w:vertAlign w:val="superscript"/>
              </w:rPr>
              <w:t>(14)</w:t>
            </w:r>
          </w:p>
        </w:tc>
        <w:tc>
          <w:tcPr>
            <w:tcW w:w="660" w:type="dxa"/>
            <w:vAlign w:val="bottom"/>
          </w:tcPr>
          <w:p>
            <w:pPr>
              <w:jc w:val="right"/>
              <w:spacing w:after="0"/>
              <w:rPr>
                <w:sz w:val="20"/>
                <w:szCs w:val="20"/>
                <w:color w:val="auto"/>
              </w:rPr>
            </w:pPr>
            <w:r>
              <w:rPr>
                <w:rFonts w:ascii="Arial" w:cs="Arial" w:eastAsia="Arial" w:hAnsi="Arial"/>
                <w:sz w:val="14"/>
                <w:szCs w:val="14"/>
                <w:color w:val="auto"/>
              </w:rPr>
              <w:t>2,400</w:t>
            </w:r>
          </w:p>
        </w:tc>
      </w:tr>
      <w:tr>
        <w:trPr>
          <w:trHeight w:val="514"/>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44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640" w:type="dxa"/>
            <w:vAlign w:val="bottom"/>
          </w:tcPr>
          <w:p>
            <w:pPr>
              <w:ind w:left="80"/>
              <w:spacing w:after="0"/>
              <w:rPr>
                <w:sz w:val="20"/>
                <w:szCs w:val="20"/>
                <w:color w:val="auto"/>
              </w:rPr>
            </w:pPr>
            <w:r>
              <w:rPr>
                <w:rFonts w:ascii="Arial" w:cs="Arial" w:eastAsia="Arial" w:hAnsi="Arial"/>
                <w:sz w:val="14"/>
                <w:szCs w:val="14"/>
                <w:color w:val="auto"/>
              </w:rPr>
              <w:t>Senior Secured Debt (14% Cash, Due</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3/31/19)</w:t>
            </w:r>
          </w:p>
        </w:tc>
        <w:tc>
          <w:tcPr>
            <w:tcW w:w="660" w:type="dxa"/>
            <w:vAlign w:val="bottom"/>
          </w:tcPr>
          <w:p>
            <w:pPr>
              <w:jc w:val="right"/>
              <w:spacing w:after="0"/>
              <w:rPr>
                <w:sz w:val="20"/>
                <w:szCs w:val="20"/>
                <w:color w:val="auto"/>
              </w:rPr>
            </w:pPr>
            <w:r>
              <w:rPr>
                <w:rFonts w:ascii="Arial" w:cs="Arial" w:eastAsia="Arial" w:hAnsi="Arial"/>
                <w:sz w:val="14"/>
                <w:szCs w:val="14"/>
                <w:color w:val="auto"/>
              </w:rPr>
              <w:t>14,562</w:t>
            </w:r>
          </w:p>
        </w:tc>
      </w:tr>
      <w:tr>
        <w:trPr>
          <w:trHeight w:val="273"/>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44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640" w:type="dxa"/>
            <w:vAlign w:val="bottom"/>
          </w:tcPr>
          <w:p>
            <w:pPr>
              <w:ind w:left="80"/>
              <w:spacing w:after="0"/>
              <w:rPr>
                <w:sz w:val="20"/>
                <w:szCs w:val="20"/>
                <w:color w:val="auto"/>
              </w:rPr>
            </w:pPr>
            <w:r>
              <w:rPr>
                <w:rFonts w:ascii="Arial" w:cs="Arial" w:eastAsia="Arial" w:hAnsi="Arial"/>
                <w:sz w:val="14"/>
                <w:szCs w:val="14"/>
                <w:color w:val="auto"/>
              </w:rPr>
              <w:t>Preferred Units (1,000 units, 10% PIK</w:t>
            </w:r>
          </w:p>
        </w:tc>
        <w:tc>
          <w:tcPr>
            <w:tcW w:w="660" w:type="dxa"/>
            <w:vAlign w:val="bottom"/>
          </w:tcPr>
          <w:p>
            <w:pPr>
              <w:spacing w:after="0"/>
              <w:rPr>
                <w:sz w:val="23"/>
                <w:szCs w:val="23"/>
                <w:color w:val="auto"/>
              </w:rPr>
            </w:pPr>
          </w:p>
        </w:tc>
      </w:tr>
      <w:tr>
        <w:trPr>
          <w:trHeight w:val="313"/>
        </w:trPr>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c>
          <w:tcPr>
            <w:tcW w:w="660" w:type="dxa"/>
            <w:vAlign w:val="bottom"/>
          </w:tcPr>
          <w:p>
            <w:pPr>
              <w:spacing w:after="0"/>
              <w:rPr>
                <w:sz w:val="24"/>
                <w:szCs w:val="24"/>
                <w:color w:val="auto"/>
              </w:rPr>
            </w:pPr>
          </w:p>
        </w:tc>
      </w:tr>
      <w:tr>
        <w:trPr>
          <w:trHeight w:val="163"/>
        </w:trPr>
        <w:tc>
          <w:tcPr>
            <w:tcW w:w="254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2440" w:type="dxa"/>
            <w:vAlign w:val="bottom"/>
          </w:tcPr>
          <w:p>
            <w:pPr>
              <w:ind w:left="100"/>
              <w:spacing w:after="0"/>
              <w:rPr>
                <w:sz w:val="20"/>
                <w:szCs w:val="20"/>
                <w:color w:val="auto"/>
              </w:rPr>
            </w:pPr>
            <w:r>
              <w:rPr>
                <w:rFonts w:ascii="Arial" w:cs="Arial" w:eastAsia="Arial" w:hAnsi="Arial"/>
                <w:sz w:val="14"/>
                <w:szCs w:val="14"/>
                <w:color w:val="auto"/>
              </w:rPr>
              <w:t>Transportation</w:t>
            </w:r>
          </w:p>
        </w:tc>
        <w:tc>
          <w:tcPr>
            <w:tcW w:w="2640" w:type="dxa"/>
            <w:vAlign w:val="bottom"/>
          </w:tcPr>
          <w:p>
            <w:pPr>
              <w:ind w:left="80"/>
              <w:spacing w:after="0"/>
              <w:rPr>
                <w:sz w:val="20"/>
                <w:szCs w:val="20"/>
                <w:color w:val="auto"/>
              </w:rPr>
            </w:pPr>
            <w:r>
              <w:rPr>
                <w:rFonts w:ascii="Arial" w:cs="Arial" w:eastAsia="Arial" w:hAnsi="Arial"/>
                <w:sz w:val="14"/>
                <w:szCs w:val="14"/>
                <w:color w:val="auto"/>
              </w:rPr>
              <w:t>Common Stock Warrants (15% fully</w:t>
            </w:r>
          </w:p>
        </w:tc>
        <w:tc>
          <w:tcPr>
            <w:tcW w:w="660" w:type="dxa"/>
            <w:vAlign w:val="bottom"/>
          </w:tcPr>
          <w:p>
            <w:pPr>
              <w:spacing w:after="0"/>
              <w:rPr>
                <w:sz w:val="14"/>
                <w:szCs w:val="1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diluted)</w:t>
            </w:r>
          </w:p>
        </w:tc>
        <w:tc>
          <w:tcPr>
            <w:tcW w:w="660" w:type="dxa"/>
            <w:vAlign w:val="bottom"/>
          </w:tcPr>
          <w:p>
            <w:pPr>
              <w:spacing w:after="0"/>
              <w:rPr>
                <w:sz w:val="15"/>
                <w:szCs w:val="15"/>
                <w:color w:val="auto"/>
              </w:rPr>
            </w:pP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Maxim Crane Works, L.P.</w:t>
            </w:r>
          </w:p>
        </w:tc>
        <w:tc>
          <w:tcPr>
            <w:tcW w:w="2440" w:type="dxa"/>
            <w:vAlign w:val="bottom"/>
          </w:tcPr>
          <w:p>
            <w:pPr>
              <w:ind w:left="100"/>
              <w:spacing w:after="0"/>
              <w:rPr>
                <w:sz w:val="20"/>
                <w:szCs w:val="20"/>
                <w:color w:val="auto"/>
              </w:rPr>
            </w:pPr>
            <w:r>
              <w:rPr>
                <w:rFonts w:ascii="Arial" w:cs="Arial" w:eastAsia="Arial" w:hAnsi="Arial"/>
                <w:sz w:val="14"/>
                <w:szCs w:val="14"/>
                <w:color w:val="auto"/>
              </w:rPr>
              <w:t>Crane Rental and Sales</w:t>
            </w:r>
          </w:p>
        </w:tc>
        <w:tc>
          <w:tcPr>
            <w:tcW w:w="2640" w:type="dxa"/>
            <w:vAlign w:val="bottom"/>
          </w:tcPr>
          <w:p>
            <w:pPr>
              <w:ind w:left="80"/>
              <w:spacing w:after="0"/>
              <w:rPr>
                <w:sz w:val="20"/>
                <w:szCs w:val="20"/>
                <w:color w:val="auto"/>
              </w:rPr>
            </w:pPr>
            <w:r>
              <w:rPr>
                <w:rFonts w:ascii="Arial" w:cs="Arial" w:eastAsia="Arial" w:hAnsi="Arial"/>
                <w:sz w:val="14"/>
                <w:szCs w:val="14"/>
                <w:color w:val="auto"/>
              </w:rPr>
              <w:t>Subordinated Debt (L+9.25% Cash, 1%</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Floor, Due 11/26/18)</w:t>
            </w:r>
          </w:p>
        </w:tc>
        <w:tc>
          <w:tcPr>
            <w:tcW w:w="66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624"/>
        </w:trPr>
        <w:tc>
          <w:tcPr>
            <w:tcW w:w="2540" w:type="dxa"/>
            <w:vAlign w:val="bottom"/>
          </w:tcPr>
          <w:p>
            <w:pPr>
              <w:spacing w:after="0"/>
              <w:rPr>
                <w:sz w:val="20"/>
                <w:szCs w:val="20"/>
                <w:color w:val="auto"/>
              </w:rPr>
            </w:pPr>
            <w:r>
              <w:rPr>
                <w:rFonts w:ascii="Arial" w:cs="Arial" w:eastAsia="Arial" w:hAnsi="Arial"/>
                <w:sz w:val="14"/>
                <w:szCs w:val="14"/>
                <w:color w:val="auto"/>
              </w:rPr>
              <w:t>Medical Depot, Inc.</w:t>
            </w:r>
          </w:p>
        </w:tc>
        <w:tc>
          <w:tcPr>
            <w:tcW w:w="2440" w:type="dxa"/>
            <w:vAlign w:val="bottom"/>
          </w:tcPr>
          <w:p>
            <w:pPr>
              <w:ind w:left="100"/>
              <w:spacing w:after="0"/>
              <w:rPr>
                <w:sz w:val="20"/>
                <w:szCs w:val="20"/>
                <w:color w:val="auto"/>
              </w:rPr>
            </w:pPr>
            <w:r>
              <w:rPr>
                <w:rFonts w:ascii="Arial" w:cs="Arial" w:eastAsia="Arial" w:hAnsi="Arial"/>
                <w:sz w:val="14"/>
                <w:szCs w:val="14"/>
                <w:color w:val="auto"/>
              </w:rPr>
              <w:t>Medical Device Distributor</w:t>
            </w:r>
          </w:p>
        </w:tc>
        <w:tc>
          <w:tcPr>
            <w:tcW w:w="2640" w:type="dxa"/>
            <w:vAlign w:val="bottom"/>
          </w:tcPr>
          <w:p>
            <w:pPr>
              <w:ind w:left="80"/>
              <w:spacing w:after="0"/>
              <w:rPr>
                <w:sz w:val="20"/>
                <w:szCs w:val="20"/>
                <w:color w:val="auto"/>
              </w:rPr>
            </w:pPr>
            <w:r>
              <w:rPr>
                <w:rFonts w:ascii="Arial" w:cs="Arial" w:eastAsia="Arial" w:hAnsi="Arial"/>
                <w:sz w:val="14"/>
                <w:szCs w:val="14"/>
                <w:color w:val="auto"/>
              </w:rPr>
              <w:t>Subordinated Debt (14% Cash, Due</w:t>
            </w:r>
          </w:p>
        </w:tc>
        <w:tc>
          <w:tcPr>
            <w:tcW w:w="660" w:type="dxa"/>
            <w:vAlign w:val="bottom"/>
          </w:tcPr>
          <w:p>
            <w:pPr>
              <w:spacing w:after="0"/>
              <w:rPr>
                <w:sz w:val="24"/>
                <w:szCs w:val="24"/>
                <w:color w:val="auto"/>
              </w:rPr>
            </w:pPr>
          </w:p>
        </w:tc>
      </w:tr>
      <w:tr>
        <w:trPr>
          <w:trHeight w:val="313"/>
        </w:trPr>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 xml:space="preserve">9/27/20) </w:t>
            </w:r>
            <w:r>
              <w:rPr>
                <w:rFonts w:ascii="Arial" w:cs="Arial" w:eastAsia="Arial" w:hAnsi="Arial"/>
                <w:sz w:val="23"/>
                <w:szCs w:val="23"/>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4"/>
                <w:szCs w:val="14"/>
                <w:color w:val="auto"/>
              </w:rPr>
              <w:t>14,667</w:t>
            </w:r>
          </w:p>
        </w:tc>
      </w:tr>
      <w:tr>
        <w:trPr>
          <w:trHeight w:val="163"/>
        </w:trPr>
        <w:tc>
          <w:tcPr>
            <w:tcW w:w="2540" w:type="dxa"/>
            <w:vAlign w:val="bottom"/>
          </w:tcPr>
          <w:p>
            <w:pPr>
              <w:spacing w:after="0"/>
              <w:rPr>
                <w:sz w:val="20"/>
                <w:szCs w:val="20"/>
                <w:color w:val="auto"/>
              </w:rPr>
            </w:pPr>
            <w:r>
              <w:rPr>
                <w:rFonts w:ascii="Arial" w:cs="Arial" w:eastAsia="Arial" w:hAnsi="Arial"/>
                <w:sz w:val="14"/>
                <w:szCs w:val="14"/>
                <w:color w:val="auto"/>
              </w:rPr>
              <w:t>Medical Depot, Inc.</w:t>
            </w:r>
          </w:p>
        </w:tc>
        <w:tc>
          <w:tcPr>
            <w:tcW w:w="2440" w:type="dxa"/>
            <w:vAlign w:val="bottom"/>
          </w:tcPr>
          <w:p>
            <w:pPr>
              <w:ind w:left="100"/>
              <w:spacing w:after="0"/>
              <w:rPr>
                <w:sz w:val="20"/>
                <w:szCs w:val="20"/>
                <w:color w:val="auto"/>
              </w:rPr>
            </w:pPr>
            <w:r>
              <w:rPr>
                <w:rFonts w:ascii="Arial" w:cs="Arial" w:eastAsia="Arial" w:hAnsi="Arial"/>
                <w:sz w:val="14"/>
                <w:szCs w:val="14"/>
                <w:color w:val="auto"/>
              </w:rPr>
              <w:t>Medical Device Distributor</w:t>
            </w:r>
          </w:p>
        </w:tc>
        <w:tc>
          <w:tcPr>
            <w:tcW w:w="2640" w:type="dxa"/>
            <w:vAlign w:val="bottom"/>
          </w:tcPr>
          <w:p>
            <w:pPr>
              <w:ind w:left="80"/>
              <w:spacing w:after="0"/>
              <w:rPr>
                <w:sz w:val="20"/>
                <w:szCs w:val="20"/>
                <w:color w:val="auto"/>
              </w:rPr>
            </w:pPr>
            <w:r>
              <w:rPr>
                <w:rFonts w:ascii="Arial" w:cs="Arial" w:eastAsia="Arial" w:hAnsi="Arial"/>
                <w:sz w:val="14"/>
                <w:szCs w:val="14"/>
                <w:color w:val="auto"/>
              </w:rPr>
              <w:t>Series C Convertible Preferred Stock</w:t>
            </w:r>
          </w:p>
        </w:tc>
        <w:tc>
          <w:tcPr>
            <w:tcW w:w="660" w:type="dxa"/>
            <w:vAlign w:val="bottom"/>
          </w:tcPr>
          <w:p>
            <w:pPr>
              <w:spacing w:after="0"/>
              <w:rPr>
                <w:sz w:val="14"/>
                <w:szCs w:val="1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(740 shares)</w:t>
            </w:r>
          </w:p>
        </w:tc>
        <w:tc>
          <w:tcPr>
            <w:tcW w:w="660" w:type="dxa"/>
            <w:vAlign w:val="bottom"/>
          </w:tcPr>
          <w:p>
            <w:pPr>
              <w:spacing w:after="0"/>
              <w:rPr>
                <w:sz w:val="15"/>
                <w:szCs w:val="15"/>
                <w:color w:val="auto"/>
              </w:rPr>
            </w:pP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Merlin International, Inc.</w:t>
            </w:r>
          </w:p>
        </w:tc>
        <w:tc>
          <w:tcPr>
            <w:tcW w:w="2440" w:type="dxa"/>
            <w:vAlign w:val="bottom"/>
          </w:tcPr>
          <w:p>
            <w:pPr>
              <w:ind w:left="100"/>
              <w:spacing w:after="0"/>
              <w:rPr>
                <w:sz w:val="20"/>
                <w:szCs w:val="20"/>
                <w:color w:val="auto"/>
              </w:rPr>
            </w:pPr>
            <w:r>
              <w:rPr>
                <w:rFonts w:ascii="Arial" w:cs="Arial" w:eastAsia="Arial" w:hAnsi="Arial"/>
                <w:sz w:val="14"/>
                <w:szCs w:val="14"/>
                <w:color w:val="auto"/>
              </w:rPr>
              <w:t>IT Government Contracting</w:t>
            </w:r>
          </w:p>
        </w:tc>
        <w:tc>
          <w:tcPr>
            <w:tcW w:w="2640" w:type="dxa"/>
            <w:vAlign w:val="bottom"/>
          </w:tcPr>
          <w:p>
            <w:pPr>
              <w:ind w:left="80"/>
              <w:spacing w:after="0"/>
              <w:rPr>
                <w:sz w:val="20"/>
                <w:szCs w:val="20"/>
                <w:color w:val="auto"/>
              </w:rPr>
            </w:pPr>
            <w:r>
              <w:rPr>
                <w:rFonts w:ascii="Arial" w:cs="Arial" w:eastAsia="Arial" w:hAnsi="Arial"/>
                <w:sz w:val="14"/>
                <w:szCs w:val="14"/>
                <w:color w:val="auto"/>
              </w:rPr>
              <w:t>Subordinated Debt (12.5% Cash, Due</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12/16/19)</w:t>
            </w:r>
          </w:p>
        </w:tc>
        <w:tc>
          <w:tcPr>
            <w:tcW w:w="66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Nielsen &amp; Bainbridge, LLC</w:t>
            </w:r>
          </w:p>
        </w:tc>
        <w:tc>
          <w:tcPr>
            <w:tcW w:w="2440" w:type="dxa"/>
            <w:vAlign w:val="bottom"/>
          </w:tcPr>
          <w:p>
            <w:pPr>
              <w:ind w:left="100"/>
              <w:spacing w:after="0"/>
              <w:rPr>
                <w:sz w:val="20"/>
                <w:szCs w:val="20"/>
                <w:color w:val="auto"/>
              </w:rPr>
            </w:pPr>
            <w:r>
              <w:rPr>
                <w:rFonts w:ascii="Arial" w:cs="Arial" w:eastAsia="Arial" w:hAnsi="Arial"/>
                <w:sz w:val="14"/>
                <w:szCs w:val="14"/>
                <w:color w:val="auto"/>
              </w:rPr>
              <w:t>Home Décor Manufacturer</w:t>
            </w:r>
          </w:p>
        </w:tc>
        <w:tc>
          <w:tcPr>
            <w:tcW w:w="2640" w:type="dxa"/>
            <w:vAlign w:val="bottom"/>
          </w:tcPr>
          <w:p>
            <w:pPr>
              <w:ind w:left="80"/>
              <w:spacing w:after="0"/>
              <w:rPr>
                <w:sz w:val="20"/>
                <w:szCs w:val="20"/>
                <w:color w:val="auto"/>
              </w:rPr>
            </w:pPr>
            <w:r>
              <w:rPr>
                <w:rFonts w:ascii="Arial" w:cs="Arial" w:eastAsia="Arial" w:hAnsi="Arial"/>
                <w:sz w:val="14"/>
                <w:szCs w:val="14"/>
                <w:color w:val="auto"/>
              </w:rPr>
              <w:t>Subordinated Debt (L+9.25% Cash, 1%</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Floor, Due 8/15/21)</w:t>
            </w:r>
          </w:p>
        </w:tc>
        <w:tc>
          <w:tcPr>
            <w:tcW w:w="6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Nth Degree, Inc.</w:t>
            </w:r>
          </w:p>
        </w:tc>
        <w:tc>
          <w:tcPr>
            <w:tcW w:w="244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640" w:type="dxa"/>
            <w:vAlign w:val="bottom"/>
          </w:tcPr>
          <w:p>
            <w:pPr>
              <w:ind w:left="80"/>
              <w:spacing w:after="0"/>
              <w:rPr>
                <w:sz w:val="20"/>
                <w:szCs w:val="20"/>
                <w:color w:val="auto"/>
              </w:rPr>
            </w:pPr>
            <w:r>
              <w:rPr>
                <w:rFonts w:ascii="Arial" w:cs="Arial" w:eastAsia="Arial" w:hAnsi="Arial"/>
                <w:sz w:val="14"/>
                <w:szCs w:val="14"/>
                <w:color w:val="auto"/>
              </w:rPr>
              <w:t>Senior Secured Debt (L+7% Cash. 1%</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Floor, 1% PIK, matures 12/14/2020)</w:t>
            </w:r>
          </w:p>
        </w:tc>
        <w:tc>
          <w:tcPr>
            <w:tcW w:w="660" w:type="dxa"/>
            <w:vAlign w:val="bottom"/>
          </w:tcPr>
          <w:p>
            <w:pPr>
              <w:jc w:val="right"/>
              <w:spacing w:after="0"/>
              <w:rPr>
                <w:sz w:val="20"/>
                <w:szCs w:val="20"/>
                <w:color w:val="auto"/>
              </w:rPr>
            </w:pPr>
            <w:r>
              <w:rPr>
                <w:rFonts w:ascii="Arial" w:cs="Arial" w:eastAsia="Arial" w:hAnsi="Arial"/>
                <w:sz w:val="14"/>
                <w:szCs w:val="14"/>
                <w:color w:val="auto"/>
              </w:rPr>
              <w:t>12,256</w:t>
            </w:r>
          </w:p>
        </w:tc>
      </w:tr>
      <w:tr>
        <w:trPr>
          <w:trHeight w:val="263"/>
        </w:trPr>
        <w:tc>
          <w:tcPr>
            <w:tcW w:w="2540" w:type="dxa"/>
            <w:vAlign w:val="bottom"/>
          </w:tcPr>
          <w:p>
            <w:pPr>
              <w:spacing w:after="0"/>
              <w:rPr>
                <w:sz w:val="20"/>
                <w:szCs w:val="20"/>
                <w:color w:val="auto"/>
              </w:rPr>
            </w:pPr>
            <w:r>
              <w:rPr>
                <w:rFonts w:ascii="Arial" w:cs="Arial" w:eastAsia="Arial" w:hAnsi="Arial"/>
                <w:sz w:val="14"/>
                <w:szCs w:val="14"/>
                <w:color w:val="auto"/>
              </w:rPr>
              <w:t>Nth Degree, Inc.</w:t>
            </w:r>
          </w:p>
        </w:tc>
        <w:tc>
          <w:tcPr>
            <w:tcW w:w="244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640" w:type="dxa"/>
            <w:vAlign w:val="bottom"/>
          </w:tcPr>
          <w:p>
            <w:pPr>
              <w:ind w:left="80"/>
              <w:spacing w:after="0"/>
              <w:rPr>
                <w:sz w:val="20"/>
                <w:szCs w:val="20"/>
                <w:color w:val="auto"/>
              </w:rPr>
            </w:pPr>
            <w:r>
              <w:rPr>
                <w:rFonts w:ascii="Arial" w:cs="Arial" w:eastAsia="Arial" w:hAnsi="Arial"/>
                <w:sz w:val="14"/>
                <w:szCs w:val="14"/>
                <w:color w:val="auto"/>
              </w:rPr>
              <w:t>Senior Secured Debt (L+11.5% Cash.</w:t>
            </w:r>
          </w:p>
        </w:tc>
        <w:tc>
          <w:tcPr>
            <w:tcW w:w="660" w:type="dxa"/>
            <w:vAlign w:val="bottom"/>
          </w:tcPr>
          <w:p>
            <w:pPr>
              <w:spacing w:after="0"/>
              <w:rPr>
                <w:sz w:val="22"/>
                <w:szCs w:val="22"/>
                <w:color w:val="auto"/>
              </w:rPr>
            </w:pPr>
          </w:p>
        </w:tc>
      </w:tr>
      <w:tr>
        <w:trPr>
          <w:trHeight w:val="149"/>
        </w:trPr>
        <w:tc>
          <w:tcPr>
            <w:tcW w:w="2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40" w:type="dxa"/>
            <w:vAlign w:val="bottom"/>
          </w:tcPr>
          <w:p>
            <w:pPr>
              <w:ind w:left="80"/>
              <w:spacing w:after="0" w:line="149" w:lineRule="exact"/>
              <w:rPr>
                <w:sz w:val="20"/>
                <w:szCs w:val="20"/>
                <w:color w:val="auto"/>
              </w:rPr>
            </w:pPr>
            <w:r>
              <w:rPr>
                <w:rFonts w:ascii="Arial" w:cs="Arial" w:eastAsia="Arial" w:hAnsi="Arial"/>
                <w:sz w:val="14"/>
                <w:szCs w:val="14"/>
                <w:color w:val="auto"/>
              </w:rPr>
              <w:t>1% Floor, 2% PIK, matures</w:t>
            </w:r>
          </w:p>
        </w:tc>
        <w:tc>
          <w:tcPr>
            <w:tcW w:w="660" w:type="dxa"/>
            <w:vAlign w:val="bottom"/>
          </w:tcPr>
          <w:p>
            <w:pPr>
              <w:spacing w:after="0"/>
              <w:rPr>
                <w:sz w:val="12"/>
                <w:szCs w:val="12"/>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12/14/2020)</w:t>
            </w:r>
          </w:p>
        </w:tc>
        <w:tc>
          <w:tcPr>
            <w:tcW w:w="660" w:type="dxa"/>
            <w:vAlign w:val="bottom"/>
          </w:tcPr>
          <w:p>
            <w:pPr>
              <w:jc w:val="right"/>
              <w:spacing w:after="0"/>
              <w:rPr>
                <w:sz w:val="20"/>
                <w:szCs w:val="20"/>
                <w:color w:val="auto"/>
              </w:rPr>
            </w:pPr>
            <w:r>
              <w:rPr>
                <w:rFonts w:ascii="Arial" w:cs="Arial" w:eastAsia="Arial" w:hAnsi="Arial"/>
                <w:sz w:val="14"/>
                <w:szCs w:val="14"/>
                <w:color w:val="auto"/>
              </w:rPr>
              <w:t>9,009</w:t>
            </w:r>
          </w:p>
        </w:tc>
      </w:tr>
      <w:tr>
        <w:trPr>
          <w:trHeight w:val="438"/>
        </w:trPr>
        <w:tc>
          <w:tcPr>
            <w:tcW w:w="2540" w:type="dxa"/>
            <w:vAlign w:val="bottom"/>
          </w:tcPr>
          <w:p>
            <w:pPr>
              <w:spacing w:after="0"/>
              <w:rPr>
                <w:sz w:val="20"/>
                <w:szCs w:val="20"/>
                <w:color w:val="auto"/>
              </w:rPr>
            </w:pPr>
            <w:r>
              <w:rPr>
                <w:rFonts w:ascii="Arial" w:cs="Arial" w:eastAsia="Arial" w:hAnsi="Arial"/>
                <w:sz w:val="14"/>
                <w:szCs w:val="14"/>
                <w:color w:val="auto"/>
              </w:rPr>
              <w:t>Nth Degree, Inc.</w:t>
            </w:r>
          </w:p>
        </w:tc>
        <w:tc>
          <w:tcPr>
            <w:tcW w:w="244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640" w:type="dxa"/>
            <w:vAlign w:val="bottom"/>
          </w:tcPr>
          <w:p>
            <w:pPr>
              <w:ind w:left="80"/>
              <w:spacing w:after="0"/>
              <w:rPr>
                <w:sz w:val="20"/>
                <w:szCs w:val="20"/>
                <w:color w:val="auto"/>
              </w:rPr>
            </w:pPr>
            <w:r>
              <w:rPr>
                <w:rFonts w:ascii="Arial" w:cs="Arial" w:eastAsia="Arial" w:hAnsi="Arial"/>
                <w:sz w:val="14"/>
                <w:szCs w:val="14"/>
                <w:color w:val="auto"/>
              </w:rPr>
              <w:t xml:space="preserve">Preferred Stock (10% PIK dividend) </w:t>
            </w:r>
            <w:r>
              <w:rPr>
                <w:rFonts w:ascii="Arial" w:cs="Arial" w:eastAsia="Arial" w:hAnsi="Arial"/>
                <w:sz w:val="23"/>
                <w:szCs w:val="23"/>
                <w:color w:val="auto"/>
                <w:vertAlign w:val="superscript"/>
              </w:rPr>
              <w:t>(6)</w:t>
            </w:r>
          </w:p>
        </w:tc>
        <w:tc>
          <w:tcPr>
            <w:tcW w:w="660" w:type="dxa"/>
            <w:vAlign w:val="bottom"/>
          </w:tcPr>
          <w:p>
            <w:pPr>
              <w:spacing w:after="0"/>
              <w:rPr>
                <w:sz w:val="24"/>
                <w:szCs w:val="24"/>
                <w:color w:val="auto"/>
              </w:rPr>
            </w:pPr>
          </w:p>
        </w:tc>
      </w:tr>
      <w:tr>
        <w:trPr>
          <w:trHeight w:val="514"/>
        </w:trPr>
        <w:tc>
          <w:tcPr>
            <w:tcW w:w="2540" w:type="dxa"/>
            <w:vAlign w:val="bottom"/>
          </w:tcPr>
          <w:p>
            <w:pPr>
              <w:spacing w:after="0"/>
              <w:rPr>
                <w:sz w:val="20"/>
                <w:szCs w:val="20"/>
                <w:color w:val="auto"/>
              </w:rPr>
            </w:pPr>
            <w:r>
              <w:rPr>
                <w:rFonts w:ascii="Arial" w:cs="Arial" w:eastAsia="Arial" w:hAnsi="Arial"/>
                <w:sz w:val="14"/>
                <w:szCs w:val="14"/>
                <w:color w:val="auto"/>
              </w:rPr>
              <w:t>Portrait Innovations, Inc.</w:t>
            </w:r>
          </w:p>
        </w:tc>
        <w:tc>
          <w:tcPr>
            <w:tcW w:w="2440" w:type="dxa"/>
            <w:vAlign w:val="bottom"/>
          </w:tcPr>
          <w:p>
            <w:pPr>
              <w:ind w:left="100"/>
              <w:spacing w:after="0"/>
              <w:rPr>
                <w:sz w:val="20"/>
                <w:szCs w:val="20"/>
                <w:color w:val="auto"/>
              </w:rPr>
            </w:pPr>
            <w:r>
              <w:rPr>
                <w:rFonts w:ascii="Arial" w:cs="Arial" w:eastAsia="Arial" w:hAnsi="Arial"/>
                <w:sz w:val="14"/>
                <w:szCs w:val="14"/>
                <w:color w:val="auto"/>
              </w:rPr>
              <w:t>Professional and Personal Digital</w:t>
            </w:r>
          </w:p>
        </w:tc>
        <w:tc>
          <w:tcPr>
            <w:tcW w:w="2640" w:type="dxa"/>
            <w:vAlign w:val="bottom"/>
          </w:tcPr>
          <w:p>
            <w:pPr>
              <w:ind w:left="80"/>
              <w:spacing w:after="0"/>
              <w:rPr>
                <w:sz w:val="20"/>
                <w:szCs w:val="20"/>
                <w:color w:val="auto"/>
              </w:rPr>
            </w:pPr>
            <w:r>
              <w:rPr>
                <w:rFonts w:ascii="Arial" w:cs="Arial" w:eastAsia="Arial" w:hAnsi="Arial"/>
                <w:sz w:val="14"/>
                <w:szCs w:val="14"/>
                <w:color w:val="auto"/>
              </w:rPr>
              <w:t>Senior Secured Term Debt (12% Cash,</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ind w:left="100"/>
              <w:spacing w:after="0"/>
              <w:rPr>
                <w:sz w:val="20"/>
                <w:szCs w:val="20"/>
                <w:color w:val="auto"/>
              </w:rPr>
            </w:pPr>
            <w:r>
              <w:rPr>
                <w:rFonts w:ascii="Arial" w:cs="Arial" w:eastAsia="Arial" w:hAnsi="Arial"/>
                <w:sz w:val="14"/>
                <w:szCs w:val="14"/>
                <w:color w:val="auto"/>
              </w:rPr>
              <w:t>Imaging</w:t>
            </w:r>
          </w:p>
        </w:tc>
        <w:tc>
          <w:tcPr>
            <w:tcW w:w="2640" w:type="dxa"/>
            <w:vAlign w:val="bottom"/>
          </w:tcPr>
          <w:p>
            <w:pPr>
              <w:ind w:left="80"/>
              <w:spacing w:after="0"/>
              <w:rPr>
                <w:sz w:val="20"/>
                <w:szCs w:val="20"/>
                <w:color w:val="auto"/>
              </w:rPr>
            </w:pPr>
            <w:r>
              <w:rPr>
                <w:rFonts w:ascii="Arial" w:cs="Arial" w:eastAsia="Arial" w:hAnsi="Arial"/>
                <w:sz w:val="14"/>
                <w:szCs w:val="14"/>
                <w:color w:val="auto"/>
              </w:rPr>
              <w:t>Due 2/26/20)</w:t>
            </w:r>
          </w:p>
        </w:tc>
        <w:tc>
          <w:tcPr>
            <w:tcW w:w="6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Sequoia Healthcare Management, LLC</w:t>
            </w:r>
          </w:p>
        </w:tc>
        <w:tc>
          <w:tcPr>
            <w:tcW w:w="2440" w:type="dxa"/>
            <w:vAlign w:val="bottom"/>
          </w:tcPr>
          <w:p>
            <w:pPr>
              <w:ind w:left="100"/>
              <w:spacing w:after="0"/>
              <w:rPr>
                <w:sz w:val="20"/>
                <w:szCs w:val="20"/>
                <w:color w:val="auto"/>
              </w:rPr>
            </w:pPr>
            <w:r>
              <w:rPr>
                <w:rFonts w:ascii="Arial" w:cs="Arial" w:eastAsia="Arial" w:hAnsi="Arial"/>
                <w:sz w:val="14"/>
                <w:szCs w:val="14"/>
                <w:color w:val="auto"/>
              </w:rPr>
              <w:t>Healthcare Management</w:t>
            </w:r>
          </w:p>
        </w:tc>
        <w:tc>
          <w:tcPr>
            <w:tcW w:w="2640" w:type="dxa"/>
            <w:vAlign w:val="bottom"/>
          </w:tcPr>
          <w:p>
            <w:pPr>
              <w:ind w:left="80"/>
              <w:spacing w:after="0"/>
              <w:rPr>
                <w:sz w:val="20"/>
                <w:szCs w:val="20"/>
                <w:color w:val="auto"/>
              </w:rPr>
            </w:pPr>
            <w:r>
              <w:rPr>
                <w:rFonts w:ascii="Arial" w:cs="Arial" w:eastAsia="Arial" w:hAnsi="Arial"/>
                <w:sz w:val="14"/>
                <w:szCs w:val="14"/>
                <w:color w:val="auto"/>
              </w:rPr>
              <w:t>Senior Secured Term Debt (12% cash,</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4"/>
                <w:szCs w:val="14"/>
                <w:color w:val="auto"/>
              </w:rPr>
              <w:t>4% PIK, due 7/17/19)</w:t>
            </w:r>
          </w:p>
        </w:tc>
        <w:tc>
          <w:tcPr>
            <w:tcW w:w="660" w:type="dxa"/>
            <w:vAlign w:val="bottom"/>
          </w:tcPr>
          <w:p>
            <w:pPr>
              <w:jc w:val="right"/>
              <w:spacing w:after="0"/>
              <w:rPr>
                <w:sz w:val="20"/>
                <w:szCs w:val="20"/>
                <w:color w:val="auto"/>
              </w:rPr>
            </w:pPr>
            <w:r>
              <w:rPr>
                <w:rFonts w:ascii="Arial" w:cs="Arial" w:eastAsia="Arial" w:hAnsi="Arial"/>
                <w:sz w:val="14"/>
                <w:szCs w:val="14"/>
                <w:color w:val="auto"/>
              </w:rPr>
              <w:t>11,525</w:t>
            </w:r>
          </w:p>
        </w:tc>
      </w:tr>
      <w:tr>
        <w:trPr>
          <w:trHeight w:val="615"/>
        </w:trPr>
        <w:tc>
          <w:tcPr>
            <w:tcW w:w="2540" w:type="dxa"/>
            <w:vAlign w:val="bottom"/>
          </w:tcPr>
          <w:p>
            <w:pPr>
              <w:spacing w:after="0"/>
              <w:rPr>
                <w:sz w:val="20"/>
                <w:szCs w:val="20"/>
                <w:color w:val="auto"/>
              </w:rPr>
            </w:pPr>
            <w:r>
              <w:rPr>
                <w:rFonts w:ascii="Arial" w:cs="Arial" w:eastAsia="Arial" w:hAnsi="Arial"/>
                <w:sz w:val="14"/>
                <w:szCs w:val="14"/>
                <w:color w:val="auto"/>
              </w:rPr>
              <w:t>Sierra Hamilton, LLC</w:t>
            </w:r>
          </w:p>
        </w:tc>
        <w:tc>
          <w:tcPr>
            <w:tcW w:w="2440" w:type="dxa"/>
            <w:vAlign w:val="bottom"/>
          </w:tcPr>
          <w:p>
            <w:pPr>
              <w:ind w:left="100"/>
              <w:spacing w:after="0"/>
              <w:rPr>
                <w:sz w:val="20"/>
                <w:szCs w:val="20"/>
                <w:color w:val="auto"/>
              </w:rPr>
            </w:pPr>
            <w:r>
              <w:rPr>
                <w:rFonts w:ascii="Arial" w:cs="Arial" w:eastAsia="Arial" w:hAnsi="Arial"/>
                <w:sz w:val="14"/>
                <w:szCs w:val="14"/>
                <w:color w:val="auto"/>
                <w:w w:val="98"/>
              </w:rPr>
              <w:t>Oil &amp; Gas Engineering and Consulting</w:t>
            </w:r>
          </w:p>
        </w:tc>
        <w:tc>
          <w:tcPr>
            <w:tcW w:w="2640" w:type="dxa"/>
            <w:vAlign w:val="bottom"/>
          </w:tcPr>
          <w:p>
            <w:pPr>
              <w:ind w:left="80"/>
              <w:spacing w:after="0"/>
              <w:rPr>
                <w:sz w:val="20"/>
                <w:szCs w:val="20"/>
                <w:color w:val="auto"/>
              </w:rPr>
            </w:pPr>
            <w:r>
              <w:rPr>
                <w:rFonts w:ascii="Arial" w:cs="Arial" w:eastAsia="Arial" w:hAnsi="Arial"/>
                <w:sz w:val="14"/>
                <w:szCs w:val="14"/>
                <w:color w:val="auto"/>
              </w:rPr>
              <w:t>Senior Secured Debt (12.25% Cash,</w:t>
            </w:r>
          </w:p>
        </w:tc>
        <w:tc>
          <w:tcPr>
            <w:tcW w:w="660" w:type="dxa"/>
            <w:vAlign w:val="bottom"/>
          </w:tcPr>
          <w:p>
            <w:pPr>
              <w:spacing w:after="0"/>
              <w:rPr>
                <w:sz w:val="24"/>
                <w:szCs w:val="24"/>
                <w:color w:val="auto"/>
              </w:rPr>
            </w:pPr>
          </w:p>
        </w:tc>
      </w:tr>
      <w:tr>
        <w:trPr>
          <w:trHeight w:val="182"/>
        </w:trPr>
        <w:tc>
          <w:tcPr>
            <w:tcW w:w="2540" w:type="dxa"/>
            <w:vAlign w:val="bottom"/>
          </w:tcPr>
          <w:p>
            <w:pPr>
              <w:spacing w:after="0"/>
              <w:rPr>
                <w:sz w:val="15"/>
                <w:szCs w:val="15"/>
                <w:color w:val="auto"/>
              </w:rPr>
            </w:pPr>
          </w:p>
        </w:tc>
        <w:tc>
          <w:tcPr>
            <w:tcW w:w="2440" w:type="dxa"/>
            <w:vAlign w:val="bottom"/>
          </w:tcPr>
          <w:p>
            <w:pPr>
              <w:ind w:left="100"/>
              <w:spacing w:after="0"/>
              <w:rPr>
                <w:sz w:val="20"/>
                <w:szCs w:val="20"/>
                <w:color w:val="auto"/>
              </w:rPr>
            </w:pPr>
            <w:r>
              <w:rPr>
                <w:rFonts w:ascii="Arial" w:cs="Arial" w:eastAsia="Arial" w:hAnsi="Arial"/>
                <w:sz w:val="14"/>
                <w:szCs w:val="14"/>
                <w:color w:val="auto"/>
              </w:rPr>
              <w:t>Services</w:t>
            </w:r>
          </w:p>
        </w:tc>
        <w:tc>
          <w:tcPr>
            <w:tcW w:w="2640" w:type="dxa"/>
            <w:vAlign w:val="bottom"/>
          </w:tcPr>
          <w:p>
            <w:pPr>
              <w:ind w:left="80"/>
              <w:spacing w:after="0"/>
              <w:rPr>
                <w:sz w:val="20"/>
                <w:szCs w:val="20"/>
                <w:color w:val="auto"/>
              </w:rPr>
            </w:pPr>
            <w:r>
              <w:rPr>
                <w:rFonts w:ascii="Arial" w:cs="Arial" w:eastAsia="Arial" w:hAnsi="Arial"/>
                <w:sz w:val="14"/>
                <w:szCs w:val="14"/>
                <w:color w:val="auto"/>
              </w:rPr>
              <w:t>Due 12/15/18)</w:t>
            </w:r>
          </w:p>
        </w:tc>
        <w:tc>
          <w:tcPr>
            <w:tcW w:w="660" w:type="dxa"/>
            <w:vAlign w:val="bottom"/>
          </w:tcPr>
          <w:p>
            <w:pPr>
              <w:jc w:val="right"/>
              <w:spacing w:after="0"/>
              <w:rPr>
                <w:sz w:val="20"/>
                <w:szCs w:val="20"/>
                <w:color w:val="auto"/>
              </w:rPr>
            </w:pPr>
            <w:r>
              <w:rPr>
                <w:rFonts w:ascii="Arial" w:cs="Arial" w:eastAsia="Arial" w:hAnsi="Arial"/>
                <w:sz w:val="14"/>
                <w:szCs w:val="14"/>
                <w:color w:val="auto"/>
              </w:rPr>
              <w:t>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-10333990</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-10145395</wp:posOffset>
            </wp:positionV>
            <wp:extent cx="724662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-9939655</wp:posOffset>
            </wp:positionV>
            <wp:extent cx="72466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-9733915</wp:posOffset>
            </wp:positionV>
            <wp:extent cx="7246620" cy="31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-9313545</wp:posOffset>
            </wp:positionV>
            <wp:extent cx="72466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-9107805</wp:posOffset>
            </wp:positionV>
            <wp:extent cx="7246620"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-8807450</wp:posOffset>
            </wp:positionV>
            <wp:extent cx="724662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-8601710</wp:posOffset>
            </wp:positionV>
            <wp:extent cx="72466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-8301990</wp:posOffset>
            </wp:positionV>
            <wp:extent cx="724662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-8095615</wp:posOffset>
            </wp:positionV>
            <wp:extent cx="7246620"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-7795895</wp:posOffset>
            </wp:positionV>
            <wp:extent cx="724662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-7590155</wp:posOffset>
            </wp:positionV>
            <wp:extent cx="724662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-7306945</wp:posOffset>
            </wp:positionV>
            <wp:extent cx="7246620"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-7006590</wp:posOffset>
            </wp:positionV>
            <wp:extent cx="7246620"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-6800850</wp:posOffset>
            </wp:positionV>
            <wp:extent cx="724662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-6475095</wp:posOffset>
            </wp:positionV>
            <wp:extent cx="724662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-6269355</wp:posOffset>
            </wp:positionV>
            <wp:extent cx="724662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-5943600</wp:posOffset>
            </wp:positionV>
            <wp:extent cx="724662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-5737225</wp:posOffset>
            </wp:positionV>
            <wp:extent cx="72466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-5454650</wp:posOffset>
            </wp:positionV>
            <wp:extent cx="724662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-5146040</wp:posOffset>
            </wp:positionV>
            <wp:extent cx="724662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-4845685</wp:posOffset>
            </wp:positionV>
            <wp:extent cx="72466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-4639945</wp:posOffset>
            </wp:positionV>
            <wp:extent cx="7246620" cy="197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-4339590</wp:posOffset>
            </wp:positionV>
            <wp:extent cx="72466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-4133850</wp:posOffset>
            </wp:positionV>
            <wp:extent cx="724662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-3825240</wp:posOffset>
            </wp:positionV>
            <wp:extent cx="7246620"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-3524885</wp:posOffset>
            </wp:positionV>
            <wp:extent cx="724662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-3319145</wp:posOffset>
            </wp:positionV>
            <wp:extent cx="7246620"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-3018790</wp:posOffset>
            </wp:positionV>
            <wp:extent cx="724662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-2813050</wp:posOffset>
            </wp:positionV>
            <wp:extent cx="724662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-2513330</wp:posOffset>
            </wp:positionV>
            <wp:extent cx="724662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-2306955</wp:posOffset>
            </wp:positionV>
            <wp:extent cx="724662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-2024380</wp:posOffset>
            </wp:positionV>
            <wp:extent cx="7246620" cy="283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-1646555</wp:posOffset>
            </wp:positionV>
            <wp:extent cx="72466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-1415415</wp:posOffset>
            </wp:positionV>
            <wp:extent cx="7246620"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-1209675</wp:posOffset>
            </wp:positionV>
            <wp:extent cx="724662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-909320</wp:posOffset>
            </wp:positionV>
            <wp:extent cx="724662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78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78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jc w:val="right"/>
              <w:spacing w:after="0"/>
              <w:rPr>
                <w:sz w:val="20"/>
                <w:szCs w:val="20"/>
                <w:color w:val="auto"/>
              </w:rPr>
            </w:pPr>
            <w:r>
              <w:rPr>
                <w:rFonts w:ascii="Arial" w:cs="Arial" w:eastAsia="Arial" w:hAnsi="Arial"/>
                <w:sz w:val="14"/>
                <w:szCs w:val="14"/>
                <w:color w:val="auto"/>
              </w:rPr>
              <w:t>1,575</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1,917</w:t>
            </w: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17,516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17,858</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2"/>
        </w:trPr>
        <w:tc>
          <w:tcPr>
            <w:tcW w:w="800" w:type="dxa"/>
            <w:vAlign w:val="bottom"/>
          </w:tcPr>
          <w:p>
            <w:pPr>
              <w:jc w:val="right"/>
              <w:spacing w:after="0"/>
              <w:rPr>
                <w:sz w:val="20"/>
                <w:szCs w:val="20"/>
                <w:color w:val="auto"/>
              </w:rPr>
            </w:pPr>
            <w:r>
              <w:rPr>
                <w:rFonts w:ascii="Arial" w:cs="Arial" w:eastAsia="Arial" w:hAnsi="Arial"/>
                <w:sz w:val="14"/>
                <w:szCs w:val="14"/>
                <w:color w:val="auto"/>
              </w:rPr>
              <w:t>6,271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6,271</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6,271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6,271</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4"/>
                <w:szCs w:val="14"/>
                <w:color w:val="auto"/>
              </w:rPr>
              <w:t>16,687</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16,146</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16,687</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16,146</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4"/>
                <w:szCs w:val="14"/>
                <w:color w:val="auto"/>
              </w:rPr>
              <w:t>4,932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4,932</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4,932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4,932</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800" w:type="dxa"/>
            <w:vAlign w:val="bottom"/>
          </w:tcPr>
          <w:p>
            <w:pPr>
              <w:jc w:val="right"/>
              <w:spacing w:after="0"/>
              <w:rPr>
                <w:sz w:val="20"/>
                <w:szCs w:val="20"/>
                <w:color w:val="auto"/>
              </w:rPr>
            </w:pPr>
            <w:r>
              <w:rPr>
                <w:rFonts w:ascii="Arial" w:cs="Arial" w:eastAsia="Arial" w:hAnsi="Arial"/>
                <w:sz w:val="14"/>
                <w:szCs w:val="14"/>
                <w:color w:val="auto"/>
              </w:rPr>
              <w:t>7,265</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6,917</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444"/>
        </w:trPr>
        <w:tc>
          <w:tcPr>
            <w:tcW w:w="800" w:type="dxa"/>
            <w:vAlign w:val="bottom"/>
          </w:tcPr>
          <w:p>
            <w:pPr>
              <w:jc w:val="right"/>
              <w:spacing w:after="0"/>
              <w:rPr>
                <w:sz w:val="20"/>
                <w:szCs w:val="20"/>
                <w:color w:val="auto"/>
              </w:rPr>
            </w:pPr>
            <w:r>
              <w:rPr>
                <w:rFonts w:ascii="Arial" w:cs="Arial" w:eastAsia="Arial" w:hAnsi="Arial"/>
                <w:sz w:val="14"/>
                <w:szCs w:val="14"/>
                <w:color w:val="auto"/>
              </w:rPr>
              <w:t>11,601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10,519</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18,866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17,436</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6.5%</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80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800" w:type="dxa"/>
            <w:vAlign w:val="bottom"/>
          </w:tcPr>
          <w:p>
            <w:pPr>
              <w:jc w:val="right"/>
              <w:spacing w:after="0"/>
              <w:rPr>
                <w:sz w:val="20"/>
                <w:szCs w:val="20"/>
                <w:color w:val="auto"/>
              </w:rPr>
            </w:pPr>
            <w:r>
              <w:rPr>
                <w:rFonts w:ascii="Arial" w:cs="Arial" w:eastAsia="Arial" w:hAnsi="Arial"/>
                <w:sz w:val="14"/>
                <w:szCs w:val="14"/>
                <w:color w:val="auto"/>
              </w:rPr>
              <w:t>14,551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14,562</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w:t>
            </w:r>
          </w:p>
        </w:tc>
      </w:tr>
      <w:tr>
        <w:trPr>
          <w:trHeight w:val="486"/>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3,101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3,101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444"/>
        </w:trPr>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17,674</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20,973</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7.8%</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4"/>
                <w:szCs w:val="14"/>
                <w:color w:val="auto"/>
              </w:rPr>
              <w:t>5,032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5,032</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5,032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5,032</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5"/>
        </w:trPr>
        <w:tc>
          <w:tcPr>
            <w:tcW w:w="800" w:type="dxa"/>
            <w:vAlign w:val="bottom"/>
          </w:tcPr>
          <w:p>
            <w:pPr>
              <w:jc w:val="right"/>
              <w:spacing w:after="0"/>
              <w:rPr>
                <w:sz w:val="20"/>
                <w:szCs w:val="20"/>
                <w:color w:val="auto"/>
              </w:rPr>
            </w:pPr>
            <w:r>
              <w:rPr>
                <w:rFonts w:ascii="Arial" w:cs="Arial" w:eastAsia="Arial" w:hAnsi="Arial"/>
                <w:sz w:val="14"/>
                <w:szCs w:val="14"/>
                <w:color w:val="auto"/>
              </w:rPr>
              <w:t>14,667</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14,667</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5.5%</w:t>
            </w:r>
          </w:p>
        </w:tc>
      </w:tr>
      <w:tr>
        <w:trPr>
          <w:trHeight w:val="444"/>
        </w:trPr>
        <w:tc>
          <w:tcPr>
            <w:tcW w:w="800" w:type="dxa"/>
            <w:vAlign w:val="bottom"/>
          </w:tcPr>
          <w:p>
            <w:pPr>
              <w:jc w:val="right"/>
              <w:spacing w:after="0"/>
              <w:rPr>
                <w:sz w:val="20"/>
                <w:szCs w:val="20"/>
                <w:color w:val="auto"/>
              </w:rPr>
            </w:pPr>
            <w:r>
              <w:rPr>
                <w:rFonts w:ascii="Arial" w:cs="Arial" w:eastAsia="Arial" w:hAnsi="Arial"/>
                <w:sz w:val="14"/>
                <w:szCs w:val="14"/>
                <w:color w:val="auto"/>
              </w:rPr>
              <w:t>1,333</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8,345</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16,000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23,012</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4"/>
                <w:szCs w:val="14"/>
                <w:color w:val="auto"/>
              </w:rPr>
              <w:t>14,816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14,614</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14,816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14,614</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800" w:type="dxa"/>
            <w:vAlign w:val="bottom"/>
          </w:tcPr>
          <w:p>
            <w:pPr>
              <w:jc w:val="right"/>
              <w:spacing w:after="0"/>
              <w:rPr>
                <w:sz w:val="20"/>
                <w:szCs w:val="20"/>
                <w:color w:val="auto"/>
              </w:rPr>
            </w:pPr>
            <w:r>
              <w:rPr>
                <w:rFonts w:ascii="Arial" w:cs="Arial" w:eastAsia="Arial" w:hAnsi="Arial"/>
                <w:sz w:val="14"/>
                <w:szCs w:val="14"/>
                <w:color w:val="auto"/>
              </w:rPr>
              <w:t>12,256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12,256</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4.6%</w:t>
            </w:r>
          </w:p>
        </w:tc>
      </w:tr>
      <w:tr>
        <w:trPr>
          <w:trHeight w:val="594"/>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9,009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9,009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3.4%</w:t>
            </w:r>
          </w:p>
        </w:tc>
      </w:tr>
      <w:tr>
        <w:trPr>
          <w:trHeight w:val="336"/>
        </w:trPr>
        <w:tc>
          <w:tcPr>
            <w:tcW w:w="800" w:type="dxa"/>
            <w:vAlign w:val="bottom"/>
          </w:tcPr>
          <w:p>
            <w:pPr>
              <w:jc w:val="right"/>
              <w:spacing w:after="0"/>
              <w:rPr>
                <w:sz w:val="20"/>
                <w:szCs w:val="20"/>
                <w:color w:val="auto"/>
              </w:rPr>
            </w:pPr>
            <w:r>
              <w:rPr>
                <w:rFonts w:ascii="Arial" w:cs="Arial" w:eastAsia="Arial" w:hAnsi="Arial"/>
                <w:sz w:val="14"/>
                <w:szCs w:val="14"/>
                <w:color w:val="auto"/>
              </w:rPr>
              <w:t>3,015</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3,015</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24,280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24,280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9.1%</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4"/>
                <w:szCs w:val="14"/>
                <w:color w:val="auto"/>
              </w:rPr>
              <w:t>11,370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11,525</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00" w:type="dxa"/>
            <w:vAlign w:val="bottom"/>
          </w:tcPr>
          <w:p>
            <w:pPr>
              <w:jc w:val="right"/>
              <w:spacing w:after="0"/>
              <w:rPr>
                <w:sz w:val="20"/>
                <w:szCs w:val="20"/>
                <w:color w:val="auto"/>
              </w:rPr>
            </w:pPr>
            <w:r>
              <w:rPr>
                <w:rFonts w:ascii="Arial" w:cs="Arial" w:eastAsia="Arial" w:hAnsi="Arial"/>
                <w:sz w:val="14"/>
                <w:szCs w:val="14"/>
                <w:color w:val="auto"/>
              </w:rPr>
              <w:t>11,370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11,525</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10,075</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2">
            <w:col w:w="8280" w:space="200"/>
            <w:col w:w="2920"/>
          </w:cols>
          <w:pgMar w:left="240" w:top="122" w:right="25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10,075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Sparus Holdings, Inc.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Energy Services</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w w:val="94"/>
              </w:rPr>
              <w:t>Senior Secured Term Debt (12% Cash,</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line="198" w:lineRule="exact"/>
              <w:rPr>
                <w:sz w:val="20"/>
                <w:szCs w:val="20"/>
                <w:color w:val="auto"/>
              </w:rPr>
            </w:pPr>
            <w:r>
              <w:rPr>
                <w:rFonts w:ascii="Arial" w:cs="Arial" w:eastAsia="Arial" w:hAnsi="Arial"/>
                <w:sz w:val="14"/>
                <w:szCs w:val="14"/>
                <w:color w:val="auto"/>
              </w:rPr>
              <w:t>Due 9/30/16)</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5,120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5,120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Sparus Holdings, Inc.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Energy Services</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(12% Cash,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540" w:type="dxa"/>
            <w:vAlign w:val="bottom"/>
            <w:shd w:val="clear" w:color="auto" w:fill="CCEEFF"/>
          </w:tcPr>
          <w:p>
            <w:pPr>
              <w:ind w:left="220"/>
              <w:spacing w:after="0" w:line="211" w:lineRule="exact"/>
              <w:rPr>
                <w:sz w:val="20"/>
                <w:szCs w:val="20"/>
                <w:color w:val="auto"/>
              </w:rPr>
            </w:pPr>
            <w:r>
              <w:rPr>
                <w:rFonts w:ascii="Arial" w:cs="Arial" w:eastAsia="Arial" w:hAnsi="Arial"/>
                <w:sz w:val="14"/>
                <w:szCs w:val="14"/>
                <w:color w:val="auto"/>
              </w:rPr>
              <w:t>9/30/16)</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5,380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Taylor Precision Products, Inc.</w:t>
            </w:r>
          </w:p>
        </w:tc>
        <w:tc>
          <w:tcPr>
            <w:tcW w:w="2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Household Product Manufacturer</w:t>
            </w: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6"/>
              </w:rPr>
              <w:t>Series C Preferred Stock (379 shares)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Tenere, Inc.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Industrial Manufacturing</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w w:val="94"/>
              </w:rPr>
              <w:t>Senior Secured Term Debt (11% Cash,</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540" w:type="dxa"/>
            <w:vAlign w:val="bottom"/>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2% PIK, Due 12/15/17) </w:t>
            </w:r>
            <w:r>
              <w:rPr>
                <w:rFonts w:ascii="Arial" w:cs="Arial" w:eastAsia="Arial" w:hAnsi="Arial"/>
                <w:sz w:val="23"/>
                <w:szCs w:val="23"/>
                <w:color w:val="auto"/>
                <w:vertAlign w:val="superscript"/>
              </w:rPr>
              <w:t>(9)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3,582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3,582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3,582</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2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Oil &amp; Gas Services</w:t>
            </w:r>
          </w:p>
        </w:tc>
        <w:tc>
          <w:tcPr>
            <w:tcW w:w="2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8"/>
              </w:rPr>
              <w:t>Senior Secured Debt (L+11.5% Cash,</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0.5% Floor, Due 5/2/19)</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14,189</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14,133</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14,189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14,133</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14,189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9"/>
              </w:rPr>
              <w:t>Velum Global Credit Management, LLC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Financial Services</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rPr>
              <w:t>Senior Secured Debt (15% PIK,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540" w:type="dxa"/>
            <w:vAlign w:val="bottom"/>
            <w:shd w:val="clear" w:color="auto" w:fill="CCEEFF"/>
          </w:tcPr>
          <w:p>
            <w:pPr>
              <w:ind w:left="220"/>
              <w:spacing w:after="0" w:line="211" w:lineRule="exact"/>
              <w:rPr>
                <w:sz w:val="20"/>
                <w:szCs w:val="20"/>
                <w:color w:val="auto"/>
              </w:rPr>
            </w:pPr>
            <w:r>
              <w:rPr>
                <w:rFonts w:ascii="Arial" w:cs="Arial" w:eastAsia="Arial" w:hAnsi="Arial"/>
                <w:sz w:val="14"/>
                <w:szCs w:val="14"/>
                <w:color w:val="auto"/>
              </w:rPr>
              <w:t xml:space="preserve">12/31/17) </w:t>
            </w:r>
            <w:r>
              <w:rPr>
                <w:rFonts w:ascii="Arial" w:cs="Arial" w:eastAsia="Arial" w:hAnsi="Arial"/>
                <w:sz w:val="23"/>
                <w:szCs w:val="23"/>
                <w:color w:val="auto"/>
                <w:vertAlign w:val="superscript"/>
              </w:rPr>
              <w:t>(1)(8)</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9,069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9,069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9,069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9,069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9,069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2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Information Technology</w:t>
            </w:r>
          </w:p>
        </w:tc>
        <w:tc>
          <w:tcPr>
            <w:tcW w:w="2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8"/>
              </w:rPr>
              <w:t>Subordinated Debt (L+14% Cash, 1%</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Floor, Due 1/24/21)</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8,000</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Western Windows Systems, LLC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Building Products</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rPr>
              <w:t>Senior Secured Term Debt (12.2%</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Cash, Due 7/31/20) </w:t>
            </w:r>
            <w:r>
              <w:rPr>
                <w:rFonts w:ascii="Arial" w:cs="Arial" w:eastAsia="Arial" w:hAnsi="Arial"/>
                <w:sz w:val="22"/>
                <w:szCs w:val="22"/>
                <w:color w:val="auto"/>
                <w:vertAlign w:val="superscript"/>
              </w:rPr>
              <w:t>(3)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Western Windows Systems, LLC</w:t>
            </w:r>
          </w:p>
        </w:tc>
        <w:tc>
          <w:tcPr>
            <w:tcW w:w="2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Building Products</w:t>
            </w: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Membership units (39,860 units)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4,299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18,299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2360" w:type="dxa"/>
            <w:vAlign w:val="bottom"/>
            <w:shd w:val="clear" w:color="auto" w:fill="CCEEFF"/>
          </w:tcPr>
          <w:p>
            <w:pPr>
              <w:spacing w:after="0"/>
              <w:rPr>
                <w:sz w:val="10"/>
                <w:szCs w:val="10"/>
                <w:color w:val="auto"/>
              </w:rPr>
            </w:pPr>
          </w:p>
        </w:tc>
        <w:tc>
          <w:tcPr>
            <w:tcW w:w="25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23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391,031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404,513</w:t>
            </w:r>
          </w:p>
        </w:tc>
        <w:tc>
          <w:tcPr>
            <w:tcW w:w="94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2"/>
                <w:szCs w:val="12"/>
                <w:color w:val="auto"/>
              </w:rPr>
              <w:t>150.5</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- 43.6%</w:t>
            </w:r>
          </w:p>
        </w:tc>
        <w:tc>
          <w:tcPr>
            <w:tcW w:w="23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2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Automobile Part Manufacturer</w:t>
            </w:r>
          </w:p>
        </w:tc>
        <w:tc>
          <w:tcPr>
            <w:tcW w:w="2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6"/>
              </w:rPr>
              <w:t>Senior Subordinated Debt (14% Cash,</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Due 8/9/19)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3,000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2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Automobile Part Manufacturer</w:t>
            </w:r>
          </w:p>
        </w:tc>
        <w:tc>
          <w:tcPr>
            <w:tcW w:w="2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7"/>
              </w:rPr>
              <w:t>Junior Subordinated Debt (12% Cash,</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Due 8/9/19)</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5,828</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5,828</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5,828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Automobile Part Manufacturer</w:t>
            </w: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 (1,253,198 shares)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3,080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10,332</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Footwear Retail</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(13% Cash,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9/28/17)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8,231</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8,231</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City Gear, LLC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Footwear Retail</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rPr>
              <w:t>Preferred Membership Units (2.78%</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fully diluted, 9% Cash dividend) </w:t>
            </w:r>
            <w:r>
              <w:rPr>
                <w:rFonts w:ascii="Arial" w:cs="Arial" w:eastAsia="Arial" w:hAnsi="Arial"/>
                <w:sz w:val="22"/>
                <w:szCs w:val="22"/>
                <w:color w:val="auto"/>
                <w:vertAlign w:val="superscript"/>
              </w:rPr>
              <w:t>(6)</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Footwear Retail</w:t>
            </w:r>
          </w:p>
        </w:tc>
        <w:tc>
          <w:tcPr>
            <w:tcW w:w="2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Membership Unit Warrants (11.38%</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fully diluted)</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GA Communications, Inc.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Advertising &amp; Marketing Services</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rPr>
              <w:t>Series A-1 Preferred Stock (1,998</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shares, 8% PIK dividend) </w:t>
            </w:r>
            <w:r>
              <w:rPr>
                <w:rFonts w:ascii="Arial" w:cs="Arial" w:eastAsia="Arial" w:hAnsi="Arial"/>
                <w:sz w:val="22"/>
                <w:szCs w:val="22"/>
                <w:color w:val="auto"/>
                <w:vertAlign w:val="superscript"/>
              </w:rPr>
              <w:t>(6)</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2,413</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2,764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2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Advertising &amp; Marketing Services</w:t>
            </w:r>
          </w:p>
        </w:tc>
        <w:tc>
          <w:tcPr>
            <w:tcW w:w="2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B-1 Common Stock (200,000</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1,162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2,415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3,926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J&amp;J Produce Holdings, Inc.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Produce Distribution</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(13% Cash,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7/16/18) </w:t>
            </w:r>
            <w:r>
              <w:rPr>
                <w:rFonts w:ascii="Arial" w:cs="Arial" w:eastAsia="Arial" w:hAnsi="Arial"/>
                <w:sz w:val="22"/>
                <w:szCs w:val="22"/>
                <w:color w:val="auto"/>
                <w:vertAlign w:val="superscript"/>
              </w:rPr>
              <w:t>(13)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5,182</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5,182</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2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Produce Distribution</w:t>
            </w: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Stock (8,182 shares)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Produce Distribution</w:t>
            </w:r>
          </w:p>
        </w:tc>
        <w:tc>
          <w:tcPr>
            <w:tcW w:w="2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Common Stock Warrants (4,506</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QSR Franchisor</w:t>
            </w: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 (1,500,000 shares)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3,342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3,342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 LLC</w:t>
            </w:r>
          </w:p>
        </w:tc>
        <w:tc>
          <w:tcPr>
            <w:tcW w:w="236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Specialty Clothing</w:t>
            </w:r>
          </w:p>
        </w:tc>
        <w:tc>
          <w:tcPr>
            <w:tcW w:w="2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Series A Preferred Units (2,000,000</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units)</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4,696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4,696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Medical Device Distributor</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w w:val="97"/>
              </w:rPr>
              <w:t>Senior Secured Debt (12% Cash,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1/31/17)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Medical Device Distributor</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rPr>
              <w:t>Subordinated Debt (6% Cash, Due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1/31/17)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400</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36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color w:val="auto"/>
              </w:rPr>
              <w:t>Medical Device Distributor</w:t>
            </w:r>
          </w:p>
        </w:tc>
        <w:tc>
          <w:tcPr>
            <w:tcW w:w="2540" w:type="dxa"/>
            <w:vAlign w:val="bottom"/>
            <w:shd w:val="clear" w:color="auto" w:fill="CCEEFF"/>
          </w:tcPr>
          <w:p>
            <w:pPr>
              <w:ind w:left="220"/>
              <w:spacing w:after="0" w:line="140" w:lineRule="exact"/>
              <w:rPr>
                <w:sz w:val="20"/>
                <w:szCs w:val="20"/>
                <w:color w:val="auto"/>
              </w:rPr>
            </w:pPr>
            <w:r>
              <w:rPr>
                <w:rFonts w:ascii="Arial" w:cs="Arial" w:eastAsia="Arial" w:hAnsi="Arial"/>
                <w:sz w:val="14"/>
                <w:szCs w:val="14"/>
                <w:color w:val="auto"/>
              </w:rPr>
              <w:t>Preferred Units (1,000 units, 6% PIK</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540" w:type="dxa"/>
            <w:vAlign w:val="bottom"/>
            <w:shd w:val="clear" w:color="auto" w:fill="CCEEFF"/>
          </w:tcPr>
          <w:p>
            <w:pPr>
              <w:ind w:left="220"/>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(6)</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1,216</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14" w:name="page15"/>
    <w:bookmarkEnd w:id="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Medical Device Distributor</w:t>
            </w: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Common Membership Units (45 units)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4,204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4,669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Retail Display &amp; Security Services</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Subordinated Debt (12% Cash, Due</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11/1/18)</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MTI Holdings, LLC</w:t>
            </w:r>
          </w:p>
        </w:tc>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Retail Display &amp; Security Services</w:t>
            </w: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Membership Units (2,000,000 units)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13,917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21,917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Source Capital ABUTEC, LLC</w:t>
            </w:r>
          </w:p>
        </w:tc>
        <w:tc>
          <w:tcPr>
            <w:tcW w:w="24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95"/>
              </w:rPr>
              <w:t>Senior Secured Term Debt (12% Cash,</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4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3% PIK, Due 12/28/17) </w:t>
            </w:r>
            <w:r>
              <w:rPr>
                <w:rFonts w:ascii="Arial" w:cs="Arial" w:eastAsia="Arial" w:hAnsi="Arial"/>
                <w:sz w:val="22"/>
                <w:szCs w:val="22"/>
                <w:color w:val="auto"/>
                <w:vertAlign w:val="superscript"/>
              </w:rPr>
              <w:t>(2)(12)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5,741</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5,404</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2,247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Preferred Membership Units (10.5%</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fully diluted)</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1,240</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6,644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2,247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Automotive Chemicals &amp; Lubricants</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Subordinated Debt (13% Cash, Due</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2/17/17)</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2,500</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Automotive Chemicals &amp; Lubricants</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Warrants (6.65%</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ownership)</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Penray, LLC</w:t>
            </w:r>
          </w:p>
        </w:tc>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 Chemicals &amp; Lubricants</w:t>
            </w: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Membership Units (11.3% ownership)</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3,250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3,981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Source Recycling, LLC</w:t>
            </w:r>
          </w:p>
        </w:tc>
        <w:tc>
          <w:tcPr>
            <w:tcW w:w="24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Scrap Metal Recycler</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Subordinated Debt (13% Cash, Due</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80" w:type="dxa"/>
            <w:vAlign w:val="bottom"/>
            <w:shd w:val="clear" w:color="auto" w:fill="CCEEFF"/>
          </w:tcPr>
          <w:p>
            <w:pPr>
              <w:ind w:left="140"/>
              <w:spacing w:after="0" w:line="211" w:lineRule="exact"/>
              <w:rPr>
                <w:sz w:val="20"/>
                <w:szCs w:val="20"/>
                <w:color w:val="auto"/>
              </w:rPr>
            </w:pPr>
            <w:r>
              <w:rPr>
                <w:rFonts w:ascii="Arial" w:cs="Arial" w:eastAsia="Arial" w:hAnsi="Arial"/>
                <w:sz w:val="14"/>
                <w:szCs w:val="14"/>
                <w:color w:val="auto"/>
              </w:rPr>
              <w:t xml:space="preserve">9/2/16)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3,106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3,106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8"/>
              </w:rPr>
              <w:t>Subordinated Debt (12.5% Cash, Due</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460" w:type="dxa"/>
            <w:vAlign w:val="bottom"/>
            <w:shd w:val="clear" w:color="auto" w:fill="CCEEFF"/>
          </w:tcPr>
          <w:p>
            <w:pPr>
              <w:spacing w:after="0"/>
              <w:rPr>
                <w:sz w:val="18"/>
                <w:szCs w:val="18"/>
                <w:color w:val="auto"/>
              </w:rPr>
            </w:pPr>
          </w:p>
        </w:tc>
        <w:tc>
          <w:tcPr>
            <w:tcW w:w="2480" w:type="dxa"/>
            <w:vAlign w:val="bottom"/>
            <w:shd w:val="clear" w:color="auto" w:fill="CCEEFF"/>
          </w:tcPr>
          <w:p>
            <w:pPr>
              <w:ind w:left="140"/>
              <w:spacing w:after="0" w:line="208" w:lineRule="exact"/>
              <w:rPr>
                <w:sz w:val="20"/>
                <w:szCs w:val="20"/>
                <w:color w:val="auto"/>
              </w:rPr>
            </w:pPr>
            <w:r>
              <w:rPr>
                <w:rFonts w:ascii="Arial" w:cs="Arial" w:eastAsia="Arial" w:hAnsi="Arial"/>
                <w:sz w:val="14"/>
                <w:szCs w:val="14"/>
                <w:color w:val="auto"/>
              </w:rPr>
              <w:t xml:space="preserve">7/31/18)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6,425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6,398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(1,200,000 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1,047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Warrants (1,154,254</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460" w:type="dxa"/>
            <w:vAlign w:val="bottom"/>
            <w:shd w:val="clear" w:color="auto" w:fill="CCEEFF"/>
          </w:tcPr>
          <w:p>
            <w:pPr>
              <w:spacing w:after="0"/>
              <w:rPr>
                <w:sz w:val="15"/>
                <w:szCs w:val="15"/>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7,843</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8,452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TCE Holdings, Inc.</w:t>
            </w:r>
          </w:p>
        </w:tc>
        <w:tc>
          <w:tcPr>
            <w:tcW w:w="24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Subordinated Debt (12% Cash, 2%</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4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PIK, Due 2/1/19) </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13,718</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13,649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8,368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TCE Holdings, Inc.</w:t>
            </w:r>
          </w:p>
        </w:tc>
        <w:tc>
          <w:tcPr>
            <w:tcW w:w="24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Subordinated Debt (12% Cash, 2%</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4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PIK, Due 2/1/19) </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10,931</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10,876</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6,668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TCE Holdings, Inc.</w:t>
            </w:r>
          </w:p>
        </w:tc>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Class A Common Stock (3,600 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3,600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28,125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15,036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9"/>
              </w:rPr>
              <w:t>Senior Secured Term Debt (15% PIK,</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11/26/16)</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471</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1,047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98"/>
              </w:rPr>
              <w:t>Bridge Note (0% Cash, Due 11/26/16)</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663</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Tier 2 Note (0% Cash, Due 11/26/16)</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Senior Subordinated Note (0% Cash,</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4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Due 11/26/16)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3,563</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3,563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Tier 3 Note (0% Cash, Due 11/26/16)</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299</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98"/>
              </w:rPr>
              <w:t>Jr. Subordinated Note (0% Cash, Due</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4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 xml:space="preserve">11/26/16)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2,750</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Tier 4 Note (0% Cash, Due 11/26/16)</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243</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Series A-1 Preferred Stock (255,102</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Series A-3 Preferred Stock (88,194</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Series A-5 Preferred Stock (20,530</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1,327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 Marketing</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Warrants (2,063,629</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3,452</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10,206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99,290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117,350</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43.6</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- 26.3%</w:t>
            </w:r>
          </w:p>
        </w:tc>
        <w:tc>
          <w:tcPr>
            <w:tcW w:w="246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Computer Supply Retail</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5"/>
              </w:rPr>
              <w:t>Senior Secured Term Debt (12% Cash,</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 PIK, Due 5/24/18)</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11,025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11,025</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CableOrganizer Acquisition, LLC</w:t>
            </w:r>
          </w:p>
        </w:tc>
        <w:tc>
          <w:tcPr>
            <w:tcW w:w="2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Computer Supply Retail</w:t>
            </w:r>
          </w:p>
        </w:tc>
        <w:tc>
          <w:tcPr>
            <w:tcW w:w="24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(1,125,000 shares)</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1,125</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4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Computer Supply Retail</w:t>
            </w:r>
          </w:p>
        </w:tc>
        <w:tc>
          <w:tcPr>
            <w:tcW w:w="24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Warrants (570,000</w:t>
            </w: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12,150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24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81"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w w:val="99"/>
              </w:rPr>
              <w:t>Capitala Senior Liquid Loan Fund I, LLC</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Fund</w:t>
            </w: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 xml:space="preserve">Common Stock (80% ownership) </w:t>
            </w:r>
            <w:r>
              <w:rPr>
                <w:rFonts w:ascii="Arial" w:cs="Arial" w:eastAsia="Arial" w:hAnsi="Arial"/>
                <w:sz w:val="23"/>
                <w:szCs w:val="23"/>
                <w:color w:val="auto"/>
                <w:vertAlign w:val="superscript"/>
              </w:rPr>
              <w:t>(8)</w:t>
            </w: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17,867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17,867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2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Conglomerate</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Subordinated Debt (10% Cash, Due</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9/16/16)</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1,862</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2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Conglomerate</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Subordinated Debt (14% Cash, 4%</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PIK, Due 9/16/16)</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3,830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3,830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3,830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Conglomerate</w:t>
            </w: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Series A Preferred Units (47 units)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7,321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2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Textile Equipment Manufacturer</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Senior Secured Term Debt (15%, 2%</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78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PIK at Company's option, Due</w:t>
            </w: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780" w:type="dxa"/>
            <w:vAlign w:val="bottom"/>
            <w:shd w:val="clear" w:color="auto" w:fill="CCEEFF"/>
          </w:tcPr>
          <w:p>
            <w:pPr>
              <w:ind w:left="260"/>
              <w:spacing w:after="0" w:line="198" w:lineRule="exact"/>
              <w:rPr>
                <w:sz w:val="20"/>
                <w:szCs w:val="20"/>
                <w:color w:val="auto"/>
              </w:rPr>
            </w:pPr>
            <w:r>
              <w:rPr>
                <w:rFonts w:ascii="Arial" w:cs="Arial" w:eastAsia="Arial" w:hAnsi="Arial"/>
                <w:sz w:val="14"/>
                <w:szCs w:val="14"/>
                <w:color w:val="auto"/>
              </w:rPr>
              <w:t xml:space="preserve">10/30/20) </w:t>
            </w:r>
            <w:r>
              <w:rPr>
                <w:rFonts w:ascii="Arial" w:cs="Arial" w:eastAsia="Arial" w:hAnsi="Arial"/>
                <w:sz w:val="22"/>
                <w:szCs w:val="22"/>
                <w:color w:val="auto"/>
                <w:vertAlign w:val="superscript"/>
              </w:rPr>
              <w:t>(1) (10)</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Navis Holdings, Inc.</w:t>
            </w:r>
          </w:p>
        </w:tc>
        <w:tc>
          <w:tcPr>
            <w:tcW w:w="228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Textile Equipment Manufacturer</w:t>
            </w:r>
          </w:p>
        </w:tc>
        <w:tc>
          <w:tcPr>
            <w:tcW w:w="2780" w:type="dxa"/>
            <w:vAlign w:val="bottom"/>
            <w:shd w:val="clear" w:color="auto" w:fill="CCEEFF"/>
          </w:tcPr>
          <w:p>
            <w:pPr>
              <w:ind w:left="260"/>
              <w:spacing w:after="0" w:line="140" w:lineRule="exact"/>
              <w:rPr>
                <w:sz w:val="20"/>
                <w:szCs w:val="20"/>
                <w:color w:val="auto"/>
              </w:rPr>
            </w:pPr>
            <w:r>
              <w:rPr>
                <w:rFonts w:ascii="Arial" w:cs="Arial" w:eastAsia="Arial" w:hAnsi="Arial"/>
                <w:sz w:val="14"/>
                <w:szCs w:val="14"/>
                <w:color w:val="auto"/>
              </w:rPr>
              <w:t>Class A Preferred Stock (1,000 shares,</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780" w:type="dxa"/>
            <w:vAlign w:val="bottom"/>
            <w:shd w:val="clear" w:color="auto" w:fill="CCEEFF"/>
          </w:tcPr>
          <w:p>
            <w:pPr>
              <w:ind w:left="260"/>
              <w:spacing w:after="0" w:line="198" w:lineRule="exact"/>
              <w:rPr>
                <w:sz w:val="20"/>
                <w:szCs w:val="20"/>
                <w:color w:val="auto"/>
              </w:rPr>
            </w:pPr>
            <w:r>
              <w:rPr>
                <w:rFonts w:ascii="Arial" w:cs="Arial" w:eastAsia="Arial" w:hAnsi="Arial"/>
                <w:sz w:val="14"/>
                <w:szCs w:val="14"/>
                <w:color w:val="auto"/>
              </w:rPr>
              <w:t xml:space="preserve">10% Cash Dividend) </w:t>
            </w:r>
            <w:r>
              <w:rPr>
                <w:rFonts w:ascii="Arial" w:cs="Arial" w:eastAsia="Arial" w:hAnsi="Arial"/>
                <w:sz w:val="22"/>
                <w:szCs w:val="22"/>
                <w:color w:val="auto"/>
                <w:vertAlign w:val="superscript"/>
              </w:rPr>
              <w:t>(6)</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Textile Equipment Manufacturer</w:t>
            </w: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(300,000 shares)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5,354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7,501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12,854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On-Site Fuel Services, Inc.</w:t>
            </w:r>
          </w:p>
        </w:tc>
        <w:tc>
          <w:tcPr>
            <w:tcW w:w="228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Fuel Transportation Services</w:t>
            </w:r>
          </w:p>
        </w:tc>
        <w:tc>
          <w:tcPr>
            <w:tcW w:w="2780" w:type="dxa"/>
            <w:vAlign w:val="bottom"/>
            <w:shd w:val="clear" w:color="auto" w:fill="CCEEFF"/>
          </w:tcPr>
          <w:p>
            <w:pPr>
              <w:ind w:left="260"/>
              <w:spacing w:after="0" w:line="140" w:lineRule="exact"/>
              <w:rPr>
                <w:sz w:val="20"/>
                <w:szCs w:val="20"/>
                <w:color w:val="auto"/>
              </w:rPr>
            </w:pPr>
            <w:r>
              <w:rPr>
                <w:rFonts w:ascii="Arial" w:cs="Arial" w:eastAsia="Arial" w:hAnsi="Arial"/>
                <w:sz w:val="14"/>
                <w:szCs w:val="14"/>
                <w:color w:val="auto"/>
              </w:rPr>
              <w:t>Subordinated Debt (14% Cash, 4%</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780" w:type="dxa"/>
            <w:vAlign w:val="bottom"/>
            <w:shd w:val="clear" w:color="auto" w:fill="CCEEFF"/>
          </w:tcPr>
          <w:p>
            <w:pPr>
              <w:ind w:left="260"/>
              <w:spacing w:after="0" w:line="198" w:lineRule="exact"/>
              <w:rPr>
                <w:sz w:val="20"/>
                <w:szCs w:val="20"/>
                <w:color w:val="auto"/>
              </w:rPr>
            </w:pPr>
            <w:r>
              <w:rPr>
                <w:rFonts w:ascii="Arial" w:cs="Arial" w:eastAsia="Arial" w:hAnsi="Arial"/>
                <w:sz w:val="14"/>
                <w:szCs w:val="14"/>
                <w:color w:val="auto"/>
              </w:rPr>
              <w:t xml:space="preserve">PIK, Due 12/19/16) </w:t>
            </w:r>
            <w:r>
              <w:rPr>
                <w:rFonts w:ascii="Arial" w:cs="Arial" w:eastAsia="Arial" w:hAnsi="Arial"/>
                <w:sz w:val="22"/>
                <w:szCs w:val="22"/>
                <w:color w:val="auto"/>
                <w:vertAlign w:val="superscript"/>
              </w:rPr>
              <w:t>(2)</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8,539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8,448</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4,425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Fuel Transportation Services</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Series A Preferred Stock (32,782</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shares)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3,278</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Fuel Transportation Services</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Series B Preferred Stock (23,648</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shares)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2,365</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Fuel Transportation Services</w:t>
            </w: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(33,107 shares)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14,124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4,425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Print Direction, Inc.</w:t>
            </w:r>
          </w:p>
        </w:tc>
        <w:tc>
          <w:tcPr>
            <w:tcW w:w="2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Printing Services</w:t>
            </w:r>
          </w:p>
        </w:tc>
        <w:tc>
          <w:tcPr>
            <w:tcW w:w="278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Senior Secured Term Debt (10% Cash,</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 PIK, Due 2/24/19)</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15,780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15,780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15,780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 Direction, Inc.</w:t>
            </w:r>
          </w:p>
        </w:tc>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Printing Services</w:t>
            </w:r>
          </w:p>
        </w:tc>
        <w:tc>
          <w:tcPr>
            <w:tcW w:w="27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Stock (18,543 shares)</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2,990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1,253</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Printing Services</w:t>
            </w:r>
          </w:p>
        </w:tc>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Warrants (820 shares)</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18,770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17,088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w:t>
            </w:r>
          </w:p>
        </w:tc>
        <w:tc>
          <w:tcPr>
            <w:tcW w:w="2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79,866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70,593</w:t>
            </w:r>
          </w:p>
        </w:tc>
        <w:tc>
          <w:tcPr>
            <w:tcW w:w="9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26.3</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- 220.4%</w:t>
            </w:r>
          </w:p>
        </w:tc>
        <w:tc>
          <w:tcPr>
            <w:tcW w:w="2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570,187</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592,456</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220.4</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Percentages are based on net assets of $268,802 as of December 31, 2015.</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jc w:val="both"/>
        <w:ind w:right="60" w:firstLine="8"/>
        <w:spacing w:after="0" w:line="250"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2015, 7.3% of the Company's total assets were non-qualifying assets.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$2.8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amended to 15% PIK through February 15, 2016.</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amended to 15% through June 30, 2016</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was amended to zero. The Company will receive earn-out payments of up to $2.4 million in satisfaction of the debt.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is an “emerging growth company” within the meaning of the Jumpstart Our Business Startups Act of 2012 (the “JOBS Act”), and as such, is subject to reduced public company reporting requirements.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the Company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82"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middle-market companies.</w:t>
      </w:r>
    </w:p>
    <w:p>
      <w:pPr>
        <w:spacing w:after="0" w:line="158"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primarily in traditional mezzanine, senior subordinated and unitranche debt, as well as senior and second-lien loans and, to a lesser extent, equity securities issued by lower middle-market and middle-market companies.</w:t>
      </w:r>
    </w:p>
    <w:p>
      <w:pPr>
        <w:spacing w:after="0" w:line="193"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continued to hold their existing investments and continue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March 31, 2016, the Company had 15,799,635 shares of common stock outstanding.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The accompanying unaudited financial statements have been prepared on the accrual basis of accounting in conformity with United States generally accepted accounting principles (“U.S. GAAP”) for interim financial information and pursuant to the requirements for reporting on Form 10-Q and Article 10 and Article 6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periods,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2015, filed with the SEC on March 8, 2016.</w:t>
      </w:r>
    </w:p>
    <w:p>
      <w:pPr>
        <w:spacing w:after="0" w:line="179"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The Company’s financial position as of March 31, 2016 is presented on a consolidated basis. The effects of all intercompany transactions between the Company and its consolidated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4"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 xml:space="preserve">The Company is considered an investment company as defined in Accounting Standards Codification (“ASC”) Topic 946 </w:t>
      </w:r>
      <w:r>
        <w:rPr>
          <w:rFonts w:ascii="Arial" w:cs="Arial" w:eastAsia="Arial" w:hAnsi="Arial"/>
          <w:sz w:val="18"/>
          <w:szCs w:val="18"/>
          <w:i w:val="1"/>
          <w:iCs w:val="1"/>
          <w:color w:val="auto"/>
        </w:rPr>
        <w:t>– Financial Services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Companies </w:t>
      </w:r>
      <w:r>
        <w:rPr>
          <w:rFonts w:ascii="Arial" w:cs="Arial" w:eastAsia="Arial" w:hAnsi="Arial"/>
          <w:sz w:val="18"/>
          <w:szCs w:val="18"/>
          <w:color w:val="auto"/>
        </w:rPr>
        <w:t>(“ASC Topic 946”) . Accordingly, the required disclosures as outlined in the Accounting Standards Update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As provided under Regulation S-X and ASC Topic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subsidiaries in its consolidated financial statements. The Company does not consolidate its interests in Capitala Senior Liquid Loan Fund I, LLC (“CSLLF”) because the investment is not considered a substantially wholly owned investment company subsidiary. Further, CSLLF is a joint venture for which shared power exists relating to the decisions that most significantly impacts the economic performance of the entity. See Note 4 for a description of the Company’s investment in CSLLF.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Topic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80" w:firstLine="881"/>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(“FDIC”)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right="120" w:firstLine="881"/>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determining fair value, the Company’s board of directors (the “Board”) uses various valuation approaches, and engages a third-party valuation firm, which provides an independent valuation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8" w:name="page19"/>
    <w:bookmarkEnd w:id="18"/>
    <w:p>
      <w:pPr>
        <w:ind w:right="20" w:firstLine="881"/>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ind w:right="100" w:firstLine="881"/>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original issue discount or premium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As a practical expedient, the Company uses the net asset value (“NAV”) as the fair value of CSLLF. CSLLF records its underlying investments at fair value on a daily basis utilizing pricing information from third-party sources. Management may perform model-based analytical valuations in instances where an investment is considered illiquid or for which pricing is not available from third-party sources.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valuation methodologies are utilized by the company in estimating fair value and are summarized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right="360" w:firstLine="881"/>
        <w:spacing w:after="0" w:line="264" w:lineRule="auto"/>
        <w:rPr>
          <w:sz w:val="20"/>
          <w:szCs w:val="20"/>
          <w:color w:val="auto"/>
        </w:rPr>
      </w:pPr>
      <w:r>
        <w:rPr>
          <w:rFonts w:ascii="Arial" w:cs="Arial" w:eastAsia="Arial" w:hAnsi="Arial"/>
          <w:sz w:val="18"/>
          <w:szCs w:val="18"/>
          <w:color w:val="auto"/>
        </w:rPr>
        <w:t>The asset approach values an investment based on the greater of the enterprise value or the underlying collateral securing the investment. See discussion of determining enterprise value above. This approach is used when the Company has reason to believe that it will not collect all principal and interest in accordance with the contractual terms of the debt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48" w:gutter="0" w:footer="0" w:header="0"/>
        </w:sectPr>
      </w:pPr>
    </w:p>
    <w:bookmarkStart w:id="19" w:name="page20"/>
    <w:bookmarkEnd w:id="19"/>
    <w:p>
      <w:pPr>
        <w:ind w:right="140" w:firstLine="881"/>
        <w:spacing w:after="0" w:line="271"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Generally, when interest and/or principal payments on a loan become 90 days or more past due, or if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Dividend income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ind w:right="60" w:firstLine="881"/>
        <w:spacing w:after="0" w:line="308" w:lineRule="auto"/>
        <w:rPr>
          <w:sz w:val="20"/>
          <w:szCs w:val="20"/>
          <w:color w:val="auto"/>
        </w:rPr>
      </w:pPr>
      <w:r>
        <w:rPr>
          <w:rFonts w:ascii="Arial" w:cs="Arial" w:eastAsia="Arial" w:hAnsi="Arial"/>
          <w:sz w:val="17"/>
          <w:szCs w:val="17"/>
          <w:i w:val="1"/>
          <w:iCs w:val="1"/>
          <w:color w:val="auto"/>
        </w:rPr>
        <w:t xml:space="preserve">Original issue discount/premiums: </w:t>
      </w:r>
      <w:r>
        <w:rPr>
          <w:rFonts w:ascii="Arial" w:cs="Arial" w:eastAsia="Arial" w:hAnsi="Arial"/>
          <w:sz w:val="17"/>
          <w:szCs w:val="17"/>
          <w:color w:val="auto"/>
        </w:rPr>
        <w:t>Discounts/premiums received to par on loans purchased are capitalized and accreted or amortized into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life of the loan. Any remaining discount/premium is accreted or amortized into income upon prepayment of the loan.</w:t>
      </w:r>
    </w:p>
    <w:p>
      <w:pPr>
        <w:spacing w:after="0" w:line="147"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40" w:firstLine="881"/>
        <w:spacing w:after="0" w:line="286" w:lineRule="auto"/>
        <w:rPr>
          <w:sz w:val="20"/>
          <w:szCs w:val="20"/>
          <w:color w:val="auto"/>
        </w:rPr>
      </w:pPr>
      <w:r>
        <w:rPr>
          <w:rFonts w:ascii="Arial" w:cs="Arial" w:eastAsia="Arial" w:hAnsi="Arial"/>
          <w:sz w:val="17"/>
          <w:szCs w:val="17"/>
          <w:color w:val="auto"/>
        </w:rPr>
        <w:t>General and administrative expenses are accrued as incurred. The Company’s administrative expenses include personnel and overhead expenses allocable to the Company under the Administration Agreement paid by and reimbursed to the Administrator. Other operating expenses such as legal and audit fees, director fees, director and officer insurance, and other expenses are generally paid directly by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firstLine="891"/>
        <w:spacing w:after="0" w:line="264" w:lineRule="auto"/>
        <w:rPr>
          <w:sz w:val="20"/>
          <w:szCs w:val="20"/>
          <w:color w:val="auto"/>
        </w:rPr>
      </w:pPr>
      <w:r>
        <w:rPr>
          <w:rFonts w:ascii="Arial" w:cs="Arial" w:eastAsia="Arial" w:hAnsi="Arial"/>
          <w:sz w:val="18"/>
          <w:szCs w:val="18"/>
          <w:color w:val="auto"/>
        </w:rPr>
        <w:t>As of March 31, 2016 and December 31, 2015, the Company had outstanding unfunded commitments related to debt investments in existing portfolio companies of $1.6 million and $4.4 million, respectively. Based on the current cash balance and availability under the Company’s Credit Facility, the Company believes it has sufficient liquidity to fund its unfunded commitments as of March 31, 2016.</w:t>
      </w:r>
    </w:p>
    <w:p>
      <w:pPr>
        <w:spacing w:after="0" w:line="181" w:lineRule="exact"/>
        <w:rPr>
          <w:sz w:val="20"/>
          <w:szCs w:val="20"/>
          <w:color w:val="auto"/>
        </w:rPr>
      </w:pPr>
    </w:p>
    <w:p>
      <w:pPr>
        <w:ind w:right="300" w:firstLine="881"/>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believes that the likelihood of such an event is remote.</w:t>
      </w:r>
    </w:p>
    <w:p>
      <w:pPr>
        <w:spacing w:after="0" w:line="181" w:lineRule="exact"/>
        <w:rPr>
          <w:sz w:val="20"/>
          <w:szCs w:val="20"/>
          <w:color w:val="auto"/>
        </w:rPr>
      </w:pPr>
    </w:p>
    <w:p>
      <w:pPr>
        <w:ind w:right="120" w:firstLine="881"/>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of occurring as of March 31, 2016 and December 31, 2015. Management is of the opinion that the ultimate resolution of such claims will not materially affect the company’s business, financial position, results of operations or liquidity. Furthermore, in management’s opinion, it is not possible to estimate a range of reasonably possible losses with respect to other litigation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881"/>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 For income tax purposes, the Company has paid distributions on its common stock from ordinary income in the amount of $25.1 million during the tax year ended August 31, 2015.</w:t>
      </w:r>
    </w:p>
    <w:p>
      <w:pPr>
        <w:spacing w:after="0" w:line="179"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2016 and December 31, 2015, there were no uncertain tax positions.</w:t>
      </w:r>
    </w:p>
    <w:p>
      <w:pPr>
        <w:spacing w:after="0" w:line="193"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The Company’s activities since commencement of operations remain subject to examination by U.S. federal, state, and local tax authorities. No interest expense or penalties have been assessed for the three months ended March 31, 2016 and March 31, 2015. If the Company were required to recognize interest and penalties, if any, related to unrecognized tax benefits this would be recognized as income tax expense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881"/>
        <w:spacing w:after="0" w:line="342" w:lineRule="auto"/>
        <w:rPr>
          <w:sz w:val="20"/>
          <w:szCs w:val="20"/>
          <w:color w:val="auto"/>
        </w:rPr>
      </w:pPr>
      <w:r>
        <w:rPr>
          <w:rFonts w:ascii="Arial" w:cs="Arial" w:eastAsia="Arial" w:hAnsi="Arial"/>
          <w:sz w:val="16"/>
          <w:szCs w:val="16"/>
          <w:color w:val="auto"/>
        </w:rPr>
        <w:t>Dividends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124" w:lineRule="exact"/>
        <w:rPr>
          <w:sz w:val="20"/>
          <w:szCs w:val="20"/>
          <w:color w:val="auto"/>
        </w:rPr>
      </w:pPr>
    </w:p>
    <w:p>
      <w:pPr>
        <w:ind w:right="100" w:firstLine="881"/>
        <w:spacing w:after="0" w:line="279" w:lineRule="auto"/>
        <w:rPr>
          <w:sz w:val="20"/>
          <w:szCs w:val="20"/>
          <w:color w:val="auto"/>
        </w:rPr>
      </w:pPr>
      <w:r>
        <w:rPr>
          <w:rFonts w:ascii="Arial" w:cs="Arial" w:eastAsia="Arial" w:hAnsi="Arial"/>
          <w:sz w:val="17"/>
          <w:szCs w:val="17"/>
          <w:color w:val="auto"/>
        </w:rPr>
        <w:t>The Company has adopted an “opt out” dividend reinvestment plan for common stockholders. As a result, if the Company declares a cash dividend or other distribution, each stockholder that has not “opted out” of the dividend reinvestment plan will have its dividends automatically reinvested in additional shares of the Company’s common stock rather than receiving cash dividends. Stockholders who receive distributions in the form of shares of common stock will be subject to the same federal, state and local tax consequences as if they received cash distributions.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ind w:right="240" w:firstLine="881"/>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160" w:firstLine="881"/>
        <w:spacing w:after="0" w:line="279" w:lineRule="auto"/>
        <w:rPr>
          <w:sz w:val="20"/>
          <w:szCs w:val="20"/>
          <w:color w:val="auto"/>
        </w:rPr>
      </w:pPr>
      <w:r>
        <w:rPr>
          <w:rFonts w:ascii="Arial" w:cs="Arial" w:eastAsia="Arial" w:hAnsi="Arial"/>
          <w:sz w:val="17"/>
          <w:szCs w:val="17"/>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ind w:right="460" w:firstLine="881"/>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right="100" w:firstLine="881"/>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60" w:firstLine="926"/>
        <w:spacing w:after="0" w:line="272" w:lineRule="auto"/>
        <w:rPr>
          <w:sz w:val="20"/>
          <w:szCs w:val="20"/>
          <w:color w:val="auto"/>
        </w:rPr>
      </w:pPr>
      <w:r>
        <w:rPr>
          <w:rFonts w:ascii="Arial" w:cs="Arial" w:eastAsia="Arial" w:hAnsi="Arial"/>
          <w:sz w:val="17"/>
          <w:szCs w:val="17"/>
          <w:color w:val="auto"/>
        </w:rPr>
        <w:t xml:space="preserve">In April 2015, FASB issued Accounting Standards Update “ASU” No. 2015-03, </w:t>
      </w:r>
      <w:r>
        <w:rPr>
          <w:rFonts w:ascii="Arial" w:cs="Arial" w:eastAsia="Arial" w:hAnsi="Arial"/>
          <w:sz w:val="17"/>
          <w:szCs w:val="17"/>
          <w:i w:val="1"/>
          <w:iCs w:val="1"/>
          <w:color w:val="auto"/>
        </w:rPr>
        <w:t>Interest - Imputation of Interest (Subtopic 835-30):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Presentation of Debt Issuance Costs (“ASU 2015-03”)</w:t>
      </w:r>
      <w:r>
        <w:rPr>
          <w:rFonts w:ascii="Arial" w:cs="Arial" w:eastAsia="Arial" w:hAnsi="Arial"/>
          <w:sz w:val="17"/>
          <w:szCs w:val="17"/>
          <w:color w:val="auto"/>
        </w:rPr>
        <w:t>. ASU 2015-03 requires that debt issuance costs related to a recognized debt liability be 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consolidated statements of assets and liabilities as a direct deduction from the carrying amount of that debt liability, consistent with debt discounts. The recognition and measurement guidance for debt issuance costs are not affected by the amendments in this ASU. ASU 2015-03 is effective for fiscal years that begin after December 15, 2015 and early adoption is permitted. Management elected to early adopt this standard as of October 1, 2015 and the required disclosures are presented in the consolidated financial statements. The adoption of the provisions of ASU 2015-03 did not materially impact the Company’s consolidated financial position or results of operations.</w:t>
      </w:r>
    </w:p>
    <w:p>
      <w:pPr>
        <w:spacing w:after="0" w:line="178" w:lineRule="exact"/>
        <w:rPr>
          <w:sz w:val="20"/>
          <w:szCs w:val="20"/>
          <w:color w:val="auto"/>
        </w:rPr>
      </w:pPr>
    </w:p>
    <w:p>
      <w:pPr>
        <w:jc w:val="both"/>
        <w:ind w:right="140" w:firstLine="881"/>
        <w:spacing w:after="0" w:line="276" w:lineRule="auto"/>
        <w:rPr>
          <w:sz w:val="20"/>
          <w:szCs w:val="20"/>
          <w:color w:val="auto"/>
        </w:rPr>
      </w:pPr>
      <w:r>
        <w:rPr>
          <w:rFonts w:ascii="Arial" w:cs="Arial" w:eastAsia="Arial" w:hAnsi="Arial"/>
          <w:sz w:val="17"/>
          <w:szCs w:val="17"/>
          <w:color w:val="auto"/>
        </w:rPr>
        <w:t xml:space="preserve">In May 2015, the FASB issued ASU No. 2015-07, </w:t>
      </w:r>
      <w:r>
        <w:rPr>
          <w:rFonts w:ascii="Arial" w:cs="Arial" w:eastAsia="Arial" w:hAnsi="Arial"/>
          <w:sz w:val="17"/>
          <w:szCs w:val="17"/>
          <w:i w:val="1"/>
          <w:iCs w:val="1"/>
          <w:color w:val="auto"/>
        </w:rPr>
        <w:t>Fair Value Measurement (Topic 820) — Disclosures for Investments in Certain Entities That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Calculate Net Asset Value per Share. </w:t>
      </w:r>
      <w:r>
        <w:rPr>
          <w:rFonts w:ascii="Arial" w:cs="Arial" w:eastAsia="Arial" w:hAnsi="Arial"/>
          <w:sz w:val="17"/>
          <w:szCs w:val="17"/>
          <w:color w:val="auto"/>
        </w:rPr>
        <w:t>ASU 2015-07 permits a reporting entity, as a practical expedient, to measure the fair value of certain investments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net asset value per share of the investment and provides guidance on required disclosures for such investments. The standard is effective for interim and annual reporting periods in fiscal years that begin after December 15, 2015 and early adoption is permitted. The adoption of the provisions of ASU 2015-07 did not materially impact the Company’s consolidated financial position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4. Investments and Fair Value Measurements</w:t>
      </w:r>
    </w:p>
    <w:p>
      <w:pPr>
        <w:spacing w:after="0" w:line="229"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The Company’s investment objective is to generate both current income and capital appreciation through debt and equity investments. Both directly and through our subsidiaries that are licensed by the SBA under the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lower middle-market and middle-market companies. As of March 31, 2016, our portfolio consisted of investments in 56 portfolio companies with a fair value of approximately $599.7 million.</w:t>
      </w:r>
    </w:p>
    <w:p>
      <w:pPr>
        <w:spacing w:after="0" w:line="193"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During the three months ended March 31, 2016, the Company made approximately $27.5 million of investments and had approximately $10.2 million in exits and repayments resulting in net investments of approximately $17.3 million for the period. During the three months ended March 31, 2015, the Company made approximately $67.2 million of investments and had approximately $34.6 million in exits and repayments resulting in net investments of approximately $32.6 million for the period.</w:t>
      </w:r>
    </w:p>
    <w:p>
      <w:pPr>
        <w:spacing w:after="0" w:line="187"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During the three months ended March 31, 2016, the Company funded $2.8 million of previously committed capital to existing portfolio companies. During the three months ended March 31, 2016, the Company funded $24.7 million of investments in portfolio companies for which it was not previously committed to provide the financial support. During the three months ended March 31, 2015, all new investments were made to portfolio companies in which the Company was not previously contractually obligated to provide financing support.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three months ended March 31, 2016 and March 31,2015, the Company did not lead any syndicates and did not assist any portfolio companies in obtaining indirect financing.</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composition of our investments as of March 31, 2016, at amortized cost and fair value were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Investments at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Investments at</w:t>
            </w: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Total Portfolio</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8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230,034</w:t>
            </w:r>
          </w:p>
        </w:tc>
        <w:tc>
          <w:tcPr>
            <w:tcW w:w="18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217,164</w:t>
            </w:r>
          </w:p>
        </w:tc>
        <w:tc>
          <w:tcPr>
            <w:tcW w:w="20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Subordinated Debt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283,579</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266,224</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44.4</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53,207</w:t>
            </w:r>
          </w:p>
        </w:tc>
        <w:tc>
          <w:tcPr>
            <w:tcW w:w="1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97,843</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Capitala Senior Liquid Loan Fund I, LLC</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20,000</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18,510</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586,820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color w:val="auto"/>
        </w:rPr>
        <w:t>The composition of our investments as of December 31, 2015, at amortized cost and fair value were as follows (dollars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Investments at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Investments at</w:t>
            </w: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Total Portfolio</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Total Portfolio</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226,973</w:t>
            </w:r>
          </w:p>
        </w:tc>
        <w:tc>
          <w:tcPr>
            <w:tcW w:w="18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218,660</w:t>
            </w:r>
          </w:p>
        </w:tc>
        <w:tc>
          <w:tcPr>
            <w:tcW w:w="20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Subordinated Debt</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268,899</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256,278</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54,315</w:t>
            </w:r>
          </w:p>
        </w:tc>
        <w:tc>
          <w:tcPr>
            <w:tcW w:w="1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99,651</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Capitala Senior Liquid Loan Fund I, LLC</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20,000</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17,867</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570,187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280" w:firstLine="881"/>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920" w:hanging="331"/>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ind w:firstLine="891"/>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we evaluate the source of inputs, including any markets in which our investments are trading, in determining fair value.</w:t>
      </w:r>
    </w:p>
    <w:p>
      <w:pPr>
        <w:spacing w:after="0" w:line="181" w:lineRule="exact"/>
        <w:rPr>
          <w:sz w:val="20"/>
          <w:szCs w:val="20"/>
          <w:color w:val="auto"/>
        </w:rPr>
      </w:pPr>
    </w:p>
    <w:p>
      <w:pPr>
        <w:ind w:right="240" w:firstLine="891"/>
        <w:spacing w:after="0" w:line="312" w:lineRule="auto"/>
        <w:rPr>
          <w:sz w:val="20"/>
          <w:szCs w:val="20"/>
          <w:color w:val="auto"/>
        </w:rPr>
      </w:pPr>
      <w:r>
        <w:rPr>
          <w:rFonts w:ascii="Arial" w:cs="Arial" w:eastAsia="Arial" w:hAnsi="Arial"/>
          <w:sz w:val="16"/>
          <w:szCs w:val="16"/>
          <w:color w:val="auto"/>
        </w:rPr>
        <w:t>In estimating fair value of portfolio investments, the Company starts with the cost basis of the investment, which includes amortized original issue discount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47" w:lineRule="exact"/>
        <w:rPr>
          <w:sz w:val="20"/>
          <w:szCs w:val="20"/>
          <w:color w:val="auto"/>
        </w:rPr>
      </w:pPr>
    </w:p>
    <w:p>
      <w:pPr>
        <w:ind w:right="180" w:firstLine="89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March 31, 2016 (dollars in thousands), according to the fair value hierarchy:</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345"/>
        </w:trPr>
        <w:tc>
          <w:tcPr>
            <w:tcW w:w="50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30"/>
                <w:szCs w:val="30"/>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217,164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Subordinated Debt</w:t>
            </w:r>
          </w:p>
        </w:tc>
        <w:tc>
          <w:tcPr>
            <w:tcW w:w="8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266,224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266,224</w:t>
            </w:r>
          </w:p>
        </w:tc>
        <w:tc>
          <w:tcPr>
            <w:tcW w:w="100" w:type="dxa"/>
            <w:vAlign w:val="bottom"/>
          </w:tcPr>
          <w:p>
            <w:pPr>
              <w:spacing w:after="0"/>
              <w:rPr>
                <w:sz w:val="18"/>
                <w:szCs w:val="18"/>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8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895</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96,948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97,843</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895</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580,336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581,231</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Excludes our $18.5 million investment in CSLLF, measured at NAV.</w:t>
      </w:r>
    </w:p>
    <w:p>
      <w:pPr>
        <w:spacing w:after="0" w:line="225"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2015 (dollars in thousands), according to the fair value hierarchy:</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345"/>
        </w:trPr>
        <w:tc>
          <w:tcPr>
            <w:tcW w:w="5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30"/>
                <w:szCs w:val="30"/>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218,660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Subordinated Debt</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256,278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256,278</w:t>
            </w:r>
          </w:p>
        </w:tc>
        <w:tc>
          <w:tcPr>
            <w:tcW w:w="100" w:type="dxa"/>
            <w:vAlign w:val="bottom"/>
          </w:tcPr>
          <w:p>
            <w:pPr>
              <w:spacing w:after="0"/>
              <w:rPr>
                <w:sz w:val="18"/>
                <w:szCs w:val="18"/>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98,480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99,651</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573,418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574,589</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Excludes our $17.9 million investment in CSLLF, measured at NAV.</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25" w:right="279" w:bottom="856" w:gutter="0" w:footer="0" w:header="0"/>
        </w:sectPr>
      </w:pPr>
    </w:p>
    <w:bookmarkStart w:id="23" w:name="page24"/>
    <w:bookmarkEnd w:id="23"/>
    <w:p>
      <w:pPr>
        <w:ind w:right="16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2016 (dollars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Senior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Secured</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Subordinated</w:t>
            </w:r>
          </w:p>
        </w:tc>
        <w:tc>
          <w:tcPr>
            <w:tcW w:w="2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18"/>
                <w:szCs w:val="18"/>
                <w:color w:val="auto"/>
              </w:rPr>
            </w:pPr>
          </w:p>
        </w:tc>
        <w:tc>
          <w:tcPr>
            <w:tcW w:w="980" w:type="dxa"/>
            <w:vAlign w:val="bottom"/>
            <w:gridSpan w:val="3"/>
            <w:vMerge w:val="restart"/>
          </w:tcPr>
          <w:p>
            <w:pPr>
              <w:jc w:val="right"/>
              <w:ind w:right="340"/>
              <w:spacing w:after="0"/>
              <w:rPr>
                <w:sz w:val="20"/>
                <w:szCs w:val="20"/>
                <w:color w:val="auto"/>
              </w:rPr>
            </w:pPr>
            <w:r>
              <w:rPr>
                <w:rFonts w:ascii="Arial" w:cs="Arial" w:eastAsia="Arial" w:hAnsi="Arial"/>
                <w:sz w:val="18"/>
                <w:szCs w:val="18"/>
                <w:b w:val="1"/>
                <w:bCs w:val="1"/>
                <w:color w:val="auto"/>
                <w:w w:val="91"/>
              </w:rPr>
              <w:t>Total</w:t>
            </w:r>
            <w:r>
              <w:rPr>
                <w:rFonts w:ascii="Arial" w:cs="Arial" w:eastAsia="Arial" w:hAnsi="Arial"/>
                <w:sz w:val="30"/>
                <w:szCs w:val="30"/>
                <w:b w:val="1"/>
                <w:bCs w:val="1"/>
                <w:color w:val="auto"/>
                <w:w w:val="91"/>
                <w:vertAlign w:val="superscript"/>
              </w:rPr>
              <w:t>(1)</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Debt</w:t>
            </w:r>
          </w:p>
        </w:tc>
        <w:tc>
          <w:tcPr>
            <w:tcW w:w="22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Debt</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and Warrants</w:t>
            </w:r>
          </w:p>
        </w:tc>
        <w:tc>
          <w:tcPr>
            <w:tcW w:w="18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218,660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256,278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Repayments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(2,699)</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(6,330)</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19,267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Payment in-kind interest and dividends accrued</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Realized gain/(loss)</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(4,556)</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(4,735)</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 as of March 31,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217,164</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266,224</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96,948</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Excludes our $18.5 million investment in CSLLF, measured at NAV.</w:t>
      </w:r>
    </w:p>
    <w:p>
      <w:pPr>
        <w:spacing w:after="0" w:line="225"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2015 (dollars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Senior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Secured</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Subordinated</w:t>
            </w:r>
          </w:p>
        </w:tc>
        <w:tc>
          <w:tcPr>
            <w:tcW w:w="2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18"/>
                <w:szCs w:val="18"/>
                <w:color w:val="auto"/>
              </w:rPr>
            </w:pPr>
          </w:p>
        </w:tc>
        <w:tc>
          <w:tcPr>
            <w:tcW w:w="980" w:type="dxa"/>
            <w:vAlign w:val="bottom"/>
            <w:gridSpan w:val="3"/>
            <w:vMerge w:val="restart"/>
          </w:tcPr>
          <w:p>
            <w:pPr>
              <w:jc w:val="right"/>
              <w:ind w:right="340"/>
              <w:spacing w:after="0"/>
              <w:rPr>
                <w:sz w:val="20"/>
                <w:szCs w:val="20"/>
                <w:color w:val="auto"/>
              </w:rPr>
            </w:pPr>
            <w:r>
              <w:rPr>
                <w:rFonts w:ascii="Arial" w:cs="Arial" w:eastAsia="Arial" w:hAnsi="Arial"/>
                <w:sz w:val="18"/>
                <w:szCs w:val="18"/>
                <w:b w:val="1"/>
                <w:bCs w:val="1"/>
                <w:color w:val="auto"/>
                <w:w w:val="91"/>
              </w:rPr>
              <w:t>Total</w:t>
            </w:r>
            <w:r>
              <w:rPr>
                <w:rFonts w:ascii="Arial" w:cs="Arial" w:eastAsia="Arial" w:hAnsi="Arial"/>
                <w:sz w:val="30"/>
                <w:szCs w:val="30"/>
                <w:b w:val="1"/>
                <w:bCs w:val="1"/>
                <w:color w:val="auto"/>
                <w:w w:val="91"/>
                <w:vertAlign w:val="superscript"/>
              </w:rPr>
              <w:t>(1)</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Debt</w:t>
            </w:r>
          </w:p>
        </w:tc>
        <w:tc>
          <w:tcPr>
            <w:tcW w:w="22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Debt</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and Warrants</w:t>
            </w:r>
          </w:p>
        </w:tc>
        <w:tc>
          <w:tcPr>
            <w:tcW w:w="18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Repayments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(17,966)</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34,916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22,297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Payment in-kind interest and dividends accrued</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Realized gain/(loss)</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(3,350)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appreciation/(depreciation)</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4,027</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(8,952)</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 as of March 31,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181,867</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233,534</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83,474</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498,875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Excludes our $10.0 million investment in CSLLF, measured at NAV.</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net change in unrealized depreciation on investments held as of March 31, 2016 and March 31, 2015, was $(11.2) million and $(7.6) million, respectively, and is included in net unrealized depreciation on investments in the consolidated statements of operations.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4" w:name="page25"/>
    <w:bookmarkEnd w:id="24"/>
    <w:p>
      <w:pPr>
        <w:ind w:right="220" w:firstLine="881"/>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March 31, 2016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xml:space="preserve">Fair Value </w:t>
            </w:r>
            <w:r>
              <w:rPr>
                <w:rFonts w:ascii="Arial" w:cs="Arial" w:eastAsia="Arial" w:hAnsi="Arial"/>
                <w:sz w:val="23"/>
                <w:szCs w:val="23"/>
                <w:b w:val="1"/>
                <w:bCs w:val="1"/>
                <w:color w:val="auto"/>
                <w:w w:val="91"/>
                <w:vertAlign w:val="superscript"/>
              </w:rPr>
              <w:t>(2)</w:t>
            </w:r>
          </w:p>
        </w:tc>
        <w:tc>
          <w:tcPr>
            <w:tcW w:w="120" w:type="dxa"/>
            <w:vAlign w:val="bottom"/>
          </w:tcPr>
          <w:p>
            <w:pPr>
              <w:spacing w:after="0"/>
              <w:rPr>
                <w:sz w:val="22"/>
                <w:szCs w:val="22"/>
                <w:color w:val="auto"/>
              </w:rPr>
            </w:pPr>
          </w:p>
        </w:tc>
        <w:tc>
          <w:tcPr>
            <w:tcW w:w="22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Valuation Approach</w:t>
            </w:r>
          </w:p>
        </w:tc>
        <w:tc>
          <w:tcPr>
            <w:tcW w:w="100" w:type="dxa"/>
            <w:vAlign w:val="bottom"/>
          </w:tcPr>
          <w:p>
            <w:pPr>
              <w:spacing w:after="0"/>
              <w:rPr>
                <w:sz w:val="22"/>
                <w:szCs w:val="22"/>
                <w:color w:val="auto"/>
              </w:rPr>
            </w:pPr>
          </w:p>
        </w:tc>
        <w:tc>
          <w:tcPr>
            <w:tcW w:w="24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Unobservable Input</w:t>
            </w:r>
          </w:p>
        </w:tc>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5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Required Rate of Return</w:t>
            </w:r>
          </w:p>
        </w:tc>
        <w:tc>
          <w:tcPr>
            <w:tcW w:w="120" w:type="dxa"/>
            <w:vAlign w:val="bottom"/>
            <w:tcBorders>
              <w:top w:val="single" w:sz="8" w:color="CCEEFF"/>
            </w:tcBorders>
            <w:shd w:val="clear" w:color="auto" w:fill="CCEEFF"/>
          </w:tcPr>
          <w:p>
            <w:pPr>
              <w:spacing w:after="0"/>
              <w:rPr>
                <w:sz w:val="10"/>
                <w:szCs w:val="10"/>
                <w:color w:val="auto"/>
              </w:rPr>
            </w:pPr>
          </w:p>
        </w:tc>
        <w:tc>
          <w:tcPr>
            <w:tcW w:w="3180" w:type="dxa"/>
            <w:vAlign w:val="bottom"/>
            <w:tcBorders>
              <w:top w:val="single" w:sz="8" w:color="auto"/>
            </w:tcBorders>
            <w:gridSpan w:val="2"/>
            <w:shd w:val="clear" w:color="auto" w:fill="CCEEFF"/>
          </w:tcPr>
          <w:p>
            <w:pPr>
              <w:spacing w:after="0" w:line="123" w:lineRule="exact"/>
              <w:rPr>
                <w:sz w:val="20"/>
                <w:szCs w:val="20"/>
                <w:color w:val="auto"/>
              </w:rPr>
            </w:pPr>
            <w:r>
              <w:rPr>
                <w:rFonts w:ascii="Arial" w:cs="Arial" w:eastAsia="Arial" w:hAnsi="Arial"/>
                <w:sz w:val="14"/>
                <w:szCs w:val="14"/>
                <w:color w:val="auto"/>
              </w:rPr>
              <w:t>9.3% - 16.3% (12.5%)</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Leverage Ratio</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0.7x</w:t>
            </w:r>
          </w:p>
        </w:tc>
        <w:tc>
          <w:tcPr>
            <w:tcW w:w="2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- 6.6x (3.7x)</w:t>
            </w:r>
          </w:p>
        </w:tc>
        <w:tc>
          <w:tcPr>
            <w:tcW w:w="0" w:type="dxa"/>
            <w:vAlign w:val="bottom"/>
          </w:tcPr>
          <w:p>
            <w:pPr>
              <w:spacing w:after="0"/>
              <w:rPr>
                <w:sz w:val="1"/>
                <w:szCs w:val="1"/>
                <w:color w:val="auto"/>
              </w:rPr>
            </w:pPr>
          </w:p>
        </w:tc>
      </w:tr>
      <w:tr>
        <w:trPr>
          <w:trHeight w:val="181"/>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249.8</w:t>
            </w: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w:t>
            </w: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Adjusted EBITDA</w:t>
            </w: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$2.3 million - $225.8 million ($48.2 million)</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50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Adjusted EBITDA Multiple</w:t>
            </w:r>
          </w:p>
        </w:tc>
        <w:tc>
          <w:tcPr>
            <w:tcW w:w="260" w:type="dxa"/>
            <w:vAlign w:val="bottom"/>
          </w:tcPr>
          <w:p>
            <w:pPr>
              <w:spacing w:after="0" w:line="130" w:lineRule="exact"/>
              <w:rPr>
                <w:sz w:val="20"/>
                <w:szCs w:val="20"/>
                <w:color w:val="auto"/>
              </w:rPr>
            </w:pPr>
            <w:r>
              <w:rPr>
                <w:rFonts w:ascii="Arial" w:cs="Arial" w:eastAsia="Arial" w:hAnsi="Arial"/>
                <w:sz w:val="14"/>
                <w:szCs w:val="14"/>
                <w:color w:val="auto"/>
                <w:w w:val="90"/>
              </w:rPr>
              <w:t>6.0x</w:t>
            </w:r>
          </w:p>
        </w:tc>
        <w:tc>
          <w:tcPr>
            <w:tcW w:w="2920" w:type="dxa"/>
            <w:vAlign w:val="bottom"/>
          </w:tcPr>
          <w:p>
            <w:pPr>
              <w:ind w:left="20"/>
              <w:spacing w:after="0" w:line="130" w:lineRule="exact"/>
              <w:rPr>
                <w:sz w:val="20"/>
                <w:szCs w:val="20"/>
                <w:color w:val="auto"/>
              </w:rPr>
            </w:pPr>
            <w:r>
              <w:rPr>
                <w:rFonts w:ascii="Arial" w:cs="Arial" w:eastAsia="Arial" w:hAnsi="Arial"/>
                <w:sz w:val="14"/>
                <w:szCs w:val="14"/>
                <w:color w:val="auto"/>
              </w:rPr>
              <w:t>– 6.0x (6.0x)</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vMerge w:val="restart"/>
          </w:tcPr>
          <w:p>
            <w:pPr>
              <w:ind w:left="120"/>
              <w:spacing w:after="0"/>
              <w:rPr>
                <w:sz w:val="20"/>
                <w:szCs w:val="20"/>
                <w:color w:val="auto"/>
              </w:rPr>
            </w:pPr>
            <w:r>
              <w:rPr>
                <w:rFonts w:ascii="Arial" w:cs="Arial" w:eastAsia="Arial" w:hAnsi="Arial"/>
                <w:sz w:val="14"/>
                <w:szCs w:val="14"/>
                <w:color w:val="auto"/>
              </w:rPr>
              <w:t>Enterprise Value</w:t>
            </w:r>
          </w:p>
        </w:tc>
        <w:tc>
          <w:tcPr>
            <w:tcW w:w="25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Adjusted EBITDA</w:t>
            </w: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$2.1 million - $2.1 million ($2.1 million)</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2500" w:type="dxa"/>
            <w:vAlign w:val="bottom"/>
            <w:gridSpan w:val="3"/>
          </w:tcPr>
          <w:p>
            <w:pPr>
              <w:ind w:left="100"/>
              <w:spacing w:after="0" w:line="141" w:lineRule="exact"/>
              <w:rPr>
                <w:sz w:val="20"/>
                <w:szCs w:val="20"/>
                <w:color w:val="auto"/>
              </w:rPr>
            </w:pPr>
            <w:r>
              <w:rPr>
                <w:rFonts w:ascii="Arial" w:cs="Arial" w:eastAsia="Arial" w:hAnsi="Arial"/>
                <w:sz w:val="14"/>
                <w:szCs w:val="14"/>
                <w:color w:val="auto"/>
              </w:rPr>
              <w:t>Revenue Multiple</w:t>
            </w:r>
          </w:p>
        </w:tc>
        <w:tc>
          <w:tcPr>
            <w:tcW w:w="260" w:type="dxa"/>
            <w:vAlign w:val="bottom"/>
          </w:tcPr>
          <w:p>
            <w:pPr>
              <w:spacing w:after="0" w:line="141" w:lineRule="exact"/>
              <w:rPr>
                <w:sz w:val="20"/>
                <w:szCs w:val="20"/>
                <w:color w:val="auto"/>
              </w:rPr>
            </w:pPr>
            <w:r>
              <w:rPr>
                <w:rFonts w:ascii="Arial" w:cs="Arial" w:eastAsia="Arial" w:hAnsi="Arial"/>
                <w:sz w:val="14"/>
                <w:szCs w:val="14"/>
                <w:color w:val="auto"/>
                <w:w w:val="90"/>
              </w:rPr>
              <w:t>1.0x</w:t>
            </w:r>
          </w:p>
        </w:tc>
        <w:tc>
          <w:tcPr>
            <w:tcW w:w="2920" w:type="dxa"/>
            <w:vAlign w:val="bottom"/>
          </w:tcPr>
          <w:p>
            <w:pPr>
              <w:ind w:left="20"/>
              <w:spacing w:after="0" w:line="141" w:lineRule="exact"/>
              <w:rPr>
                <w:sz w:val="20"/>
                <w:szCs w:val="20"/>
                <w:color w:val="auto"/>
              </w:rPr>
            </w:pPr>
            <w:r>
              <w:rPr>
                <w:rFonts w:ascii="Arial" w:cs="Arial" w:eastAsia="Arial" w:hAnsi="Arial"/>
                <w:sz w:val="14"/>
                <w:szCs w:val="14"/>
                <w:color w:val="auto"/>
              </w:rPr>
              <w:t>– 2.6x (2.0x)</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4"/>
                <w:szCs w:val="14"/>
                <w:color w:val="auto"/>
              </w:rPr>
              <w:t>Subordinated debt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16.4</w:t>
            </w:r>
          </w:p>
        </w:tc>
        <w:tc>
          <w:tcPr>
            <w:tcW w:w="2400" w:type="dxa"/>
            <w:vAlign w:val="bottom"/>
            <w:gridSpan w:val="2"/>
          </w:tcPr>
          <w:p>
            <w:pPr>
              <w:ind w:left="120"/>
              <w:spacing w:after="0" w:line="189" w:lineRule="exact"/>
              <w:rPr>
                <w:sz w:val="20"/>
                <w:szCs w:val="20"/>
                <w:color w:val="auto"/>
              </w:rPr>
            </w:pPr>
            <w:r>
              <w:rPr>
                <w:rFonts w:ascii="Arial" w:cs="Arial" w:eastAsia="Arial" w:hAnsi="Arial"/>
                <w:sz w:val="13"/>
                <w:szCs w:val="13"/>
                <w:color w:val="auto"/>
              </w:rPr>
              <w:t xml:space="preserve">Waterfall and Asset </w:t>
            </w:r>
            <w:r>
              <w:rPr>
                <w:rFonts w:ascii="Arial" w:cs="Arial" w:eastAsia="Arial" w:hAnsi="Arial"/>
                <w:sz w:val="21"/>
                <w:szCs w:val="21"/>
                <w:color w:val="auto"/>
                <w:vertAlign w:val="superscript"/>
              </w:rPr>
              <w:t>(1)</w:t>
            </w:r>
          </w:p>
        </w:tc>
        <w:tc>
          <w:tcPr>
            <w:tcW w:w="2500" w:type="dxa"/>
            <w:vAlign w:val="bottom"/>
            <w:gridSpan w:val="3"/>
          </w:tcPr>
          <w:p>
            <w:pPr>
              <w:ind w:left="100"/>
              <w:spacing w:after="0"/>
              <w:rPr>
                <w:sz w:val="20"/>
                <w:szCs w:val="20"/>
                <w:color w:val="auto"/>
              </w:rPr>
            </w:pPr>
            <w:r>
              <w:rPr>
                <w:rFonts w:ascii="Arial" w:cs="Arial" w:eastAsia="Arial" w:hAnsi="Arial"/>
                <w:sz w:val="14"/>
                <w:szCs w:val="14"/>
                <w:color w:val="auto"/>
              </w:rPr>
              <w:t>Revenue</w:t>
            </w:r>
          </w:p>
        </w:tc>
        <w:tc>
          <w:tcPr>
            <w:tcW w:w="3180" w:type="dxa"/>
            <w:vAlign w:val="bottom"/>
            <w:gridSpan w:val="2"/>
          </w:tcPr>
          <w:p>
            <w:pPr>
              <w:spacing w:after="0"/>
              <w:rPr>
                <w:sz w:val="20"/>
                <w:szCs w:val="20"/>
                <w:color w:val="auto"/>
              </w:rPr>
            </w:pPr>
            <w:r>
              <w:rPr>
                <w:rFonts w:ascii="Arial" w:cs="Arial" w:eastAsia="Arial" w:hAnsi="Arial"/>
                <w:sz w:val="14"/>
                <w:szCs w:val="14"/>
                <w:color w:val="auto"/>
              </w:rPr>
              <w:t>$24.7 million -$31.1 million ($27.2 million)</w:t>
            </w:r>
          </w:p>
        </w:tc>
        <w:tc>
          <w:tcPr>
            <w:tcW w:w="0" w:type="dxa"/>
            <w:vAlign w:val="bottom"/>
          </w:tcPr>
          <w:p>
            <w:pPr>
              <w:spacing w:after="0"/>
              <w:rPr>
                <w:sz w:val="1"/>
                <w:szCs w:val="1"/>
                <w:color w:val="auto"/>
              </w:rPr>
            </w:pPr>
          </w:p>
        </w:tc>
      </w:tr>
      <w:tr>
        <w:trPr>
          <w:trHeight w:val="130"/>
        </w:trPr>
        <w:tc>
          <w:tcPr>
            <w:tcW w:w="1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Required Rate of Return</w:t>
            </w: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8.0% - 16.0% (12.6%)</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Leverage Ratio</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0.5x</w:t>
            </w:r>
          </w:p>
        </w:tc>
        <w:tc>
          <w:tcPr>
            <w:tcW w:w="2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9.7x (3.7x)</w:t>
            </w:r>
          </w:p>
        </w:tc>
        <w:tc>
          <w:tcPr>
            <w:tcW w:w="0" w:type="dxa"/>
            <w:vAlign w:val="bottom"/>
          </w:tcPr>
          <w:p>
            <w:pPr>
              <w:spacing w:after="0"/>
              <w:rPr>
                <w:sz w:val="1"/>
                <w:szCs w:val="1"/>
                <w:color w:val="auto"/>
              </w:rPr>
            </w:pPr>
          </w:p>
        </w:tc>
      </w:tr>
      <w:tr>
        <w:trPr>
          <w:trHeight w:val="181"/>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Senior secured debt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202.9</w:t>
            </w: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w:t>
            </w: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Adjusted EBITDA</w:t>
            </w: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 million - $164.0 million ($26.1 million)</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Arial" w:cs="Arial" w:eastAsia="Arial" w:hAnsi="Arial"/>
                <w:sz w:val="14"/>
                <w:szCs w:val="14"/>
                <w:color w:val="auto"/>
              </w:rPr>
              <w:t>Enterprise Value</w:t>
            </w:r>
          </w:p>
        </w:tc>
        <w:tc>
          <w:tcPr>
            <w:tcW w:w="2500" w:type="dxa"/>
            <w:vAlign w:val="bottom"/>
            <w:gridSpan w:val="3"/>
          </w:tcPr>
          <w:p>
            <w:pPr>
              <w:ind w:left="100"/>
              <w:spacing w:after="0"/>
              <w:rPr>
                <w:sz w:val="20"/>
                <w:szCs w:val="20"/>
                <w:color w:val="auto"/>
              </w:rPr>
            </w:pPr>
            <w:r>
              <w:rPr>
                <w:rFonts w:ascii="Arial" w:cs="Arial" w:eastAsia="Arial" w:hAnsi="Arial"/>
                <w:sz w:val="14"/>
                <w:szCs w:val="14"/>
                <w:color w:val="auto"/>
              </w:rPr>
              <w:t>Revenue Multiple</w:t>
            </w:r>
          </w:p>
        </w:tc>
        <w:tc>
          <w:tcPr>
            <w:tcW w:w="260" w:type="dxa"/>
            <w:vAlign w:val="bottom"/>
          </w:tcPr>
          <w:p>
            <w:pPr>
              <w:spacing w:after="0"/>
              <w:rPr>
                <w:sz w:val="20"/>
                <w:szCs w:val="20"/>
                <w:color w:val="auto"/>
              </w:rPr>
            </w:pPr>
            <w:r>
              <w:rPr>
                <w:rFonts w:ascii="Arial" w:cs="Arial" w:eastAsia="Arial" w:hAnsi="Arial"/>
                <w:sz w:val="14"/>
                <w:szCs w:val="14"/>
                <w:color w:val="auto"/>
                <w:w w:val="90"/>
              </w:rPr>
              <w:t>0.3x</w:t>
            </w:r>
          </w:p>
        </w:tc>
        <w:tc>
          <w:tcPr>
            <w:tcW w:w="2920" w:type="dxa"/>
            <w:vAlign w:val="bottom"/>
          </w:tcPr>
          <w:p>
            <w:pPr>
              <w:ind w:left="20"/>
              <w:spacing w:after="0"/>
              <w:rPr>
                <w:sz w:val="20"/>
                <w:szCs w:val="20"/>
                <w:color w:val="auto"/>
              </w:rPr>
            </w:pPr>
            <w:r>
              <w:rPr>
                <w:rFonts w:ascii="Arial" w:cs="Arial" w:eastAsia="Arial" w:hAnsi="Arial"/>
                <w:sz w:val="14"/>
                <w:szCs w:val="14"/>
                <w:color w:val="auto"/>
              </w:rPr>
              <w:t>– 2.6x (0.6x)</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4"/>
                <w:szCs w:val="14"/>
                <w:color w:val="auto"/>
              </w:rPr>
              <w:t>Senior secured debt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14.3</w:t>
            </w:r>
          </w:p>
        </w:tc>
        <w:tc>
          <w:tcPr>
            <w:tcW w:w="2400" w:type="dxa"/>
            <w:vAlign w:val="bottom"/>
            <w:gridSpan w:val="2"/>
          </w:tcPr>
          <w:p>
            <w:pPr>
              <w:ind w:left="120"/>
              <w:spacing w:after="0" w:line="189" w:lineRule="exact"/>
              <w:rPr>
                <w:sz w:val="20"/>
                <w:szCs w:val="20"/>
                <w:color w:val="auto"/>
              </w:rPr>
            </w:pPr>
            <w:r>
              <w:rPr>
                <w:rFonts w:ascii="Arial" w:cs="Arial" w:eastAsia="Arial" w:hAnsi="Arial"/>
                <w:sz w:val="13"/>
                <w:szCs w:val="13"/>
                <w:color w:val="auto"/>
              </w:rPr>
              <w:t xml:space="preserve">Waterfall and Asset </w:t>
            </w:r>
            <w:r>
              <w:rPr>
                <w:rFonts w:ascii="Arial" w:cs="Arial" w:eastAsia="Arial" w:hAnsi="Arial"/>
                <w:sz w:val="21"/>
                <w:szCs w:val="21"/>
                <w:color w:val="auto"/>
                <w:vertAlign w:val="superscript"/>
              </w:rPr>
              <w:t>(1)</w:t>
            </w:r>
          </w:p>
        </w:tc>
        <w:tc>
          <w:tcPr>
            <w:tcW w:w="2500" w:type="dxa"/>
            <w:vAlign w:val="bottom"/>
            <w:gridSpan w:val="3"/>
          </w:tcPr>
          <w:p>
            <w:pPr>
              <w:ind w:left="100"/>
              <w:spacing w:after="0"/>
              <w:rPr>
                <w:sz w:val="20"/>
                <w:szCs w:val="20"/>
                <w:color w:val="auto"/>
              </w:rPr>
            </w:pPr>
            <w:r>
              <w:rPr>
                <w:rFonts w:ascii="Arial" w:cs="Arial" w:eastAsia="Arial" w:hAnsi="Arial"/>
                <w:sz w:val="14"/>
                <w:szCs w:val="14"/>
                <w:color w:val="auto"/>
              </w:rPr>
              <w:t>Revenue</w:t>
            </w:r>
          </w:p>
        </w:tc>
        <w:tc>
          <w:tcPr>
            <w:tcW w:w="3180" w:type="dxa"/>
            <w:vAlign w:val="bottom"/>
            <w:gridSpan w:val="2"/>
          </w:tcPr>
          <w:p>
            <w:pPr>
              <w:spacing w:after="0"/>
              <w:rPr>
                <w:sz w:val="20"/>
                <w:szCs w:val="20"/>
                <w:color w:val="auto"/>
              </w:rPr>
            </w:pPr>
            <w:r>
              <w:rPr>
                <w:rFonts w:ascii="Arial" w:cs="Arial" w:eastAsia="Arial" w:hAnsi="Arial"/>
                <w:sz w:val="14"/>
                <w:szCs w:val="14"/>
                <w:color w:val="auto"/>
              </w:rPr>
              <w:t>$24.7 million - $153.9 million ($139.3 million)</w:t>
            </w:r>
          </w:p>
        </w:tc>
        <w:tc>
          <w:tcPr>
            <w:tcW w:w="0" w:type="dxa"/>
            <w:vAlign w:val="bottom"/>
          </w:tcPr>
          <w:p>
            <w:pPr>
              <w:spacing w:after="0"/>
              <w:rPr>
                <w:sz w:val="1"/>
                <w:szCs w:val="1"/>
                <w:color w:val="auto"/>
              </w:rPr>
            </w:pPr>
          </w:p>
        </w:tc>
      </w:tr>
      <w:tr>
        <w:trPr>
          <w:trHeight w:val="130"/>
        </w:trPr>
        <w:tc>
          <w:tcPr>
            <w:tcW w:w="1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Revenue Multiple</w:t>
            </w:r>
          </w:p>
        </w:tc>
        <w:tc>
          <w:tcPr>
            <w:tcW w:w="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2.6x</w:t>
            </w:r>
          </w:p>
        </w:tc>
        <w:tc>
          <w:tcPr>
            <w:tcW w:w="29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 2.6x (2.6x)</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Revenue</w:t>
            </w: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$24.7 million - $24.7 million ($24.7 million)</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Enterprise Value</w:t>
            </w:r>
          </w:p>
        </w:tc>
        <w:tc>
          <w:tcPr>
            <w:tcW w:w="25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Adjusted EBITDA Multiple</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4.7x</w:t>
            </w:r>
          </w:p>
        </w:tc>
        <w:tc>
          <w:tcPr>
            <w:tcW w:w="2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10.5x (7.1x)</w:t>
            </w:r>
          </w:p>
        </w:tc>
        <w:tc>
          <w:tcPr>
            <w:tcW w:w="0" w:type="dxa"/>
            <w:vAlign w:val="bottom"/>
          </w:tcPr>
          <w:p>
            <w:pPr>
              <w:spacing w:after="0"/>
              <w:rPr>
                <w:sz w:val="1"/>
                <w:szCs w:val="1"/>
                <w:color w:val="auto"/>
              </w:rPr>
            </w:pPr>
          </w:p>
        </w:tc>
      </w:tr>
      <w:tr>
        <w:trPr>
          <w:trHeight w:val="181"/>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Equity and warrants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96.9</w:t>
            </w: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Waterfall</w:t>
            </w: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Adjusted EBITDA</w:t>
            </w: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 million - $100.0 million ($24.2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40" w:hanging="343"/>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$3.5 million in subordinated notes and $5.8 million senior notes were valued using the asset approach.</w:t>
      </w:r>
    </w:p>
    <w:p>
      <w:pPr>
        <w:spacing w:after="0" w:line="23" w:lineRule="exact"/>
        <w:rPr>
          <w:rFonts w:ascii="Arial" w:cs="Arial" w:eastAsia="Arial" w:hAnsi="Arial"/>
          <w:sz w:val="18"/>
          <w:szCs w:val="18"/>
          <w:color w:val="auto"/>
        </w:rPr>
      </w:pPr>
    </w:p>
    <w:p>
      <w:pPr>
        <w:ind w:left="1040" w:hanging="343"/>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our $18.5 million investment in CSLLF, measured at NAV.</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2015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xml:space="preserve">Fair Value </w:t>
            </w:r>
            <w:r>
              <w:rPr>
                <w:rFonts w:ascii="Arial" w:cs="Arial" w:eastAsia="Arial" w:hAnsi="Arial"/>
                <w:sz w:val="23"/>
                <w:szCs w:val="23"/>
                <w:b w:val="1"/>
                <w:bCs w:val="1"/>
                <w:color w:val="auto"/>
                <w:w w:val="91"/>
                <w:vertAlign w:val="superscript"/>
              </w:rPr>
              <w:t>(2)</w:t>
            </w:r>
          </w:p>
        </w:tc>
        <w:tc>
          <w:tcPr>
            <w:tcW w:w="120" w:type="dxa"/>
            <w:vAlign w:val="bottom"/>
          </w:tcPr>
          <w:p>
            <w:pPr>
              <w:spacing w:after="0"/>
              <w:rPr>
                <w:sz w:val="22"/>
                <w:szCs w:val="22"/>
                <w:color w:val="auto"/>
              </w:rPr>
            </w:pPr>
          </w:p>
        </w:tc>
        <w:tc>
          <w:tcPr>
            <w:tcW w:w="22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Valuation Approach</w:t>
            </w:r>
          </w:p>
        </w:tc>
        <w:tc>
          <w:tcPr>
            <w:tcW w:w="100" w:type="dxa"/>
            <w:vAlign w:val="bottom"/>
          </w:tcPr>
          <w:p>
            <w:pPr>
              <w:spacing w:after="0"/>
              <w:rPr>
                <w:sz w:val="22"/>
                <w:szCs w:val="22"/>
                <w:color w:val="auto"/>
              </w:rPr>
            </w:pPr>
          </w:p>
        </w:tc>
        <w:tc>
          <w:tcPr>
            <w:tcW w:w="24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Unobservable Input</w:t>
            </w:r>
          </w:p>
        </w:tc>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5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Required Rate of Return</w:t>
            </w:r>
          </w:p>
        </w:tc>
        <w:tc>
          <w:tcPr>
            <w:tcW w:w="120" w:type="dxa"/>
            <w:vAlign w:val="bottom"/>
            <w:tcBorders>
              <w:top w:val="single" w:sz="8" w:color="CCEEFF"/>
            </w:tcBorders>
            <w:shd w:val="clear" w:color="auto" w:fill="CCEEFF"/>
          </w:tcPr>
          <w:p>
            <w:pPr>
              <w:spacing w:after="0"/>
              <w:rPr>
                <w:sz w:val="10"/>
                <w:szCs w:val="10"/>
                <w:color w:val="auto"/>
              </w:rPr>
            </w:pPr>
          </w:p>
        </w:tc>
        <w:tc>
          <w:tcPr>
            <w:tcW w:w="3180" w:type="dxa"/>
            <w:vAlign w:val="bottom"/>
            <w:tcBorders>
              <w:top w:val="single" w:sz="8" w:color="auto"/>
            </w:tcBorders>
            <w:gridSpan w:val="2"/>
            <w:shd w:val="clear" w:color="auto" w:fill="CCEEFF"/>
          </w:tcPr>
          <w:p>
            <w:pPr>
              <w:spacing w:after="0" w:line="123" w:lineRule="exact"/>
              <w:rPr>
                <w:sz w:val="20"/>
                <w:szCs w:val="20"/>
                <w:color w:val="auto"/>
              </w:rPr>
            </w:pPr>
            <w:r>
              <w:rPr>
                <w:rFonts w:ascii="Arial" w:cs="Arial" w:eastAsia="Arial" w:hAnsi="Arial"/>
                <w:sz w:val="14"/>
                <w:szCs w:val="14"/>
                <w:color w:val="auto"/>
              </w:rPr>
              <w:t>9.3% - 16.3% (12.5%)</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Leverage Ratio</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0.9x</w:t>
            </w:r>
          </w:p>
        </w:tc>
        <w:tc>
          <w:tcPr>
            <w:tcW w:w="2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- 5.4x (3.6x)</w:t>
            </w:r>
          </w:p>
        </w:tc>
        <w:tc>
          <w:tcPr>
            <w:tcW w:w="0" w:type="dxa"/>
            <w:vAlign w:val="bottom"/>
          </w:tcPr>
          <w:p>
            <w:pPr>
              <w:spacing w:after="0"/>
              <w:rPr>
                <w:sz w:val="1"/>
                <w:szCs w:val="1"/>
                <w:color w:val="auto"/>
              </w:rPr>
            </w:pPr>
          </w:p>
        </w:tc>
      </w:tr>
      <w:tr>
        <w:trPr>
          <w:trHeight w:val="167"/>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225.7</w:t>
            </w:r>
          </w:p>
        </w:tc>
        <w:tc>
          <w:tcPr>
            <w:tcW w:w="120" w:type="dxa"/>
            <w:vAlign w:val="bottom"/>
            <w:shd w:val="clear" w:color="auto" w:fill="CCEEFF"/>
          </w:tcPr>
          <w:p>
            <w:pPr>
              <w:spacing w:after="0"/>
              <w:rPr>
                <w:sz w:val="14"/>
                <w:szCs w:val="14"/>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Adjusted EBITDA</w:t>
            </w: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$2.4 million - $221.8 million ($48.8 million)</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50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Adjusted EBITDA Multiple</w:t>
            </w:r>
          </w:p>
        </w:tc>
        <w:tc>
          <w:tcPr>
            <w:tcW w:w="260" w:type="dxa"/>
            <w:vAlign w:val="bottom"/>
          </w:tcPr>
          <w:p>
            <w:pPr>
              <w:spacing w:after="0" w:line="130" w:lineRule="exact"/>
              <w:rPr>
                <w:sz w:val="20"/>
                <w:szCs w:val="20"/>
                <w:color w:val="auto"/>
              </w:rPr>
            </w:pPr>
            <w:r>
              <w:rPr>
                <w:rFonts w:ascii="Arial" w:cs="Arial" w:eastAsia="Arial" w:hAnsi="Arial"/>
                <w:sz w:val="14"/>
                <w:szCs w:val="14"/>
                <w:color w:val="auto"/>
                <w:w w:val="90"/>
              </w:rPr>
              <w:t>6.0x</w:t>
            </w:r>
          </w:p>
        </w:tc>
        <w:tc>
          <w:tcPr>
            <w:tcW w:w="2920" w:type="dxa"/>
            <w:vAlign w:val="bottom"/>
          </w:tcPr>
          <w:p>
            <w:pPr>
              <w:ind w:left="20"/>
              <w:spacing w:after="0" w:line="130" w:lineRule="exact"/>
              <w:rPr>
                <w:sz w:val="20"/>
                <w:szCs w:val="20"/>
                <w:color w:val="auto"/>
              </w:rPr>
            </w:pPr>
            <w:r>
              <w:rPr>
                <w:rFonts w:ascii="Arial" w:cs="Arial" w:eastAsia="Arial" w:hAnsi="Arial"/>
                <w:sz w:val="14"/>
                <w:szCs w:val="14"/>
                <w:color w:val="auto"/>
              </w:rPr>
              <w:t>– 7.5x (7.5x)</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vMerge w:val="restart"/>
          </w:tcPr>
          <w:p>
            <w:pPr>
              <w:ind w:left="120"/>
              <w:spacing w:after="0"/>
              <w:rPr>
                <w:sz w:val="20"/>
                <w:szCs w:val="20"/>
                <w:color w:val="auto"/>
              </w:rPr>
            </w:pPr>
            <w:r>
              <w:rPr>
                <w:rFonts w:ascii="Arial" w:cs="Arial" w:eastAsia="Arial" w:hAnsi="Arial"/>
                <w:sz w:val="14"/>
                <w:szCs w:val="14"/>
                <w:color w:val="auto"/>
              </w:rPr>
              <w:t>Enterprise Value</w:t>
            </w:r>
          </w:p>
        </w:tc>
        <w:tc>
          <w:tcPr>
            <w:tcW w:w="25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Adjusted EBITDA</w:t>
            </w: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$2.1 million - $5.4 million ($5.3 million)</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2500" w:type="dxa"/>
            <w:vAlign w:val="bottom"/>
            <w:gridSpan w:val="3"/>
          </w:tcPr>
          <w:p>
            <w:pPr>
              <w:ind w:left="100"/>
              <w:spacing w:after="0" w:line="141" w:lineRule="exact"/>
              <w:rPr>
                <w:sz w:val="20"/>
                <w:szCs w:val="20"/>
                <w:color w:val="auto"/>
              </w:rPr>
            </w:pPr>
            <w:r>
              <w:rPr>
                <w:rFonts w:ascii="Arial" w:cs="Arial" w:eastAsia="Arial" w:hAnsi="Arial"/>
                <w:sz w:val="14"/>
                <w:szCs w:val="14"/>
                <w:color w:val="auto"/>
              </w:rPr>
              <w:t>Revenue Multiple</w:t>
            </w:r>
          </w:p>
        </w:tc>
        <w:tc>
          <w:tcPr>
            <w:tcW w:w="260" w:type="dxa"/>
            <w:vAlign w:val="bottom"/>
          </w:tcPr>
          <w:p>
            <w:pPr>
              <w:spacing w:after="0" w:line="141" w:lineRule="exact"/>
              <w:rPr>
                <w:sz w:val="20"/>
                <w:szCs w:val="20"/>
                <w:color w:val="auto"/>
              </w:rPr>
            </w:pPr>
            <w:r>
              <w:rPr>
                <w:rFonts w:ascii="Arial" w:cs="Arial" w:eastAsia="Arial" w:hAnsi="Arial"/>
                <w:sz w:val="14"/>
                <w:szCs w:val="14"/>
                <w:color w:val="auto"/>
                <w:w w:val="90"/>
              </w:rPr>
              <w:t>3.5x</w:t>
            </w:r>
          </w:p>
        </w:tc>
        <w:tc>
          <w:tcPr>
            <w:tcW w:w="2920" w:type="dxa"/>
            <w:vAlign w:val="bottom"/>
          </w:tcPr>
          <w:p>
            <w:pPr>
              <w:ind w:left="20"/>
              <w:spacing w:after="0" w:line="141" w:lineRule="exact"/>
              <w:rPr>
                <w:sz w:val="20"/>
                <w:szCs w:val="20"/>
                <w:color w:val="auto"/>
              </w:rPr>
            </w:pPr>
            <w:r>
              <w:rPr>
                <w:rFonts w:ascii="Arial" w:cs="Arial" w:eastAsia="Arial" w:hAnsi="Arial"/>
                <w:sz w:val="14"/>
                <w:szCs w:val="14"/>
                <w:color w:val="auto"/>
              </w:rPr>
              <w:t>– 3.5x (3.5x)</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20"/>
                <w:szCs w:val="20"/>
                <w:color w:val="auto"/>
              </w:rPr>
            </w:pPr>
            <w:r>
              <w:rPr>
                <w:rFonts w:ascii="Arial" w:cs="Arial" w:eastAsia="Arial" w:hAnsi="Arial"/>
                <w:sz w:val="14"/>
                <w:szCs w:val="14"/>
                <w:color w:val="auto"/>
              </w:rPr>
              <w:t>Subordinated debt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30.6</w:t>
            </w:r>
          </w:p>
        </w:tc>
        <w:tc>
          <w:tcPr>
            <w:tcW w:w="2400" w:type="dxa"/>
            <w:vAlign w:val="bottom"/>
            <w:gridSpan w:val="2"/>
          </w:tcPr>
          <w:p>
            <w:pPr>
              <w:ind w:left="120"/>
              <w:spacing w:after="0" w:line="176" w:lineRule="exact"/>
              <w:rPr>
                <w:sz w:val="20"/>
                <w:szCs w:val="20"/>
                <w:color w:val="auto"/>
              </w:rPr>
            </w:pPr>
            <w:r>
              <w:rPr>
                <w:rFonts w:ascii="Arial" w:cs="Arial" w:eastAsia="Arial" w:hAnsi="Arial"/>
                <w:sz w:val="13"/>
                <w:szCs w:val="13"/>
                <w:color w:val="auto"/>
              </w:rPr>
              <w:t xml:space="preserve">Waterfall and Asset </w:t>
            </w:r>
            <w:r>
              <w:rPr>
                <w:rFonts w:ascii="Arial" w:cs="Arial" w:eastAsia="Arial" w:hAnsi="Arial"/>
                <w:sz w:val="20"/>
                <w:szCs w:val="20"/>
                <w:color w:val="auto"/>
                <w:vertAlign w:val="superscript"/>
              </w:rPr>
              <w:t>(1)</w:t>
            </w:r>
          </w:p>
        </w:tc>
        <w:tc>
          <w:tcPr>
            <w:tcW w:w="2500" w:type="dxa"/>
            <w:vAlign w:val="bottom"/>
            <w:gridSpan w:val="3"/>
          </w:tcPr>
          <w:p>
            <w:pPr>
              <w:ind w:left="100"/>
              <w:spacing w:after="0"/>
              <w:rPr>
                <w:sz w:val="20"/>
                <w:szCs w:val="20"/>
                <w:color w:val="auto"/>
              </w:rPr>
            </w:pPr>
            <w:r>
              <w:rPr>
                <w:rFonts w:ascii="Arial" w:cs="Arial" w:eastAsia="Arial" w:hAnsi="Arial"/>
                <w:sz w:val="14"/>
                <w:szCs w:val="14"/>
                <w:color w:val="auto"/>
              </w:rPr>
              <w:t>Revenue</w:t>
            </w:r>
          </w:p>
        </w:tc>
        <w:tc>
          <w:tcPr>
            <w:tcW w:w="3180" w:type="dxa"/>
            <w:vAlign w:val="bottom"/>
            <w:gridSpan w:val="2"/>
          </w:tcPr>
          <w:p>
            <w:pPr>
              <w:spacing w:after="0"/>
              <w:rPr>
                <w:sz w:val="20"/>
                <w:szCs w:val="20"/>
                <w:color w:val="auto"/>
              </w:rPr>
            </w:pPr>
            <w:r>
              <w:rPr>
                <w:rFonts w:ascii="Arial" w:cs="Arial" w:eastAsia="Arial" w:hAnsi="Arial"/>
                <w:sz w:val="14"/>
                <w:szCs w:val="14"/>
                <w:color w:val="auto"/>
              </w:rPr>
              <w:t>$22.8 million -$22.8 million ($22.8 million)</w:t>
            </w:r>
          </w:p>
        </w:tc>
        <w:tc>
          <w:tcPr>
            <w:tcW w:w="0" w:type="dxa"/>
            <w:vAlign w:val="bottom"/>
          </w:tcPr>
          <w:p>
            <w:pPr>
              <w:spacing w:after="0"/>
              <w:rPr>
                <w:sz w:val="1"/>
                <w:szCs w:val="1"/>
                <w:color w:val="auto"/>
              </w:rPr>
            </w:pPr>
          </w:p>
        </w:tc>
      </w:tr>
      <w:tr>
        <w:trPr>
          <w:trHeight w:val="130"/>
        </w:trPr>
        <w:tc>
          <w:tcPr>
            <w:tcW w:w="1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Required Rate of Return</w:t>
            </w: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8.0% - 60.0% (13.0%)</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Leverage Ratio</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0.6x</w:t>
            </w:r>
          </w:p>
        </w:tc>
        <w:tc>
          <w:tcPr>
            <w:tcW w:w="2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6.2x (3.5x)</w:t>
            </w:r>
          </w:p>
        </w:tc>
        <w:tc>
          <w:tcPr>
            <w:tcW w:w="0" w:type="dxa"/>
            <w:vAlign w:val="bottom"/>
          </w:tcPr>
          <w:p>
            <w:pPr>
              <w:spacing w:after="0"/>
              <w:rPr>
                <w:sz w:val="1"/>
                <w:szCs w:val="1"/>
                <w:color w:val="auto"/>
              </w:rPr>
            </w:pPr>
          </w:p>
        </w:tc>
      </w:tr>
      <w:tr>
        <w:trPr>
          <w:trHeight w:val="167"/>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Senior secured debt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CCEEFF"/>
          </w:tcPr>
          <w:p>
            <w:pPr>
              <w:spacing w:after="0"/>
              <w:rPr>
                <w:sz w:val="14"/>
                <w:szCs w:val="14"/>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Adjusted EBITDA</w:t>
            </w: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 million - $162.1 million ($26.9 million)</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50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EBITDA Multiple</w:t>
            </w:r>
          </w:p>
        </w:tc>
        <w:tc>
          <w:tcPr>
            <w:tcW w:w="260" w:type="dxa"/>
            <w:vAlign w:val="bottom"/>
          </w:tcPr>
          <w:p>
            <w:pPr>
              <w:spacing w:after="0" w:line="130" w:lineRule="exact"/>
              <w:rPr>
                <w:sz w:val="20"/>
                <w:szCs w:val="20"/>
                <w:color w:val="auto"/>
              </w:rPr>
            </w:pPr>
            <w:r>
              <w:rPr>
                <w:rFonts w:ascii="Arial" w:cs="Arial" w:eastAsia="Arial" w:hAnsi="Arial"/>
                <w:sz w:val="14"/>
                <w:szCs w:val="14"/>
                <w:color w:val="auto"/>
                <w:w w:val="90"/>
              </w:rPr>
              <w:t>4.5x</w:t>
            </w:r>
          </w:p>
        </w:tc>
        <w:tc>
          <w:tcPr>
            <w:tcW w:w="2920" w:type="dxa"/>
            <w:vAlign w:val="bottom"/>
          </w:tcPr>
          <w:p>
            <w:pPr>
              <w:ind w:left="20"/>
              <w:spacing w:after="0" w:line="130" w:lineRule="exact"/>
              <w:rPr>
                <w:sz w:val="20"/>
                <w:szCs w:val="20"/>
                <w:color w:val="auto"/>
              </w:rPr>
            </w:pPr>
            <w:r>
              <w:rPr>
                <w:rFonts w:ascii="Arial" w:cs="Arial" w:eastAsia="Arial" w:hAnsi="Arial"/>
                <w:sz w:val="14"/>
                <w:szCs w:val="14"/>
                <w:color w:val="auto"/>
              </w:rPr>
              <w:t>– 4.5x (4.5x)</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vMerge w:val="restart"/>
          </w:tcPr>
          <w:p>
            <w:pPr>
              <w:ind w:left="120"/>
              <w:spacing w:after="0"/>
              <w:rPr>
                <w:sz w:val="20"/>
                <w:szCs w:val="20"/>
                <w:color w:val="auto"/>
              </w:rPr>
            </w:pPr>
            <w:r>
              <w:rPr>
                <w:rFonts w:ascii="Arial" w:cs="Arial" w:eastAsia="Arial" w:hAnsi="Arial"/>
                <w:sz w:val="14"/>
                <w:szCs w:val="14"/>
                <w:color w:val="auto"/>
              </w:rPr>
              <w:t>Enterprise Value</w:t>
            </w:r>
          </w:p>
        </w:tc>
        <w:tc>
          <w:tcPr>
            <w:tcW w:w="25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Adjusted EBITDA</w:t>
            </w: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$13.5 million - $13.5 million ($13.5 million)</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2500" w:type="dxa"/>
            <w:vAlign w:val="bottom"/>
            <w:gridSpan w:val="3"/>
          </w:tcPr>
          <w:p>
            <w:pPr>
              <w:ind w:left="100"/>
              <w:spacing w:after="0" w:line="141" w:lineRule="exact"/>
              <w:rPr>
                <w:sz w:val="20"/>
                <w:szCs w:val="20"/>
                <w:color w:val="auto"/>
              </w:rPr>
            </w:pPr>
            <w:r>
              <w:rPr>
                <w:rFonts w:ascii="Arial" w:cs="Arial" w:eastAsia="Arial" w:hAnsi="Arial"/>
                <w:sz w:val="14"/>
                <w:szCs w:val="14"/>
                <w:color w:val="auto"/>
              </w:rPr>
              <w:t>Revenue Multiple</w:t>
            </w:r>
          </w:p>
        </w:tc>
        <w:tc>
          <w:tcPr>
            <w:tcW w:w="260" w:type="dxa"/>
            <w:vAlign w:val="bottom"/>
          </w:tcPr>
          <w:p>
            <w:pPr>
              <w:spacing w:after="0" w:line="141" w:lineRule="exact"/>
              <w:rPr>
                <w:sz w:val="20"/>
                <w:szCs w:val="20"/>
                <w:color w:val="auto"/>
              </w:rPr>
            </w:pPr>
            <w:r>
              <w:rPr>
                <w:rFonts w:ascii="Arial" w:cs="Arial" w:eastAsia="Arial" w:hAnsi="Arial"/>
                <w:sz w:val="14"/>
                <w:szCs w:val="14"/>
                <w:color w:val="auto"/>
                <w:w w:val="90"/>
              </w:rPr>
              <w:t>3.5x</w:t>
            </w:r>
          </w:p>
        </w:tc>
        <w:tc>
          <w:tcPr>
            <w:tcW w:w="2920" w:type="dxa"/>
            <w:vAlign w:val="bottom"/>
          </w:tcPr>
          <w:p>
            <w:pPr>
              <w:ind w:left="20"/>
              <w:spacing w:after="0" w:line="141" w:lineRule="exact"/>
              <w:rPr>
                <w:sz w:val="20"/>
                <w:szCs w:val="20"/>
                <w:color w:val="auto"/>
              </w:rPr>
            </w:pPr>
            <w:r>
              <w:rPr>
                <w:rFonts w:ascii="Arial" w:cs="Arial" w:eastAsia="Arial" w:hAnsi="Arial"/>
                <w:sz w:val="14"/>
                <w:szCs w:val="14"/>
                <w:color w:val="auto"/>
              </w:rPr>
              <w:t>– 3.5x (3.5x)</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20"/>
                <w:szCs w:val="20"/>
                <w:color w:val="auto"/>
              </w:rPr>
            </w:pPr>
            <w:r>
              <w:rPr>
                <w:rFonts w:ascii="Arial" w:cs="Arial" w:eastAsia="Arial" w:hAnsi="Arial"/>
                <w:sz w:val="14"/>
                <w:szCs w:val="14"/>
                <w:color w:val="auto"/>
              </w:rPr>
              <w:t>Senior secured debt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16.1</w:t>
            </w:r>
          </w:p>
        </w:tc>
        <w:tc>
          <w:tcPr>
            <w:tcW w:w="2400" w:type="dxa"/>
            <w:vAlign w:val="bottom"/>
            <w:gridSpan w:val="2"/>
          </w:tcPr>
          <w:p>
            <w:pPr>
              <w:ind w:left="120"/>
              <w:spacing w:after="0" w:line="176" w:lineRule="exact"/>
              <w:rPr>
                <w:sz w:val="20"/>
                <w:szCs w:val="20"/>
                <w:color w:val="auto"/>
              </w:rPr>
            </w:pPr>
            <w:r>
              <w:rPr>
                <w:rFonts w:ascii="Arial" w:cs="Arial" w:eastAsia="Arial" w:hAnsi="Arial"/>
                <w:sz w:val="13"/>
                <w:szCs w:val="13"/>
                <w:color w:val="auto"/>
              </w:rPr>
              <w:t xml:space="preserve">Waterfall and Asset </w:t>
            </w:r>
            <w:r>
              <w:rPr>
                <w:rFonts w:ascii="Arial" w:cs="Arial" w:eastAsia="Arial" w:hAnsi="Arial"/>
                <w:sz w:val="20"/>
                <w:szCs w:val="20"/>
                <w:color w:val="auto"/>
                <w:vertAlign w:val="superscript"/>
              </w:rPr>
              <w:t>(1)</w:t>
            </w:r>
          </w:p>
        </w:tc>
        <w:tc>
          <w:tcPr>
            <w:tcW w:w="2500" w:type="dxa"/>
            <w:vAlign w:val="bottom"/>
            <w:gridSpan w:val="3"/>
          </w:tcPr>
          <w:p>
            <w:pPr>
              <w:ind w:left="100"/>
              <w:spacing w:after="0"/>
              <w:rPr>
                <w:sz w:val="20"/>
                <w:szCs w:val="20"/>
                <w:color w:val="auto"/>
              </w:rPr>
            </w:pPr>
            <w:r>
              <w:rPr>
                <w:rFonts w:ascii="Arial" w:cs="Arial" w:eastAsia="Arial" w:hAnsi="Arial"/>
                <w:sz w:val="14"/>
                <w:szCs w:val="14"/>
                <w:color w:val="auto"/>
              </w:rPr>
              <w:t>Revenue</w:t>
            </w:r>
          </w:p>
        </w:tc>
        <w:tc>
          <w:tcPr>
            <w:tcW w:w="3180" w:type="dxa"/>
            <w:vAlign w:val="bottom"/>
            <w:gridSpan w:val="2"/>
          </w:tcPr>
          <w:p>
            <w:pPr>
              <w:spacing w:after="0"/>
              <w:rPr>
                <w:sz w:val="20"/>
                <w:szCs w:val="20"/>
                <w:color w:val="auto"/>
              </w:rPr>
            </w:pPr>
            <w:r>
              <w:rPr>
                <w:rFonts w:ascii="Arial" w:cs="Arial" w:eastAsia="Arial" w:hAnsi="Arial"/>
                <w:sz w:val="14"/>
                <w:szCs w:val="14"/>
                <w:color w:val="auto"/>
              </w:rPr>
              <w:t>$22.8 million - $22.8 million ($22.8 million)</w:t>
            </w:r>
          </w:p>
        </w:tc>
        <w:tc>
          <w:tcPr>
            <w:tcW w:w="0" w:type="dxa"/>
            <w:vAlign w:val="bottom"/>
          </w:tcPr>
          <w:p>
            <w:pPr>
              <w:spacing w:after="0"/>
              <w:rPr>
                <w:sz w:val="1"/>
                <w:szCs w:val="1"/>
                <w:color w:val="auto"/>
              </w:rPr>
            </w:pPr>
          </w:p>
        </w:tc>
      </w:tr>
      <w:tr>
        <w:trPr>
          <w:trHeight w:val="130"/>
        </w:trPr>
        <w:tc>
          <w:tcPr>
            <w:tcW w:w="1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Required Rate of Return</w:t>
            </w: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12.0% – 12.0% (12.0%)</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Leverage Ratio</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2.0x</w:t>
            </w:r>
          </w:p>
        </w:tc>
        <w:tc>
          <w:tcPr>
            <w:tcW w:w="2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2.0x (2.0x)</w:t>
            </w:r>
          </w:p>
        </w:tc>
        <w:tc>
          <w:tcPr>
            <w:tcW w:w="0" w:type="dxa"/>
            <w:vAlign w:val="bottom"/>
          </w:tcPr>
          <w:p>
            <w:pPr>
              <w:spacing w:after="0"/>
              <w:rPr>
                <w:sz w:val="1"/>
                <w:szCs w:val="1"/>
                <w:color w:val="auto"/>
              </w:rPr>
            </w:pPr>
          </w:p>
        </w:tc>
      </w:tr>
      <w:tr>
        <w:trPr>
          <w:trHeight w:val="167"/>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Equity and warrants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4"/>
                <w:szCs w:val="14"/>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25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Adjusted EBITDA</w:t>
            </w: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$344.5 million - $344.5 million ($344.5 million)</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50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Revenue Multiple</w:t>
            </w:r>
          </w:p>
        </w:tc>
        <w:tc>
          <w:tcPr>
            <w:tcW w:w="318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3.5x – 3.5x (3.5x)</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Revenue</w:t>
            </w: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$22.8 million - $22.8 million ($22.8 million)</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Enterprise Value</w:t>
            </w:r>
          </w:p>
        </w:tc>
        <w:tc>
          <w:tcPr>
            <w:tcW w:w="25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Adjusted EBITDA Multiple</w:t>
            </w:r>
          </w:p>
        </w:tc>
        <w:tc>
          <w:tcPr>
            <w:tcW w:w="260" w:type="dxa"/>
            <w:vAlign w:val="bottom"/>
          </w:tcPr>
          <w:p>
            <w:pPr>
              <w:spacing w:after="0" w:line="149" w:lineRule="exact"/>
              <w:rPr>
                <w:sz w:val="20"/>
                <w:szCs w:val="20"/>
                <w:color w:val="auto"/>
              </w:rPr>
            </w:pPr>
            <w:r>
              <w:rPr>
                <w:rFonts w:ascii="Arial" w:cs="Arial" w:eastAsia="Arial" w:hAnsi="Arial"/>
                <w:sz w:val="14"/>
                <w:szCs w:val="14"/>
                <w:color w:val="auto"/>
                <w:w w:val="90"/>
              </w:rPr>
              <w:t>4.5x</w:t>
            </w:r>
          </w:p>
        </w:tc>
        <w:tc>
          <w:tcPr>
            <w:tcW w:w="2920" w:type="dxa"/>
            <w:vAlign w:val="bottom"/>
          </w:tcPr>
          <w:p>
            <w:pPr>
              <w:ind w:left="20"/>
              <w:spacing w:after="0" w:line="149" w:lineRule="exact"/>
              <w:rPr>
                <w:sz w:val="20"/>
                <w:szCs w:val="20"/>
                <w:color w:val="auto"/>
              </w:rPr>
            </w:pPr>
            <w:r>
              <w:rPr>
                <w:rFonts w:ascii="Arial" w:cs="Arial" w:eastAsia="Arial" w:hAnsi="Arial"/>
                <w:sz w:val="14"/>
                <w:szCs w:val="14"/>
                <w:color w:val="auto"/>
              </w:rPr>
              <w:t>– 11.0x (7.3x)</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Arial" w:cs="Arial" w:eastAsia="Arial" w:hAnsi="Arial"/>
                <w:sz w:val="14"/>
                <w:szCs w:val="14"/>
                <w:color w:val="auto"/>
              </w:rPr>
              <w:t>Equity and warrants</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92.2</w:t>
            </w:r>
          </w:p>
        </w:tc>
        <w:tc>
          <w:tcPr>
            <w:tcW w:w="2400" w:type="dxa"/>
            <w:vAlign w:val="bottom"/>
            <w:gridSpan w:val="2"/>
          </w:tcPr>
          <w:p>
            <w:pPr>
              <w:ind w:left="120"/>
              <w:spacing w:after="0"/>
              <w:rPr>
                <w:sz w:val="20"/>
                <w:szCs w:val="20"/>
                <w:color w:val="auto"/>
              </w:rPr>
            </w:pPr>
            <w:r>
              <w:rPr>
                <w:rFonts w:ascii="Arial" w:cs="Arial" w:eastAsia="Arial" w:hAnsi="Arial"/>
                <w:sz w:val="14"/>
                <w:szCs w:val="14"/>
                <w:color w:val="auto"/>
              </w:rPr>
              <w:t>Waterfall</w:t>
            </w:r>
          </w:p>
        </w:tc>
        <w:tc>
          <w:tcPr>
            <w:tcW w:w="2500" w:type="dxa"/>
            <w:vAlign w:val="bottom"/>
            <w:gridSpan w:val="3"/>
          </w:tcPr>
          <w:p>
            <w:pPr>
              <w:ind w:left="100"/>
              <w:spacing w:after="0"/>
              <w:rPr>
                <w:sz w:val="20"/>
                <w:szCs w:val="20"/>
                <w:color w:val="auto"/>
              </w:rPr>
            </w:pPr>
            <w:r>
              <w:rPr>
                <w:rFonts w:ascii="Arial" w:cs="Arial" w:eastAsia="Arial" w:hAnsi="Arial"/>
                <w:sz w:val="14"/>
                <w:szCs w:val="14"/>
                <w:color w:val="auto"/>
              </w:rPr>
              <w:t>Adjusted EBITDA</w:t>
            </w:r>
          </w:p>
        </w:tc>
        <w:tc>
          <w:tcPr>
            <w:tcW w:w="3180" w:type="dxa"/>
            <w:vAlign w:val="bottom"/>
            <w:gridSpan w:val="2"/>
          </w:tcPr>
          <w:p>
            <w:pPr>
              <w:spacing w:after="0"/>
              <w:rPr>
                <w:sz w:val="20"/>
                <w:szCs w:val="20"/>
                <w:color w:val="auto"/>
              </w:rPr>
            </w:pPr>
            <w:r>
              <w:rPr>
                <w:rFonts w:ascii="Arial" w:cs="Arial" w:eastAsia="Arial" w:hAnsi="Arial"/>
                <w:sz w:val="14"/>
                <w:szCs w:val="14"/>
                <w:color w:val="auto"/>
              </w:rPr>
              <w:t>$2.0 million - $69.8 million ($18.6 million)</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40" w:hanging="343"/>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$7.5 million in subordinated notes and $5.0 million in senior notes were valued using the asset approach.</w:t>
      </w:r>
    </w:p>
    <w:p>
      <w:pPr>
        <w:spacing w:after="0" w:line="23" w:lineRule="exact"/>
        <w:rPr>
          <w:rFonts w:ascii="Arial" w:cs="Arial" w:eastAsia="Arial" w:hAnsi="Arial"/>
          <w:sz w:val="18"/>
          <w:szCs w:val="18"/>
          <w:color w:val="auto"/>
        </w:rPr>
      </w:pPr>
    </w:p>
    <w:p>
      <w:pPr>
        <w:ind w:left="1040" w:hanging="343"/>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our $17.9 million investment in CSLLF, measured at NAV.</w:t>
      </w:r>
    </w:p>
    <w:p>
      <w:pPr>
        <w:spacing w:after="0" w:line="211"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225" w:lineRule="exact"/>
        <w:rPr>
          <w:sz w:val="20"/>
          <w:szCs w:val="20"/>
          <w:color w:val="auto"/>
        </w:rPr>
      </w:pPr>
    </w:p>
    <w:p>
      <w:pPr>
        <w:ind w:right="220" w:firstLine="881"/>
        <w:spacing w:after="0" w:line="255" w:lineRule="auto"/>
        <w:rPr>
          <w:sz w:val="20"/>
          <w:szCs w:val="20"/>
          <w:color w:val="auto"/>
        </w:rPr>
      </w:pPr>
      <w:r>
        <w:rPr>
          <w:rFonts w:ascii="Arial" w:cs="Arial" w:eastAsia="Arial" w:hAnsi="Arial"/>
          <w:sz w:val="18"/>
          <w:szCs w:val="18"/>
          <w:color w:val="auto"/>
        </w:rPr>
        <w:t>On March 24, 2015, Capitala and Trinity Universal Insurance Company (“Trinity”), a subsidiary of Kemper Corporation (“Kemper”), entered into a limited liability company agreement to co-manage Capitala Senior Liquid Loan Fund I, LLC. The purpose and design of the joint venture is to invest primarily in broadly syndicated senior secured loans to middle-market companies, which will be purchased on the secondary market. Capitala and Trinity have committed to provide $25.0 million of equity to CSLLF, with Capitala providing $20.0 million and Trinity providing $5.0 million, resulting in an 80%/20% economic ownership between the two parties. The board of directors and investment committee of CSLLF are split 50/50 between Trinity and Capitala, resulting in equal voting power between the two entities.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right="500" w:firstLine="881"/>
        <w:spacing w:after="0" w:line="264" w:lineRule="auto"/>
        <w:rPr>
          <w:sz w:val="20"/>
          <w:szCs w:val="20"/>
          <w:color w:val="auto"/>
        </w:rPr>
      </w:pPr>
      <w:r>
        <w:rPr>
          <w:rFonts w:ascii="Arial" w:cs="Arial" w:eastAsia="Arial" w:hAnsi="Arial"/>
          <w:sz w:val="18"/>
          <w:szCs w:val="18"/>
          <w:color w:val="auto"/>
        </w:rPr>
        <w:t>As of March 31, 2016, $20.0 million and $5.0 million in capital had been contributed by Capitala and Trinity, respectively. The Company’s investment in CSLLF is not redeemable. For the three months ended March 31, 2016 and March 31, 2015, the Company received $0.5 million and $0.0 million respectively, in dividend income from its equity interest in CSLLF.</w:t>
      </w:r>
    </w:p>
    <w:p>
      <w:pPr>
        <w:spacing w:after="0" w:line="181" w:lineRule="exact"/>
        <w:rPr>
          <w:sz w:val="20"/>
          <w:szCs w:val="20"/>
          <w:color w:val="auto"/>
        </w:rPr>
      </w:pPr>
    </w:p>
    <w:p>
      <w:pPr>
        <w:ind w:right="460" w:firstLine="881"/>
        <w:spacing w:after="0" w:line="279" w:lineRule="auto"/>
        <w:rPr>
          <w:sz w:val="20"/>
          <w:szCs w:val="20"/>
          <w:color w:val="auto"/>
        </w:rPr>
      </w:pPr>
      <w:r>
        <w:rPr>
          <w:rFonts w:ascii="Arial" w:cs="Arial" w:eastAsia="Arial" w:hAnsi="Arial"/>
          <w:sz w:val="17"/>
          <w:szCs w:val="17"/>
          <w:color w:val="auto"/>
        </w:rPr>
        <w:t>On March 27, 2015, CSLLF entered into a total return swap (“TRS”) with Bank of America, N.A. (“Bank of America”) that is indexed to a basket of senior secured loans purchased by CSLLF. CSLLF will obtain the economic benefit of the loans underlying the TRS, including the net interest spread between the interest income generated by the underlying loans and the interest expense type payment under the TRS, the realized gain/(loss) on liquidated loans, and the unrealized appreciation/(depreciation) on the underlying loans.</w:t>
      </w:r>
    </w:p>
    <w:p>
      <w:pPr>
        <w:spacing w:after="0" w:line="171" w:lineRule="exact"/>
        <w:rPr>
          <w:sz w:val="20"/>
          <w:szCs w:val="20"/>
          <w:color w:val="auto"/>
        </w:rPr>
      </w:pPr>
    </w:p>
    <w:p>
      <w:pPr>
        <w:ind w:right="20" w:firstLine="881"/>
        <w:spacing w:after="0" w:line="269" w:lineRule="auto"/>
        <w:rPr>
          <w:sz w:val="20"/>
          <w:szCs w:val="20"/>
          <w:color w:val="auto"/>
        </w:rPr>
      </w:pPr>
      <w:r>
        <w:rPr>
          <w:rFonts w:ascii="Arial" w:cs="Arial" w:eastAsia="Arial" w:hAnsi="Arial"/>
          <w:sz w:val="17"/>
          <w:szCs w:val="17"/>
          <w:color w:val="auto"/>
        </w:rPr>
        <w:t>The terms of the TRS are governed by an ISDA 2002 Master Agreement, the Schedule thereto and Credit Support Annex to such Schedule, and the confirmation exchanged thereunder, between CSLLF and Bank of America, which collectively establish the TRS, and are collectively referred to herein as the “TRS Agreement.” Pursuant to the terms of the TRS Agreement, CSLLF may select a portfolio of loans with a maximum market value (determined at the time each such loan becomes subject to the TRS) of $100,000,000, which is also referred to as the maximum notional amount of the TRS. Each individual loan, and the portfolio of loans taken as a whole, must meet criteria described in the TRS Agreement. CSLLF receives from Bank of America, a periodic payment on set dates that is based upon any coupons, both earned and accrued, generated by the loans underlying the TRS, subject to limitations described in the TRS Agreement as well as any fees associated with the loans included in the portfolio. CSLLF pays to Bank of America interest at a rate equal to LIBOR plus 1.25% per annum; the LIBOR option paid by CSLLF is determined on an asset by asset basis such that the tenor of the LIBOR option (1 month, 3 month, etc.) matches the tenor of the underlying reference asset. In addition, upon the termination of any loan subject to the TRS or any repayment of the underlying reference asset, CSLLF either receives from Bank of America, the appreciation in the value of such loan, or pays to Bank of America any depreciation in the value of such loan.</w:t>
      </w:r>
    </w:p>
    <w:p>
      <w:pPr>
        <w:spacing w:after="0" w:line="183" w:lineRule="exact"/>
        <w:rPr>
          <w:sz w:val="20"/>
          <w:szCs w:val="20"/>
          <w:color w:val="auto"/>
        </w:rPr>
      </w:pPr>
    </w:p>
    <w:p>
      <w:pPr>
        <w:jc w:val="both"/>
        <w:ind w:right="40" w:firstLine="881"/>
        <w:spacing w:after="0" w:line="286" w:lineRule="auto"/>
        <w:rPr>
          <w:sz w:val="20"/>
          <w:szCs w:val="20"/>
          <w:color w:val="auto"/>
        </w:rPr>
      </w:pPr>
      <w:r>
        <w:rPr>
          <w:rFonts w:ascii="Arial" w:cs="Arial" w:eastAsia="Arial" w:hAnsi="Arial"/>
          <w:sz w:val="17"/>
          <w:szCs w:val="17"/>
          <w:color w:val="auto"/>
        </w:rPr>
        <w:t>CSLLF is required to pay an unused facility fee of 1.25% on any amount of unused facility under the minimum facility amount of $70,000,000 as outlined in the TRS agreement. Such unused facility fee will not apply during the first 4 months and last 60 days of the term of the TRS. CSLLF will also pay Bank of America customary fees and expenses in connection with the establishment and maintenance of the TRS.</w:t>
      </w:r>
    </w:p>
    <w:p>
      <w:pPr>
        <w:spacing w:after="0" w:line="166"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color w:val="auto"/>
        </w:rPr>
        <w:t>CSLLF is required to initially cash collateralize a specified percentage of each loan (generally 20% to 35% of the market value of senior secured loans) included under the TRS in accordance with margin requirements described in the TRS Agreement. As of March 31, 2016 and December 31, 2015, CSLLF has posted $20.5 million and $19.1 million, respectively, in collateral to Bank of America in relation to the TRS which is recorded on CSLLF’s statements of assets and liabilities as cash held as collateral on total return swap. CSLLF may be required to post additional collateral as a result of a decline in the mark-to-market value of the portfolio of loans subject to the TRS. The cash collateral represents CSLLF’s maximum credit exposure as of March 31, 2016 and December 31, 2015.</w:t>
      </w:r>
    </w:p>
    <w:p>
      <w:pPr>
        <w:spacing w:after="0" w:line="193" w:lineRule="exact"/>
        <w:rPr>
          <w:sz w:val="20"/>
          <w:szCs w:val="20"/>
          <w:color w:val="auto"/>
        </w:rPr>
      </w:pPr>
    </w:p>
    <w:p>
      <w:pPr>
        <w:ind w:right="420" w:firstLine="881"/>
        <w:spacing w:after="0" w:line="264" w:lineRule="auto"/>
        <w:rPr>
          <w:sz w:val="20"/>
          <w:szCs w:val="20"/>
          <w:color w:val="auto"/>
        </w:rPr>
      </w:pPr>
      <w:r>
        <w:rPr>
          <w:rFonts w:ascii="Arial" w:cs="Arial" w:eastAsia="Arial" w:hAnsi="Arial"/>
          <w:sz w:val="18"/>
          <w:szCs w:val="18"/>
          <w:color w:val="auto"/>
        </w:rPr>
        <w:t>In connection with the TRS, CSLLF has made customary representations and warranties and is required to comply with various covenants, reporting requirements and other customary requirements for similar transactions governed by an ISDA 2002 Master Agreement. As of March 31, 2016, CSLLF is in compliance with regards to any covenants or requirements of the TRS.</w:t>
      </w:r>
    </w:p>
    <w:p>
      <w:pPr>
        <w:spacing w:after="0" w:line="181"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CSLLF’s receivable due on total return swap represents realized amounts from payments on underlying loans in the total return swap portfolio. At March 31, 2016 and December 31, 2015, the receivable due on TRS was $0.4 million and $0.5 million, respectively, and is recorded on CSLLF’s statements of assets and liabilities below. CSLLF does not offset collateral posted in relation to the TRS with any unrealized appreciation or depreciation outstanding in the statements of assets and liabilities as of March 31, 2016 and December 31, 2015.</w:t>
      </w:r>
    </w:p>
    <w:p>
      <w:pPr>
        <w:spacing w:after="0" w:line="187" w:lineRule="exact"/>
        <w:rPr>
          <w:sz w:val="20"/>
          <w:szCs w:val="20"/>
          <w:color w:val="auto"/>
        </w:rPr>
      </w:pPr>
    </w:p>
    <w:p>
      <w:pPr>
        <w:ind w:right="580" w:firstLine="881"/>
        <w:spacing w:after="0" w:line="264" w:lineRule="auto"/>
        <w:rPr>
          <w:sz w:val="20"/>
          <w:szCs w:val="20"/>
          <w:color w:val="auto"/>
        </w:rPr>
      </w:pPr>
      <w:r>
        <w:rPr>
          <w:rFonts w:ascii="Arial" w:cs="Arial" w:eastAsia="Arial" w:hAnsi="Arial"/>
          <w:sz w:val="18"/>
          <w:szCs w:val="18"/>
          <w:color w:val="auto"/>
        </w:rPr>
        <w:t>Transactions in TRS contracts during the three months ended March 31, 2016 resulted in $0.7 million in realized gains and $0.8 million in unrealized appreciation which is recorded on CSLLF’s statements of operations below. For the three months ended March 31, 2015, there were no transactions in TRS contracts.</w:t>
      </w:r>
    </w:p>
    <w:p>
      <w:pPr>
        <w:spacing w:after="0" w:line="181" w:lineRule="exact"/>
        <w:rPr>
          <w:sz w:val="20"/>
          <w:szCs w:val="20"/>
          <w:color w:val="auto"/>
        </w:rPr>
      </w:pPr>
    </w:p>
    <w:p>
      <w:pPr>
        <w:ind w:right="60" w:firstLine="881"/>
        <w:spacing w:after="0" w:line="312" w:lineRule="auto"/>
        <w:rPr>
          <w:sz w:val="20"/>
          <w:szCs w:val="20"/>
          <w:color w:val="auto"/>
        </w:rPr>
      </w:pPr>
      <w:r>
        <w:rPr>
          <w:rFonts w:ascii="Arial" w:cs="Arial" w:eastAsia="Arial" w:hAnsi="Arial"/>
          <w:sz w:val="16"/>
          <w:szCs w:val="16"/>
          <w:color w:val="auto"/>
        </w:rPr>
        <w:t>CSLLF only held one derivative position as of March 31, 2016 and December 31, 2015. The derivative held is subject to a netting arrangement. The following table represents CSLLF’s gross and net amounts after offset under Master Agreements (“MA”) of the derivative assets and liabilities presented by the derivative type net of the related collateral pledged by the CSLLF as of March 31, 2016 and December 31, 2015 (dollars in thousands):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Derivative</w:t>
            </w:r>
          </w:p>
        </w:tc>
        <w:tc>
          <w:tcPr>
            <w:tcW w:w="19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Net Amount Presented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Gross Derivative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the Consolidated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Cash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4"/>
          </w:tcPr>
          <w:p>
            <w:pPr>
              <w:ind w:left="960"/>
              <w:spacing w:after="0"/>
              <w:rPr>
                <w:sz w:val="20"/>
                <w:szCs w:val="20"/>
                <w:color w:val="auto"/>
              </w:rPr>
            </w:pPr>
            <w:r>
              <w:rPr>
                <w:rFonts w:ascii="Arial" w:cs="Arial" w:eastAsia="Arial" w:hAnsi="Arial"/>
                <w:sz w:val="18"/>
                <w:szCs w:val="18"/>
                <w:b w:val="1"/>
                <w:bCs w:val="1"/>
                <w:color w:val="auto"/>
                <w:w w:val="96"/>
              </w:rPr>
              <w:t>Assets/(Liabilities)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Available for</w:t>
            </w:r>
          </w:p>
        </w:tc>
        <w:tc>
          <w:tcPr>
            <w:tcW w:w="100" w:type="dxa"/>
            <w:vAlign w:val="bottom"/>
          </w:tcPr>
          <w:p>
            <w:pPr>
              <w:spacing w:after="0"/>
              <w:rPr>
                <w:sz w:val="18"/>
                <w:szCs w:val="18"/>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5"/>
              </w:rPr>
              <w:t>Statements of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Collateral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Subject to MA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Offset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 Liabilities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Received</w:t>
            </w: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Assets/(Liabilities)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8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March 31, 2016</w:t>
            </w:r>
          </w:p>
        </w:tc>
        <w:tc>
          <w:tcPr>
            <w:tcW w:w="13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Total Return Swap </w:t>
            </w:r>
            <w:r>
              <w:rPr>
                <w:rFonts w:ascii="Arial" w:cs="Arial" w:eastAsia="Arial" w:hAnsi="Arial"/>
                <w:sz w:val="29"/>
                <w:szCs w:val="29"/>
                <w:color w:val="auto"/>
                <w:vertAlign w:val="superscript"/>
              </w:rPr>
              <w:t>(1)</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(2,071)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(2,071)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31, 2015</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vMerge w:val="continue"/>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 xml:space="preserve">Total Return Swap </w:t>
            </w:r>
            <w:r>
              <w:rPr>
                <w:rFonts w:ascii="Arial" w:cs="Arial" w:eastAsia="Arial" w:hAnsi="Arial"/>
                <w:sz w:val="30"/>
                <w:szCs w:val="30"/>
                <w:color w:val="auto"/>
                <w:vertAlign w:val="superscript"/>
              </w:rPr>
              <w:t>(1)</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(2,828)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700" w:right="100" w:hanging="341"/>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was posted for initial margin requirements for the total return swap as of March 31, 2016 and December 31, 2015 and is reported on CSLLF’s statements of assets and liabilities as cash collateral on total return swap.</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represents the volume of the CSLLF’s derivative transactions during the three months ended March 31, 2016 and 2015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For the three</w:t>
            </w: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For the three</w:t>
            </w:r>
          </w:p>
        </w:tc>
      </w:tr>
      <w:tr>
        <w:trPr>
          <w:trHeight w:val="216"/>
        </w:trPr>
        <w:tc>
          <w:tcPr>
            <w:tcW w:w="57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months ended</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months ended</w:t>
            </w:r>
          </w:p>
        </w:tc>
      </w:tr>
      <w:tr>
        <w:trPr>
          <w:trHeight w:val="220"/>
        </w:trPr>
        <w:tc>
          <w:tcPr>
            <w:tcW w:w="57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31,</w:t>
            </w:r>
          </w:p>
        </w:tc>
      </w:tr>
      <w:tr>
        <w:trPr>
          <w:trHeight w:val="271"/>
        </w:trPr>
        <w:tc>
          <w:tcPr>
            <w:tcW w:w="57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3"/>
                <w:szCs w:val="23"/>
                <w:color w:val="auto"/>
              </w:rPr>
            </w:pPr>
          </w:p>
        </w:tc>
        <w:tc>
          <w:tcPr>
            <w:tcW w:w="1240" w:type="dxa"/>
            <w:vAlign w:val="bottom"/>
          </w:tcPr>
          <w:p>
            <w:pPr>
              <w:jc w:val="center"/>
              <w:ind w:right="130"/>
              <w:spacing w:after="0" w:line="271" w:lineRule="exact"/>
              <w:rPr>
                <w:sz w:val="20"/>
                <w:szCs w:val="20"/>
                <w:color w:val="auto"/>
              </w:rPr>
            </w:pPr>
            <w:r>
              <w:rPr>
                <w:rFonts w:ascii="Arial" w:cs="Arial" w:eastAsia="Arial" w:hAnsi="Arial"/>
                <w:sz w:val="18"/>
                <w:szCs w:val="18"/>
                <w:b w:val="1"/>
                <w:bCs w:val="1"/>
                <w:color w:val="auto"/>
                <w:w w:val="83"/>
              </w:rPr>
              <w:t xml:space="preserve">2015 </w:t>
            </w:r>
            <w:r>
              <w:rPr>
                <w:rFonts w:ascii="Arial" w:cs="Arial" w:eastAsia="Arial" w:hAnsi="Arial"/>
                <w:sz w:val="30"/>
                <w:szCs w:val="30"/>
                <w:b w:val="1"/>
                <w:bCs w:val="1"/>
                <w:color w:val="auto"/>
                <w:w w:val="83"/>
                <w:vertAlign w:val="superscript"/>
              </w:rPr>
              <w:t>(1)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par amount of contract</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640" w:right="4520" w:hanging="5281"/>
        <w:spacing w:after="0" w:line="778" w:lineRule="auto"/>
        <w:tabs>
          <w:tab w:leader="none" w:pos="706"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calculated from period of TRS inception, March 27, 2015 to March 31, 2015.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TRS reference assets as of March 31, 2016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(4)</w:t>
            </w:r>
          </w:p>
        </w:tc>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Business Description</w:t>
            </w:r>
          </w:p>
        </w:tc>
        <w:tc>
          <w:tcPr>
            <w:tcW w:w="1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Maturity Date</w:t>
            </w:r>
          </w:p>
        </w:tc>
        <w:tc>
          <w:tcPr>
            <w:tcW w:w="1860" w:type="dxa"/>
            <w:vAlign w:val="bottom"/>
            <w:gridSpan w:val="3"/>
          </w:tcPr>
          <w:p>
            <w:pPr>
              <w:ind w:left="120"/>
              <w:spacing w:after="0"/>
              <w:rPr>
                <w:sz w:val="20"/>
                <w:szCs w:val="20"/>
                <w:color w:val="auto"/>
              </w:rPr>
            </w:pPr>
            <w:r>
              <w:rPr>
                <w:rFonts w:ascii="Arial" w:cs="Arial" w:eastAsia="Arial" w:hAnsi="Arial"/>
                <w:sz w:val="14"/>
                <w:szCs w:val="14"/>
                <w:b w:val="1"/>
                <w:bCs w:val="1"/>
                <w:color w:val="auto"/>
              </w:rPr>
              <w:t>Current Interest</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76"/>
        </w:trPr>
        <w:tc>
          <w:tcPr>
            <w:tcW w:w="1840" w:type="dxa"/>
            <w:vAlign w:val="bottom"/>
            <w:gridSpan w:val="2"/>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860" w:type="dxa"/>
            <w:vAlign w:val="bottom"/>
            <w:gridSpan w:val="3"/>
          </w:tcPr>
          <w:p>
            <w:pPr>
              <w:ind w:left="120"/>
              <w:spacing w:after="0" w:line="176" w:lineRule="exact"/>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20"/>
                <w:szCs w:val="20"/>
                <w:b w:val="1"/>
                <w:bCs w:val="1"/>
                <w:color w:val="auto"/>
                <w:vertAlign w:val="superscript"/>
              </w:rPr>
              <w:t>(2)</w:t>
            </w:r>
          </w:p>
        </w:tc>
        <w:tc>
          <w:tcPr>
            <w:tcW w:w="9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(1)</w:t>
            </w: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123"/>
        </w:trPr>
        <w:tc>
          <w:tcPr>
            <w:tcW w:w="1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6"/>
              </w:rPr>
              <w:t>Healthcare, Education and</w:t>
            </w:r>
          </w:p>
        </w:tc>
        <w:tc>
          <w:tcPr>
            <w:tcW w:w="12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21st Century Oncology, Inc.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April,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+ 5.5%, 1% floor</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1,985</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1,965</w:t>
            </w: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1,772</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30"/>
        </w:trPr>
        <w:tc>
          <w:tcPr>
            <w:tcW w:w="1840" w:type="dxa"/>
            <w:vAlign w:val="bottom"/>
            <w:gridSpan w:val="2"/>
          </w:tcPr>
          <w:p>
            <w:pPr>
              <w:spacing w:after="0" w:line="130" w:lineRule="exact"/>
              <w:rPr>
                <w:sz w:val="20"/>
                <w:szCs w:val="20"/>
                <w:color w:val="auto"/>
              </w:rPr>
            </w:pPr>
            <w:r>
              <w:rPr>
                <w:rFonts w:ascii="Arial" w:cs="Arial" w:eastAsia="Arial" w:hAnsi="Arial"/>
                <w:sz w:val="14"/>
                <w:szCs w:val="14"/>
                <w:color w:val="auto"/>
              </w:rPr>
              <w:t>ABG Intermediate Holdings</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2, LLC</w:t>
            </w:r>
          </w:p>
        </w:tc>
        <w:tc>
          <w:tcPr>
            <w:tcW w:w="1620" w:type="dxa"/>
            <w:vAlign w:val="bottom"/>
          </w:tcPr>
          <w:p>
            <w:pPr>
              <w:spacing w:after="0"/>
              <w:rPr>
                <w:sz w:val="20"/>
                <w:szCs w:val="20"/>
                <w:color w:val="auto"/>
              </w:rPr>
            </w:pPr>
            <w:r>
              <w:rPr>
                <w:rFonts w:ascii="Arial" w:cs="Arial" w:eastAsia="Arial" w:hAnsi="Arial"/>
                <w:sz w:val="14"/>
                <w:szCs w:val="14"/>
                <w:color w:val="auto"/>
              </w:rPr>
              <w:t>Textiles and Leather</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May, 2021</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+ 4.5%,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1,733</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1,715</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1,659</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Rock Salt</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Mining, Steel, Iron and</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Company,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Non Precious Metals</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May, 2021</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+ 3.75%,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1,980</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1,980</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1,813</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30"/>
        </w:trPr>
        <w:tc>
          <w:tcPr>
            <w:tcW w:w="1840" w:type="dxa"/>
            <w:vAlign w:val="bottom"/>
            <w:gridSpan w:val="2"/>
          </w:tcPr>
          <w:p>
            <w:pPr>
              <w:spacing w:after="0" w:line="130" w:lineRule="exact"/>
              <w:rPr>
                <w:sz w:val="20"/>
                <w:szCs w:val="20"/>
                <w:color w:val="auto"/>
              </w:rPr>
            </w:pPr>
            <w:r>
              <w:rPr>
                <w:rFonts w:ascii="Arial" w:cs="Arial" w:eastAsia="Arial" w:hAnsi="Arial"/>
                <w:sz w:val="14"/>
                <w:szCs w:val="14"/>
                <w:color w:val="auto"/>
              </w:rPr>
              <w:t>Ardent Legacy Acquisitions,</w:t>
            </w:r>
          </w:p>
        </w:tc>
        <w:tc>
          <w:tcPr>
            <w:tcW w:w="1620" w:type="dxa"/>
            <w:vAlign w:val="bottom"/>
          </w:tcPr>
          <w:p>
            <w:pPr>
              <w:spacing w:after="0" w:line="130" w:lineRule="exact"/>
              <w:rPr>
                <w:sz w:val="20"/>
                <w:szCs w:val="20"/>
                <w:color w:val="auto"/>
              </w:rPr>
            </w:pPr>
            <w:r>
              <w:rPr>
                <w:rFonts w:ascii="Arial" w:cs="Arial" w:eastAsia="Arial" w:hAnsi="Arial"/>
                <w:sz w:val="14"/>
                <w:szCs w:val="14"/>
                <w:color w:val="auto"/>
                <w:w w:val="96"/>
              </w:rPr>
              <w:t>Healthcare, Education and</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Inc.</w:t>
            </w:r>
          </w:p>
        </w:tc>
        <w:tc>
          <w:tcPr>
            <w:tcW w:w="1620" w:type="dxa"/>
            <w:vAlign w:val="bottom"/>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August, 2021</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+ 5.5%,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1,990</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1,970</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1,990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Aspen Dental Management,</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Healthcare, Education and</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April,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+ 4.5%,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1,489</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1,481</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1,487</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Asurion, LLC</w:t>
            </w: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Insurance</w:t>
            </w: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August, 2022</w:t>
            </w:r>
          </w:p>
        </w:tc>
        <w:tc>
          <w:tcPr>
            <w:tcW w:w="1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Libor + 4.0%, 1% floor</w:t>
            </w:r>
          </w:p>
        </w:tc>
        <w:tc>
          <w:tcPr>
            <w:tcW w:w="2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2,216</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2,205</w:t>
            </w: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2,169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Bass Pro Group, LLC</w:t>
            </w: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 Stores</w:t>
            </w:r>
          </w:p>
        </w:tc>
        <w:tc>
          <w:tcPr>
            <w:tcW w:w="1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June, 2020</w:t>
            </w:r>
          </w:p>
        </w:tc>
        <w:tc>
          <w:tcPr>
            <w:tcW w:w="1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+ 3.25%, .75% floor</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990</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926</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Belk, Inc.</w:t>
            </w: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Retail Stores</w:t>
            </w: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December, 2022</w:t>
            </w:r>
          </w:p>
        </w:tc>
        <w:tc>
          <w:tcPr>
            <w:tcW w:w="1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Libor + 4.75%, 1% floor</w:t>
            </w:r>
          </w:p>
        </w:tc>
        <w:tc>
          <w:tcPr>
            <w:tcW w:w="2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1,780</w:t>
            </w: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Diversified/Conglomerate</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Bioplan USA, Inc.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Service</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September, 2021</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+ 4.75%,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990</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Electronics</w:t>
            </w: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May, 2022</w:t>
            </w:r>
          </w:p>
        </w:tc>
        <w:tc>
          <w:tcPr>
            <w:tcW w:w="1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Libor + 3.5%, 1% floor</w:t>
            </w:r>
          </w:p>
        </w:tc>
        <w:tc>
          <w:tcPr>
            <w:tcW w:w="2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1,995</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1,995</w:t>
            </w: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1,960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Brock Holdings III, Inc.</w:t>
            </w: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Buildings and Real Estate</w:t>
            </w:r>
          </w:p>
        </w:tc>
        <w:tc>
          <w:tcPr>
            <w:tcW w:w="1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March, 2017</w:t>
            </w:r>
          </w:p>
        </w:tc>
        <w:tc>
          <w:tcPr>
            <w:tcW w:w="1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+ 4.5%, 1.5% floor</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1,483</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1,476</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1,411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0"/>
        </w:trPr>
        <w:tc>
          <w:tcPr>
            <w:tcW w:w="1840" w:type="dxa"/>
            <w:vAlign w:val="bottom"/>
            <w:gridSpan w:val="2"/>
          </w:tcPr>
          <w:p>
            <w:pPr>
              <w:spacing w:after="0" w:line="130" w:lineRule="exact"/>
              <w:rPr>
                <w:sz w:val="20"/>
                <w:szCs w:val="20"/>
                <w:color w:val="auto"/>
              </w:rPr>
            </w:pPr>
            <w:r>
              <w:rPr>
                <w:rFonts w:ascii="Arial" w:cs="Arial" w:eastAsia="Arial" w:hAnsi="Arial"/>
                <w:sz w:val="14"/>
                <w:szCs w:val="14"/>
                <w:color w:val="auto"/>
              </w:rPr>
              <w:t>CDS U.S. Intermediate</w:t>
            </w:r>
          </w:p>
        </w:tc>
        <w:tc>
          <w:tcPr>
            <w:tcW w:w="1620" w:type="dxa"/>
            <w:vAlign w:val="bottom"/>
          </w:tcPr>
          <w:p>
            <w:pPr>
              <w:spacing w:after="0" w:line="130" w:lineRule="exact"/>
              <w:rPr>
                <w:sz w:val="20"/>
                <w:szCs w:val="20"/>
                <w:color w:val="auto"/>
              </w:rPr>
            </w:pPr>
            <w:r>
              <w:rPr>
                <w:rFonts w:ascii="Arial" w:cs="Arial" w:eastAsia="Arial" w:hAnsi="Arial"/>
                <w:sz w:val="14"/>
                <w:szCs w:val="14"/>
                <w:color w:val="auto"/>
              </w:rPr>
              <w:t>Leisure, Amusement,</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Holdings, Inc.</w:t>
            </w:r>
          </w:p>
        </w:tc>
        <w:tc>
          <w:tcPr>
            <w:tcW w:w="1620" w:type="dxa"/>
            <w:vAlign w:val="bottom"/>
          </w:tcPr>
          <w:p>
            <w:pPr>
              <w:spacing w:after="0"/>
              <w:rPr>
                <w:sz w:val="20"/>
                <w:szCs w:val="20"/>
                <w:color w:val="auto"/>
              </w:rPr>
            </w:pPr>
            <w:r>
              <w:rPr>
                <w:rFonts w:ascii="Arial" w:cs="Arial" w:eastAsia="Arial" w:hAnsi="Arial"/>
                <w:sz w:val="14"/>
                <w:szCs w:val="14"/>
                <w:color w:val="auto"/>
              </w:rPr>
              <w:t>Entertainment</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July, 2022</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+ 4.0%,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995</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993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943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Chelsea Petroleum Products I</w:t>
            </w: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Oil &amp; Gas</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October,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+ 4.25%,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491</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456</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30"/>
        </w:trPr>
        <w:tc>
          <w:tcPr>
            <w:tcW w:w="1840" w:type="dxa"/>
            <w:vAlign w:val="bottom"/>
            <w:gridSpan w:val="2"/>
          </w:tcPr>
          <w:p>
            <w:pPr>
              <w:spacing w:after="0" w:line="130" w:lineRule="exact"/>
              <w:rPr>
                <w:sz w:val="20"/>
                <w:szCs w:val="20"/>
                <w:color w:val="auto"/>
              </w:rPr>
            </w:pPr>
            <w:r>
              <w:rPr>
                <w:rFonts w:ascii="Arial" w:cs="Arial" w:eastAsia="Arial" w:hAnsi="Arial"/>
                <w:sz w:val="14"/>
                <w:szCs w:val="14"/>
                <w:color w:val="auto"/>
              </w:rPr>
              <w:t>Communications Sales &amp;</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Leasing, Inc.</w:t>
            </w:r>
          </w:p>
        </w:tc>
        <w:tc>
          <w:tcPr>
            <w:tcW w:w="1620" w:type="dxa"/>
            <w:vAlign w:val="bottom"/>
          </w:tcPr>
          <w:p>
            <w:pPr>
              <w:spacing w:after="0"/>
              <w:rPr>
                <w:sz w:val="20"/>
                <w:szCs w:val="20"/>
                <w:color w:val="auto"/>
              </w:rPr>
            </w:pPr>
            <w:r>
              <w:rPr>
                <w:rFonts w:ascii="Arial" w:cs="Arial" w:eastAsia="Arial" w:hAnsi="Arial"/>
                <w:sz w:val="14"/>
                <w:szCs w:val="14"/>
                <w:color w:val="auto"/>
              </w:rPr>
              <w:t>Finance</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October, 2022</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+ 4.0%,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1,985</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1,945</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1,920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Healthcare, Education and</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Concordia Healthcare Corp</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October, 2021</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+ 4.25%,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998</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969</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line="130" w:lineRule="exact"/>
              <w:rPr>
                <w:sz w:val="20"/>
                <w:szCs w:val="20"/>
                <w:color w:val="auto"/>
              </w:rPr>
            </w:pPr>
            <w:r>
              <w:rPr>
                <w:rFonts w:ascii="Arial" w:cs="Arial" w:eastAsia="Arial" w:hAnsi="Arial"/>
                <w:sz w:val="14"/>
                <w:szCs w:val="14"/>
                <w:color w:val="auto"/>
                <w:w w:val="96"/>
              </w:rPr>
              <w:t>Healthcare, Education and</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Convatec Healthcare E S.A.</w:t>
            </w:r>
          </w:p>
        </w:tc>
        <w:tc>
          <w:tcPr>
            <w:tcW w:w="1620" w:type="dxa"/>
            <w:vAlign w:val="bottom"/>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June, 2020</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+ 3.25%,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1,964</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1,961</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1,944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Emerging Markets</w:t>
            </w: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Communications,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Telecommunications</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July, 2021</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+ 5.75%,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2,481</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2,444</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2,292</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line="130" w:lineRule="exact"/>
              <w:rPr>
                <w:sz w:val="20"/>
                <w:szCs w:val="20"/>
                <w:color w:val="auto"/>
              </w:rPr>
            </w:pPr>
            <w:r>
              <w:rPr>
                <w:rFonts w:ascii="Arial" w:cs="Arial" w:eastAsia="Arial" w:hAnsi="Arial"/>
                <w:sz w:val="14"/>
                <w:szCs w:val="14"/>
                <w:color w:val="auto"/>
                <w:w w:val="96"/>
              </w:rPr>
              <w:t>Healthcare, Education and</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Eresearch Technology, Inc.</w:t>
            </w:r>
          </w:p>
        </w:tc>
        <w:tc>
          <w:tcPr>
            <w:tcW w:w="1620" w:type="dxa"/>
            <w:vAlign w:val="bottom"/>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May, 2022</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+ 4.5%,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2,487</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2,475</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2,483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Genoa Healthcare Group,</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Healthcare, Education and</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May,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+ 3.5%,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1,985</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1,975</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1,960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line="130" w:lineRule="exact"/>
              <w:rPr>
                <w:sz w:val="20"/>
                <w:szCs w:val="20"/>
                <w:color w:val="auto"/>
              </w:rPr>
            </w:pPr>
            <w:r>
              <w:rPr>
                <w:rFonts w:ascii="Arial" w:cs="Arial" w:eastAsia="Arial" w:hAnsi="Arial"/>
                <w:sz w:val="14"/>
                <w:szCs w:val="14"/>
                <w:color w:val="auto"/>
              </w:rPr>
              <w:t>Leisure, Amusement,</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IMG Worldwide, Inc.</w:t>
            </w:r>
          </w:p>
        </w:tc>
        <w:tc>
          <w:tcPr>
            <w:tcW w:w="1620" w:type="dxa"/>
            <w:vAlign w:val="bottom"/>
          </w:tcPr>
          <w:p>
            <w:pPr>
              <w:spacing w:after="0"/>
              <w:rPr>
                <w:sz w:val="20"/>
                <w:szCs w:val="20"/>
                <w:color w:val="auto"/>
              </w:rPr>
            </w:pPr>
            <w:r>
              <w:rPr>
                <w:rFonts w:ascii="Arial" w:cs="Arial" w:eastAsia="Arial" w:hAnsi="Arial"/>
                <w:sz w:val="14"/>
                <w:szCs w:val="14"/>
                <w:color w:val="auto"/>
              </w:rPr>
              <w:t>Entertainment</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May, 2021</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+ 4.25%,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1,985</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1,990</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1,981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Containers, Packaging and</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Infiltrator Systems, Inc.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Glass</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May,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+ 4.25%,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992</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991</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Informatica Corporation</w:t>
            </w: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Electronics</w:t>
            </w: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August, 2022</w:t>
            </w:r>
          </w:p>
        </w:tc>
        <w:tc>
          <w:tcPr>
            <w:tcW w:w="1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Libor + 3.5%, 1% floor</w:t>
            </w:r>
          </w:p>
        </w:tc>
        <w:tc>
          <w:tcPr>
            <w:tcW w:w="2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2,487</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2,482</w:t>
            </w: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2,432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Integra Telecom, Inc.</w:t>
            </w: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1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August, 2020</w:t>
            </w:r>
          </w:p>
        </w:tc>
        <w:tc>
          <w:tcPr>
            <w:tcW w:w="1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+ 4.25%, 1% floor</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2,970</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2,955</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2,792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JILL Holdings, LLC</w:t>
            </w: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Retail Stores</w:t>
            </w: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May, 2022</w:t>
            </w:r>
          </w:p>
        </w:tc>
        <w:tc>
          <w:tcPr>
            <w:tcW w:w="1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Libor + 5.0%, 1% floor</w:t>
            </w:r>
          </w:p>
        </w:tc>
        <w:tc>
          <w:tcPr>
            <w:tcW w:w="2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1,980</w:t>
            </w: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1,851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Chemicals, Plastics and</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Krayton Polymers,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Rubber</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January,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+ 5.0%,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1,500</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1,350</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1,413</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LPL Holdings, Inc</w:t>
            </w: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Finance</w:t>
            </w: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November, 2022</w:t>
            </w:r>
          </w:p>
        </w:tc>
        <w:tc>
          <w:tcPr>
            <w:tcW w:w="1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Libor + 4.0%, .75% floor</w:t>
            </w:r>
          </w:p>
        </w:tc>
        <w:tc>
          <w:tcPr>
            <w:tcW w:w="2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1,496</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1,481</w:t>
            </w: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1,466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LS Deco, LLC</w:t>
            </w: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Buildings and Real Estate</w:t>
            </w:r>
          </w:p>
        </w:tc>
        <w:tc>
          <w:tcPr>
            <w:tcW w:w="1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May, 2022</w:t>
            </w:r>
          </w:p>
        </w:tc>
        <w:tc>
          <w:tcPr>
            <w:tcW w:w="1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+ 4.5%, 1% floor</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1,375</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1,361</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line="130" w:lineRule="exact"/>
              <w:rPr>
                <w:sz w:val="20"/>
                <w:szCs w:val="20"/>
                <w:color w:val="auto"/>
              </w:rPr>
            </w:pPr>
            <w:r>
              <w:rPr>
                <w:rFonts w:ascii="Arial" w:cs="Arial" w:eastAsia="Arial" w:hAnsi="Arial"/>
                <w:sz w:val="14"/>
                <w:szCs w:val="14"/>
                <w:color w:val="auto"/>
              </w:rPr>
              <w:t>Leisure, Amusement,</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LTF Merger Sub, Inc.</w:t>
            </w:r>
          </w:p>
        </w:tc>
        <w:tc>
          <w:tcPr>
            <w:tcW w:w="1620" w:type="dxa"/>
            <w:vAlign w:val="bottom"/>
          </w:tcPr>
          <w:p>
            <w:pPr>
              <w:spacing w:after="0"/>
              <w:rPr>
                <w:sz w:val="20"/>
                <w:szCs w:val="20"/>
                <w:color w:val="auto"/>
              </w:rPr>
            </w:pPr>
            <w:r>
              <w:rPr>
                <w:rFonts w:ascii="Arial" w:cs="Arial" w:eastAsia="Arial" w:hAnsi="Arial"/>
                <w:sz w:val="14"/>
                <w:szCs w:val="14"/>
                <w:color w:val="auto"/>
              </w:rPr>
              <w:t>Entertainment</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June, 2022</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+ 3.25%,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1,489</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1,484</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1,469</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Mitel Networks Corp</w:t>
            </w: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1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April, 2022</w:t>
            </w:r>
          </w:p>
        </w:tc>
        <w:tc>
          <w:tcPr>
            <w:tcW w:w="1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+ 4.5%, 1% floor</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925</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2"/>
          </w:tcPr>
          <w:p>
            <w:pPr>
              <w:spacing w:after="0" w:line="130" w:lineRule="exact"/>
              <w:rPr>
                <w:sz w:val="20"/>
                <w:szCs w:val="20"/>
                <w:color w:val="auto"/>
              </w:rPr>
            </w:pPr>
            <w:r>
              <w:rPr>
                <w:rFonts w:ascii="Arial" w:cs="Arial" w:eastAsia="Arial" w:hAnsi="Arial"/>
                <w:sz w:val="14"/>
                <w:szCs w:val="14"/>
                <w:color w:val="auto"/>
              </w:rPr>
              <w:t>Mohegan Tribal Gaming</w:t>
            </w:r>
          </w:p>
        </w:tc>
        <w:tc>
          <w:tcPr>
            <w:tcW w:w="1620" w:type="dxa"/>
            <w:vAlign w:val="bottom"/>
          </w:tcPr>
          <w:p>
            <w:pPr>
              <w:spacing w:after="0" w:line="130" w:lineRule="exact"/>
              <w:rPr>
                <w:sz w:val="20"/>
                <w:szCs w:val="20"/>
                <w:color w:val="auto"/>
              </w:rPr>
            </w:pPr>
            <w:r>
              <w:rPr>
                <w:rFonts w:ascii="Arial" w:cs="Arial" w:eastAsia="Arial" w:hAnsi="Arial"/>
                <w:sz w:val="14"/>
                <w:szCs w:val="14"/>
                <w:color w:val="auto"/>
              </w:rPr>
              <w:t>Leisure, Amusement,</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Authority</w:t>
            </w:r>
          </w:p>
        </w:tc>
        <w:tc>
          <w:tcPr>
            <w:tcW w:w="1620" w:type="dxa"/>
            <w:vAlign w:val="bottom"/>
          </w:tcPr>
          <w:p>
            <w:pPr>
              <w:spacing w:after="0"/>
              <w:rPr>
                <w:sz w:val="20"/>
                <w:szCs w:val="20"/>
                <w:color w:val="auto"/>
              </w:rPr>
            </w:pPr>
            <w:r>
              <w:rPr>
                <w:rFonts w:ascii="Arial" w:cs="Arial" w:eastAsia="Arial" w:hAnsi="Arial"/>
                <w:sz w:val="14"/>
                <w:szCs w:val="14"/>
                <w:color w:val="auto"/>
              </w:rPr>
              <w:t>Entertainment</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November, 2019</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+ 4.5%,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1,924</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1,921</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1,857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Navios Maritime Midstream</w:t>
            </w: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Partners, LP</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Cargo Transport</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June, 2020</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+ 4.5%,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1,985</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1,965</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1,744</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line="130" w:lineRule="exact"/>
              <w:rPr>
                <w:sz w:val="20"/>
                <w:szCs w:val="20"/>
                <w:color w:val="auto"/>
              </w:rPr>
            </w:pPr>
            <w:r>
              <w:rPr>
                <w:rFonts w:ascii="Arial" w:cs="Arial" w:eastAsia="Arial" w:hAnsi="Arial"/>
                <w:sz w:val="14"/>
                <w:szCs w:val="14"/>
                <w:color w:val="auto"/>
              </w:rPr>
              <w:t>Mining, Steel, Iron and</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Novelis, Inc.</w:t>
            </w:r>
          </w:p>
        </w:tc>
        <w:tc>
          <w:tcPr>
            <w:tcW w:w="1620" w:type="dxa"/>
            <w:vAlign w:val="bottom"/>
          </w:tcPr>
          <w:p>
            <w:pPr>
              <w:spacing w:after="0"/>
              <w:rPr>
                <w:sz w:val="20"/>
                <w:szCs w:val="20"/>
                <w:color w:val="auto"/>
              </w:rPr>
            </w:pPr>
            <w:r>
              <w:rPr>
                <w:rFonts w:ascii="Arial" w:cs="Arial" w:eastAsia="Arial" w:hAnsi="Arial"/>
                <w:sz w:val="14"/>
                <w:szCs w:val="14"/>
                <w:color w:val="auto"/>
              </w:rPr>
              <w:t>Non Precious Metals</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June, 2022</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+ 3.25%, .75%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2,481</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2,469</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2,425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Penn Products Terminals,</w:t>
            </w: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Cargo Transport</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April,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+ 3.75%,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699</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636</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0"/>
        </w:trPr>
        <w:tc>
          <w:tcPr>
            <w:tcW w:w="1840" w:type="dxa"/>
            <w:vAlign w:val="bottom"/>
            <w:gridSpan w:val="2"/>
          </w:tcPr>
          <w:p>
            <w:pPr>
              <w:spacing w:after="0" w:line="130" w:lineRule="exact"/>
              <w:rPr>
                <w:sz w:val="20"/>
                <w:szCs w:val="20"/>
                <w:color w:val="auto"/>
              </w:rPr>
            </w:pPr>
            <w:r>
              <w:rPr>
                <w:rFonts w:ascii="Arial" w:cs="Arial" w:eastAsia="Arial" w:hAnsi="Arial"/>
                <w:sz w:val="14"/>
                <w:szCs w:val="14"/>
                <w:color w:val="auto"/>
              </w:rPr>
              <w:t>Pharmaceutical Product</w:t>
            </w:r>
          </w:p>
        </w:tc>
        <w:tc>
          <w:tcPr>
            <w:tcW w:w="1620" w:type="dxa"/>
            <w:vAlign w:val="bottom"/>
          </w:tcPr>
          <w:p>
            <w:pPr>
              <w:spacing w:after="0" w:line="130" w:lineRule="exact"/>
              <w:rPr>
                <w:sz w:val="20"/>
                <w:szCs w:val="20"/>
                <w:color w:val="auto"/>
              </w:rPr>
            </w:pPr>
            <w:r>
              <w:rPr>
                <w:rFonts w:ascii="Arial" w:cs="Arial" w:eastAsia="Arial" w:hAnsi="Arial"/>
                <w:sz w:val="14"/>
                <w:szCs w:val="14"/>
                <w:color w:val="auto"/>
                <w:w w:val="96"/>
              </w:rPr>
              <w:t>Healthcare, Education and</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Development Inc.</w:t>
            </w:r>
          </w:p>
        </w:tc>
        <w:tc>
          <w:tcPr>
            <w:tcW w:w="1620" w:type="dxa"/>
            <w:vAlign w:val="bottom"/>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August, 2022</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+ 3.25%,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1,985</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1,975</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1,966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1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April, 2020</w:t>
            </w:r>
          </w:p>
        </w:tc>
        <w:tc>
          <w:tcPr>
            <w:tcW w:w="1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+ 4.25%, 1% floor</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1,995</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1,975</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1,845</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Skillsoft Corporation</w:t>
            </w: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Electronics</w:t>
            </w: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April, 2021</w:t>
            </w:r>
          </w:p>
        </w:tc>
        <w:tc>
          <w:tcPr>
            <w:tcW w:w="1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Libor + 4.75%, 1% floor</w:t>
            </w:r>
          </w:p>
        </w:tc>
        <w:tc>
          <w:tcPr>
            <w:tcW w:w="2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1,985</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1,965</w:t>
            </w:r>
          </w:p>
        </w:tc>
        <w:tc>
          <w:tcPr>
            <w:tcW w:w="4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1,583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Sterigenics-Nordion</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Healthcare, Education and</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Holdings,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May,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+ 3.25%,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1,990</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1,985</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1,930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1840" w:type="dxa"/>
            <w:vAlign w:val="bottom"/>
            <w:gridSpan w:val="2"/>
          </w:tcPr>
          <w:p>
            <w:pPr>
              <w:spacing w:after="0" w:line="130" w:lineRule="exact"/>
              <w:rPr>
                <w:sz w:val="20"/>
                <w:szCs w:val="20"/>
                <w:color w:val="auto"/>
              </w:rPr>
            </w:pPr>
            <w:r>
              <w:rPr>
                <w:rFonts w:ascii="Arial" w:cs="Arial" w:eastAsia="Arial" w:hAnsi="Arial"/>
                <w:sz w:val="14"/>
                <w:szCs w:val="14"/>
                <w:color w:val="auto"/>
              </w:rPr>
              <w:t>STG-Fairway Acquisitions,</w:t>
            </w:r>
          </w:p>
        </w:tc>
        <w:tc>
          <w:tcPr>
            <w:tcW w:w="1620" w:type="dxa"/>
            <w:vAlign w:val="bottom"/>
          </w:tcPr>
          <w:p>
            <w:pPr>
              <w:spacing w:after="0" w:line="130" w:lineRule="exact"/>
              <w:rPr>
                <w:sz w:val="20"/>
                <w:szCs w:val="20"/>
                <w:color w:val="auto"/>
              </w:rPr>
            </w:pPr>
            <w:r>
              <w:rPr>
                <w:rFonts w:ascii="Arial" w:cs="Arial" w:eastAsia="Arial" w:hAnsi="Arial"/>
                <w:sz w:val="14"/>
                <w:szCs w:val="14"/>
                <w:color w:val="auto"/>
              </w:rPr>
              <w:t>Diversified/Conglomerate</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Inc</w:t>
            </w:r>
          </w:p>
        </w:tc>
        <w:tc>
          <w:tcPr>
            <w:tcW w:w="1620" w:type="dxa"/>
            <w:vAlign w:val="bottom"/>
          </w:tcPr>
          <w:p>
            <w:pPr>
              <w:spacing w:after="0"/>
              <w:rPr>
                <w:sz w:val="20"/>
                <w:szCs w:val="20"/>
                <w:color w:val="auto"/>
              </w:rPr>
            </w:pPr>
            <w:r>
              <w:rPr>
                <w:rFonts w:ascii="Arial" w:cs="Arial" w:eastAsia="Arial" w:hAnsi="Arial"/>
                <w:sz w:val="14"/>
                <w:szCs w:val="14"/>
                <w:color w:val="auto"/>
              </w:rPr>
              <w:t>Service</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June, 2022</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+ 5.25%,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2,486</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2,449</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2,412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Containers, Packaging and</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Tekni-Plex Incorporated</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Glass</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June,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+ 3.5%,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2,481</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2,469</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2,435</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line="130" w:lineRule="exact"/>
              <w:rPr>
                <w:sz w:val="20"/>
                <w:szCs w:val="20"/>
                <w:color w:val="auto"/>
              </w:rPr>
            </w:pPr>
            <w:r>
              <w:rPr>
                <w:rFonts w:ascii="Arial" w:cs="Arial" w:eastAsia="Arial" w:hAnsi="Arial"/>
                <w:sz w:val="14"/>
                <w:szCs w:val="14"/>
                <w:color w:val="auto"/>
                <w:w w:val="96"/>
              </w:rPr>
              <w:t>Healthcare, Education and</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US Renal Care, Inc</w:t>
            </w:r>
          </w:p>
        </w:tc>
        <w:tc>
          <w:tcPr>
            <w:tcW w:w="1620" w:type="dxa"/>
            <w:vAlign w:val="bottom"/>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November, 2022</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+ 4.25%, 1% floor</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1,995</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1,975</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1,986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Diversified/Conglomerate</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USAGM Holdco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Service</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July,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+ 3.75%, 1% floor</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1,980</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1,935</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0"/>
        </w:trPr>
        <w:tc>
          <w:tcPr>
            <w:tcW w:w="1840" w:type="dxa"/>
            <w:vAlign w:val="bottom"/>
            <w:gridSpan w:val="2"/>
          </w:tcPr>
          <w:p>
            <w:pPr>
              <w:spacing w:after="0" w:line="140" w:lineRule="exact"/>
              <w:rPr>
                <w:sz w:val="20"/>
                <w:szCs w:val="20"/>
                <w:color w:val="auto"/>
              </w:rPr>
            </w:pPr>
            <w:r>
              <w:rPr>
                <w:rFonts w:ascii="Arial" w:cs="Arial" w:eastAsia="Arial" w:hAnsi="Arial"/>
                <w:sz w:val="14"/>
                <w:szCs w:val="14"/>
                <w:color w:val="auto"/>
              </w:rPr>
              <w:t>Western Digital</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40" w:type="dxa"/>
            <w:vAlign w:val="bottom"/>
            <w:gridSpan w:val="2"/>
          </w:tcPr>
          <w:p>
            <w:pPr>
              <w:spacing w:after="0" w:line="198" w:lineRule="exact"/>
              <w:rPr>
                <w:sz w:val="20"/>
                <w:szCs w:val="20"/>
                <w:color w:val="auto"/>
              </w:rPr>
            </w:pPr>
            <w:r>
              <w:rPr>
                <w:rFonts w:ascii="Arial" w:cs="Arial" w:eastAsia="Arial" w:hAnsi="Arial"/>
                <w:sz w:val="14"/>
                <w:szCs w:val="14"/>
                <w:color w:val="auto"/>
              </w:rPr>
              <w:t>Corporation</w:t>
            </w:r>
            <w:r>
              <w:rPr>
                <w:rFonts w:ascii="Arial" w:cs="Arial" w:eastAsia="Arial" w:hAnsi="Arial"/>
                <w:sz w:val="22"/>
                <w:szCs w:val="22"/>
                <w:color w:val="auto"/>
                <w:vertAlign w:val="superscript"/>
              </w:rPr>
              <w:t>(3)</w:t>
            </w:r>
          </w:p>
        </w:tc>
        <w:tc>
          <w:tcPr>
            <w:tcW w:w="1620" w:type="dxa"/>
            <w:vAlign w:val="bottom"/>
          </w:tcPr>
          <w:p>
            <w:pPr>
              <w:spacing w:after="0"/>
              <w:rPr>
                <w:sz w:val="20"/>
                <w:szCs w:val="20"/>
                <w:color w:val="auto"/>
              </w:rPr>
            </w:pPr>
            <w:r>
              <w:rPr>
                <w:rFonts w:ascii="Arial" w:cs="Arial" w:eastAsia="Arial" w:hAnsi="Arial"/>
                <w:sz w:val="14"/>
                <w:szCs w:val="14"/>
                <w:color w:val="auto"/>
              </w:rPr>
              <w:t>Electronics</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April, 2023</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+ 5.5%, .75% floor</w:t>
            </w:r>
          </w:p>
        </w:tc>
        <w:tc>
          <w:tcPr>
            <w:tcW w:w="2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2,000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1,940</w:t>
            </w:r>
          </w:p>
        </w:tc>
        <w:tc>
          <w:tcPr>
            <w:tcW w:w="4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1,974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Non Durable Consumer</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Zep, Inc.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Products</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June,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+ 4.75%, 1% floor</w:t>
            </w:r>
          </w:p>
        </w:tc>
        <w:tc>
          <w:tcPr>
            <w:tcW w:w="2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995</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993</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76,447</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75,361</w:t>
            </w:r>
          </w:p>
        </w:tc>
        <w:tc>
          <w:tcPr>
            <w:tcW w:w="2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73,122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(2,239</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3"/>
        </w:trPr>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20" w:type="dxa"/>
            <w:vAlign w:val="bottom"/>
            <w:gridSpan w:val="6"/>
            <w:shd w:val="clear" w:color="auto" w:fill="CCEEFF"/>
          </w:tcPr>
          <w:p>
            <w:pPr>
              <w:jc w:val="right"/>
              <w:spacing w:after="0" w:line="143" w:lineRule="exact"/>
              <w:rPr>
                <w:sz w:val="20"/>
                <w:szCs w:val="20"/>
                <w:color w:val="auto"/>
              </w:rPr>
            </w:pPr>
            <w:r>
              <w:rPr>
                <w:rFonts w:ascii="Arial" w:cs="Arial" w:eastAsia="Arial" w:hAnsi="Arial"/>
                <w:sz w:val="14"/>
                <w:szCs w:val="14"/>
                <w:color w:val="auto"/>
                <w:w w:val="91"/>
              </w:rPr>
              <w:t>Total accrued interest, net of expenses</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168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7"/>
          </w:tcPr>
          <w:p>
            <w:pPr>
              <w:jc w:val="right"/>
              <w:ind w:right="200"/>
              <w:spacing w:after="0" w:line="155" w:lineRule="exact"/>
              <w:rPr>
                <w:sz w:val="20"/>
                <w:szCs w:val="20"/>
                <w:color w:val="auto"/>
              </w:rPr>
            </w:pPr>
            <w:r>
              <w:rPr>
                <w:rFonts w:ascii="Arial" w:cs="Arial" w:eastAsia="Arial" w:hAnsi="Arial"/>
                <w:sz w:val="14"/>
                <w:szCs w:val="14"/>
                <w:color w:val="auto"/>
                <w:w w:val="95"/>
              </w:rPr>
              <w:t>Total unrealized depreciation on TRS</w:t>
            </w:r>
          </w:p>
        </w:tc>
        <w:tc>
          <w:tcPr>
            <w:tcW w:w="20" w:type="dxa"/>
            <w:vAlign w:val="bottom"/>
          </w:tcPr>
          <w:p>
            <w:pPr>
              <w:spacing w:after="0"/>
              <w:rPr>
                <w:sz w:val="13"/>
                <w:szCs w:val="13"/>
                <w:color w:val="auto"/>
              </w:rPr>
            </w:pPr>
          </w:p>
        </w:tc>
        <w:tc>
          <w:tcPr>
            <w:tcW w:w="2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(2,071</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40" w:hanging="332"/>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fair value determined in accordance with ASC Topic 820. The determination of fair value is outside the scope of the Board's valuation process described herein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interest is payable in cash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referenced asset is unsettled as of March 31,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referenced assets are senior secured loans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TRS reference assets as of December 31, 2015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(4)</w:t>
            </w:r>
          </w:p>
        </w:tc>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Business Description</w:t>
            </w:r>
          </w:p>
        </w:tc>
        <w:tc>
          <w:tcPr>
            <w:tcW w:w="1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Maturity Date</w:t>
            </w:r>
          </w:p>
        </w:tc>
        <w:tc>
          <w:tcPr>
            <w:tcW w:w="1860" w:type="dxa"/>
            <w:vAlign w:val="bottom"/>
            <w:gridSpan w:val="3"/>
          </w:tcPr>
          <w:p>
            <w:pPr>
              <w:ind w:left="120"/>
              <w:spacing w:after="0"/>
              <w:rPr>
                <w:sz w:val="20"/>
                <w:szCs w:val="20"/>
                <w:color w:val="auto"/>
              </w:rPr>
            </w:pPr>
            <w:r>
              <w:rPr>
                <w:rFonts w:ascii="Arial" w:cs="Arial" w:eastAsia="Arial" w:hAnsi="Arial"/>
                <w:sz w:val="14"/>
                <w:szCs w:val="14"/>
                <w:b w:val="1"/>
                <w:bCs w:val="1"/>
                <w:color w:val="auto"/>
              </w:rPr>
              <w:t>Current Interest</w:t>
            </w: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4"/>
              </w:rPr>
              <w:t>Principal</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76"/>
        </w:trPr>
        <w:tc>
          <w:tcPr>
            <w:tcW w:w="1840" w:type="dxa"/>
            <w:vAlign w:val="bottom"/>
            <w:gridSpan w:val="2"/>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860" w:type="dxa"/>
            <w:vAlign w:val="bottom"/>
            <w:gridSpan w:val="3"/>
          </w:tcPr>
          <w:p>
            <w:pPr>
              <w:ind w:left="120"/>
              <w:spacing w:after="0" w:line="176" w:lineRule="exact"/>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20"/>
                <w:szCs w:val="20"/>
                <w:b w:val="1"/>
                <w:bCs w:val="1"/>
                <w:color w:val="auto"/>
                <w:vertAlign w:val="superscript"/>
              </w:rPr>
              <w:t>(2)</w:t>
            </w:r>
          </w:p>
        </w:tc>
        <w:tc>
          <w:tcPr>
            <w:tcW w:w="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123"/>
        </w:trPr>
        <w:tc>
          <w:tcPr>
            <w:tcW w:w="1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6"/>
              </w:rPr>
              <w:t>Healthcare, Education and</w:t>
            </w:r>
          </w:p>
        </w:tc>
        <w:tc>
          <w:tcPr>
            <w:tcW w:w="12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21st Century Oncology, Inc.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Childcare</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April, 2022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+ 5.5%, 1% floor</w:t>
            </w: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1,990</w:t>
            </w: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1,970</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1,662</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0"/>
        </w:trPr>
        <w:tc>
          <w:tcPr>
            <w:tcW w:w="1840" w:type="dxa"/>
            <w:vAlign w:val="bottom"/>
            <w:gridSpan w:val="2"/>
          </w:tcPr>
          <w:p>
            <w:pPr>
              <w:spacing w:after="0" w:line="140" w:lineRule="exact"/>
              <w:rPr>
                <w:sz w:val="20"/>
                <w:szCs w:val="20"/>
                <w:color w:val="auto"/>
              </w:rPr>
            </w:pPr>
            <w:r>
              <w:rPr>
                <w:rFonts w:ascii="Arial" w:cs="Arial" w:eastAsia="Arial" w:hAnsi="Arial"/>
                <w:sz w:val="14"/>
                <w:szCs w:val="14"/>
                <w:color w:val="auto"/>
              </w:rPr>
              <w:t>ABG Intermediate Holdings</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4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2, LLC </w:t>
            </w:r>
            <w:r>
              <w:rPr>
                <w:rFonts w:ascii="Arial" w:cs="Arial" w:eastAsia="Arial" w:hAnsi="Arial"/>
                <w:sz w:val="22"/>
                <w:szCs w:val="22"/>
                <w:color w:val="auto"/>
                <w:vertAlign w:val="superscript"/>
              </w:rPr>
              <w:t>(5)</w:t>
            </w:r>
          </w:p>
        </w:tc>
        <w:tc>
          <w:tcPr>
            <w:tcW w:w="1620" w:type="dxa"/>
            <w:vAlign w:val="bottom"/>
          </w:tcPr>
          <w:p>
            <w:pPr>
              <w:spacing w:after="0"/>
              <w:rPr>
                <w:sz w:val="20"/>
                <w:szCs w:val="20"/>
                <w:color w:val="auto"/>
              </w:rPr>
            </w:pPr>
            <w:r>
              <w:rPr>
                <w:rFonts w:ascii="Arial" w:cs="Arial" w:eastAsia="Arial" w:hAnsi="Arial"/>
                <w:sz w:val="14"/>
                <w:szCs w:val="14"/>
                <w:color w:val="auto"/>
              </w:rPr>
              <w:t>Textiles and Leather</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May, 2021</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Libor + 4.5%, 1% floor</w:t>
            </w:r>
          </w:p>
        </w:tc>
        <w:tc>
          <w:tcPr>
            <w:tcW w:w="58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1,733</w:t>
            </w:r>
          </w:p>
        </w:tc>
        <w:tc>
          <w:tcPr>
            <w:tcW w:w="44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1,715</w:t>
            </w:r>
          </w:p>
        </w:tc>
        <w:tc>
          <w:tcPr>
            <w:tcW w:w="56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1,698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Rock Salt</w:t>
            </w: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Mining, Steel, Iron and</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Company, LLC</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Non Precious Metals</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May, 2021</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Libor + 3.75%, 1% floor</w:t>
            </w:r>
          </w:p>
        </w:tc>
        <w:tc>
          <w:tcPr>
            <w:tcW w:w="5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1,985</w:t>
            </w:r>
          </w:p>
        </w:tc>
        <w:tc>
          <w:tcPr>
            <w:tcW w:w="4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1,985</w:t>
            </w:r>
          </w:p>
        </w:tc>
        <w:tc>
          <w:tcPr>
            <w:tcW w:w="5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1,892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bl>
    <w:p>
      <w:pPr>
        <w:sectPr>
          <w:pgSz w:w="11900" w:h="16843" w:orient="portrait"/>
          <w:cols w:equalWidth="0" w:num="1">
            <w:col w:w="11420"/>
          </w:cols>
          <w:pgMar w:left="240" w:top="908"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20"/>
                <w:szCs w:val="20"/>
                <w:color w:val="auto"/>
              </w:rPr>
            </w:pPr>
            <w:r>
              <w:rPr>
                <w:rFonts w:ascii="Arial" w:cs="Arial" w:eastAsia="Arial" w:hAnsi="Arial"/>
                <w:sz w:val="14"/>
                <w:szCs w:val="14"/>
                <w:color w:val="auto"/>
                <w:w w:val="96"/>
              </w:rPr>
              <w:t>Anchor Glass Container Corp</w:t>
            </w:r>
          </w:p>
        </w:tc>
        <w:tc>
          <w:tcPr>
            <w:tcW w:w="1700" w:type="dxa"/>
            <w:vAlign w:val="bottom"/>
          </w:tcPr>
          <w:p>
            <w:pPr>
              <w:ind w:left="60"/>
              <w:spacing w:after="0"/>
              <w:rPr>
                <w:sz w:val="20"/>
                <w:szCs w:val="20"/>
                <w:color w:val="auto"/>
              </w:rPr>
            </w:pPr>
            <w:r>
              <w:rPr>
                <w:rFonts w:ascii="Arial" w:cs="Arial" w:eastAsia="Arial" w:hAnsi="Arial"/>
                <w:sz w:val="14"/>
                <w:szCs w:val="14"/>
                <w:color w:val="auto"/>
                <w:w w:val="96"/>
              </w:rPr>
              <w:t>Containers, Packaging and</w:t>
            </w:r>
          </w:p>
        </w:tc>
        <w:tc>
          <w:tcPr>
            <w:tcW w:w="1440" w:type="dxa"/>
            <w:vAlign w:val="bottom"/>
          </w:tcPr>
          <w:p>
            <w:pPr>
              <w:ind w:left="100"/>
              <w:spacing w:after="0"/>
              <w:rPr>
                <w:sz w:val="20"/>
                <w:szCs w:val="20"/>
                <w:color w:val="auto"/>
              </w:rPr>
            </w:pPr>
            <w:r>
              <w:rPr>
                <w:rFonts w:ascii="Arial" w:cs="Arial" w:eastAsia="Arial" w:hAnsi="Arial"/>
                <w:sz w:val="14"/>
                <w:szCs w:val="14"/>
                <w:color w:val="auto"/>
              </w:rPr>
              <w:t>July, 2022</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+ 3.50%,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482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479</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Glass</w:t>
            </w:r>
          </w:p>
        </w:tc>
        <w:tc>
          <w:tcPr>
            <w:tcW w:w="1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Ardent Legacy Acquisitions,</w:t>
            </w: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Healthcare, Education and</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Childcare</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August, 2021</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+ 5.5%,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1,995</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1,975</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1,975</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Aspen Dental Management,</w:t>
            </w:r>
          </w:p>
        </w:tc>
        <w:tc>
          <w:tcPr>
            <w:tcW w:w="1700" w:type="dxa"/>
            <w:vAlign w:val="bottom"/>
          </w:tcPr>
          <w:p>
            <w:pPr>
              <w:ind w:left="60"/>
              <w:spacing w:after="0" w:line="130" w:lineRule="exact"/>
              <w:rPr>
                <w:sz w:val="20"/>
                <w:szCs w:val="20"/>
                <w:color w:val="auto"/>
              </w:rPr>
            </w:pPr>
            <w:r>
              <w:rPr>
                <w:rFonts w:ascii="Arial" w:cs="Arial" w:eastAsia="Arial" w:hAnsi="Arial"/>
                <w:sz w:val="14"/>
                <w:szCs w:val="14"/>
                <w:color w:val="auto"/>
                <w:w w:val="98"/>
              </w:rPr>
              <w:t>Healthcare, Education and</w:t>
            </w: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Inc.</w:t>
            </w:r>
          </w:p>
        </w:tc>
        <w:tc>
          <w:tcPr>
            <w:tcW w:w="1700" w:type="dxa"/>
            <w:vAlign w:val="bottom"/>
          </w:tcPr>
          <w:p>
            <w:pPr>
              <w:ind w:left="60"/>
              <w:spacing w:after="0"/>
              <w:rPr>
                <w:sz w:val="20"/>
                <w:szCs w:val="20"/>
                <w:color w:val="auto"/>
              </w:rPr>
            </w:pPr>
            <w:r>
              <w:rPr>
                <w:rFonts w:ascii="Arial" w:cs="Arial" w:eastAsia="Arial" w:hAnsi="Arial"/>
                <w:sz w:val="14"/>
                <w:szCs w:val="14"/>
                <w:color w:val="auto"/>
              </w:rPr>
              <w:t>Childcare</w:t>
            </w:r>
          </w:p>
        </w:tc>
        <w:tc>
          <w:tcPr>
            <w:tcW w:w="1440" w:type="dxa"/>
            <w:vAlign w:val="bottom"/>
          </w:tcPr>
          <w:p>
            <w:pPr>
              <w:ind w:left="100"/>
              <w:spacing w:after="0"/>
              <w:rPr>
                <w:sz w:val="20"/>
                <w:szCs w:val="20"/>
                <w:color w:val="auto"/>
              </w:rPr>
            </w:pPr>
            <w:r>
              <w:rPr>
                <w:rFonts w:ascii="Arial" w:cs="Arial" w:eastAsia="Arial" w:hAnsi="Arial"/>
                <w:sz w:val="14"/>
                <w:szCs w:val="14"/>
                <w:color w:val="auto"/>
              </w:rPr>
              <w:t>April, 2022</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+ 4.5%,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1,493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1,485</w:t>
            </w: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1,487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Asurion, LLC</w:t>
            </w:r>
          </w:p>
        </w:tc>
        <w:tc>
          <w:tcPr>
            <w:tcW w:w="17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Insurance</w:t>
            </w:r>
          </w:p>
        </w:tc>
        <w:tc>
          <w:tcPr>
            <w:tcW w:w="14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August, 2022</w:t>
            </w:r>
          </w:p>
        </w:tc>
        <w:tc>
          <w:tcPr>
            <w:tcW w:w="24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Libor + 4.0%, 1% floor</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2,239</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2,228</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2,043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Bass Pro Group, LLC</w:t>
            </w:r>
          </w:p>
        </w:tc>
        <w:tc>
          <w:tcPr>
            <w:tcW w:w="1700" w:type="dxa"/>
            <w:vAlign w:val="bottom"/>
          </w:tcPr>
          <w:p>
            <w:pPr>
              <w:ind w:left="60"/>
              <w:spacing w:after="0" w:line="149" w:lineRule="exact"/>
              <w:rPr>
                <w:sz w:val="20"/>
                <w:szCs w:val="20"/>
                <w:color w:val="auto"/>
              </w:rPr>
            </w:pPr>
            <w:r>
              <w:rPr>
                <w:rFonts w:ascii="Arial" w:cs="Arial" w:eastAsia="Arial" w:hAnsi="Arial"/>
                <w:sz w:val="14"/>
                <w:szCs w:val="14"/>
                <w:color w:val="auto"/>
              </w:rPr>
              <w:t>Retail Stores</w:t>
            </w:r>
          </w:p>
        </w:tc>
        <w:tc>
          <w:tcPr>
            <w:tcW w:w="1440" w:type="dxa"/>
            <w:vAlign w:val="bottom"/>
          </w:tcPr>
          <w:p>
            <w:pPr>
              <w:ind w:left="100"/>
              <w:spacing w:after="0" w:line="149" w:lineRule="exact"/>
              <w:rPr>
                <w:sz w:val="20"/>
                <w:szCs w:val="20"/>
                <w:color w:val="auto"/>
              </w:rPr>
            </w:pPr>
            <w:r>
              <w:rPr>
                <w:rFonts w:ascii="Arial" w:cs="Arial" w:eastAsia="Arial" w:hAnsi="Arial"/>
                <w:sz w:val="14"/>
                <w:szCs w:val="14"/>
                <w:color w:val="auto"/>
              </w:rPr>
              <w:t>June, 2020</w:t>
            </w:r>
          </w:p>
        </w:tc>
        <w:tc>
          <w:tcPr>
            <w:tcW w:w="24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Libor + 3.25%, .75% floor</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992</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Belk, Inc.</w:t>
            </w:r>
          </w:p>
        </w:tc>
        <w:tc>
          <w:tcPr>
            <w:tcW w:w="17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 Stores</w:t>
            </w:r>
          </w:p>
        </w:tc>
        <w:tc>
          <w:tcPr>
            <w:tcW w:w="14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December, 2022</w:t>
            </w:r>
          </w:p>
        </w:tc>
        <w:tc>
          <w:tcPr>
            <w:tcW w:w="24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Libor + 4.75%, 1% floor</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1,780</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1,758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1780" w:type="dxa"/>
            <w:vAlign w:val="bottom"/>
          </w:tcPr>
          <w:p>
            <w:pPr>
              <w:spacing w:after="0"/>
              <w:rPr>
                <w:sz w:val="11"/>
                <w:szCs w:val="11"/>
                <w:color w:val="auto"/>
              </w:rPr>
            </w:pPr>
          </w:p>
        </w:tc>
        <w:tc>
          <w:tcPr>
            <w:tcW w:w="1700" w:type="dxa"/>
            <w:vAlign w:val="bottom"/>
          </w:tcPr>
          <w:p>
            <w:pPr>
              <w:ind w:left="60"/>
              <w:spacing w:after="0" w:line="130" w:lineRule="exact"/>
              <w:rPr>
                <w:sz w:val="20"/>
                <w:szCs w:val="20"/>
                <w:color w:val="auto"/>
              </w:rPr>
            </w:pPr>
            <w:r>
              <w:rPr>
                <w:rFonts w:ascii="Arial" w:cs="Arial" w:eastAsia="Arial" w:hAnsi="Arial"/>
                <w:sz w:val="14"/>
                <w:szCs w:val="14"/>
                <w:color w:val="auto"/>
              </w:rPr>
              <w:t>Diversified/Conglomerate</w:t>
            </w: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Bioplan USA, Inc.</w:t>
            </w:r>
          </w:p>
        </w:tc>
        <w:tc>
          <w:tcPr>
            <w:tcW w:w="1700" w:type="dxa"/>
            <w:vAlign w:val="bottom"/>
          </w:tcPr>
          <w:p>
            <w:pPr>
              <w:ind w:left="60"/>
              <w:spacing w:after="0"/>
              <w:rPr>
                <w:sz w:val="20"/>
                <w:szCs w:val="20"/>
                <w:color w:val="auto"/>
              </w:rPr>
            </w:pPr>
            <w:r>
              <w:rPr>
                <w:rFonts w:ascii="Arial" w:cs="Arial" w:eastAsia="Arial" w:hAnsi="Arial"/>
                <w:sz w:val="14"/>
                <w:szCs w:val="14"/>
                <w:color w:val="auto"/>
              </w:rPr>
              <w:t>Service</w:t>
            </w:r>
          </w:p>
        </w:tc>
        <w:tc>
          <w:tcPr>
            <w:tcW w:w="1440" w:type="dxa"/>
            <w:vAlign w:val="bottom"/>
          </w:tcPr>
          <w:p>
            <w:pPr>
              <w:ind w:left="100"/>
              <w:spacing w:after="0"/>
              <w:rPr>
                <w:sz w:val="20"/>
                <w:szCs w:val="20"/>
                <w:color w:val="auto"/>
              </w:rPr>
            </w:pPr>
            <w:r>
              <w:rPr>
                <w:rFonts w:ascii="Arial" w:cs="Arial" w:eastAsia="Arial" w:hAnsi="Arial"/>
                <w:sz w:val="14"/>
                <w:szCs w:val="14"/>
                <w:color w:val="auto"/>
              </w:rPr>
              <w:t>September, 2021</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+ 4.75%,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992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831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Blue Coat Systems, Inc.</w:t>
            </w:r>
          </w:p>
        </w:tc>
        <w:tc>
          <w:tcPr>
            <w:tcW w:w="17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w:t>
            </w:r>
          </w:p>
        </w:tc>
        <w:tc>
          <w:tcPr>
            <w:tcW w:w="14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May, 2022</w:t>
            </w:r>
          </w:p>
        </w:tc>
        <w:tc>
          <w:tcPr>
            <w:tcW w:w="24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Libor + 3.5%, 1% floor</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1,928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Brock Holdings III, Inc.</w:t>
            </w:r>
          </w:p>
        </w:tc>
        <w:tc>
          <w:tcPr>
            <w:tcW w:w="1700" w:type="dxa"/>
            <w:vAlign w:val="bottom"/>
          </w:tcPr>
          <w:p>
            <w:pPr>
              <w:ind w:left="60"/>
              <w:spacing w:after="0" w:line="149" w:lineRule="exact"/>
              <w:rPr>
                <w:sz w:val="20"/>
                <w:szCs w:val="20"/>
                <w:color w:val="auto"/>
              </w:rPr>
            </w:pPr>
            <w:r>
              <w:rPr>
                <w:rFonts w:ascii="Arial" w:cs="Arial" w:eastAsia="Arial" w:hAnsi="Arial"/>
                <w:sz w:val="14"/>
                <w:szCs w:val="14"/>
                <w:color w:val="auto"/>
              </w:rPr>
              <w:t>Buildings and Real Estate</w:t>
            </w:r>
          </w:p>
        </w:tc>
        <w:tc>
          <w:tcPr>
            <w:tcW w:w="1440" w:type="dxa"/>
            <w:vAlign w:val="bottom"/>
          </w:tcPr>
          <w:p>
            <w:pPr>
              <w:ind w:left="100"/>
              <w:spacing w:after="0" w:line="149" w:lineRule="exact"/>
              <w:rPr>
                <w:sz w:val="20"/>
                <w:szCs w:val="20"/>
                <w:color w:val="auto"/>
              </w:rPr>
            </w:pPr>
            <w:r>
              <w:rPr>
                <w:rFonts w:ascii="Arial" w:cs="Arial" w:eastAsia="Arial" w:hAnsi="Arial"/>
                <w:sz w:val="14"/>
                <w:szCs w:val="14"/>
                <w:color w:val="auto"/>
              </w:rPr>
              <w:t>March, 2017</w:t>
            </w:r>
          </w:p>
        </w:tc>
        <w:tc>
          <w:tcPr>
            <w:tcW w:w="24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Libor + 4.5%, 1.5% floor</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1,488</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1,480</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1,383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CDS U.S. Intermediate</w:t>
            </w: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Leisure, Amusement,</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Holdings, 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Entertainment</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July,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+ 4.0%,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997</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w w:val="94"/>
              </w:rPr>
              <w:t>Chelsea Petroleum Products I</w:t>
            </w:r>
          </w:p>
        </w:tc>
        <w:tc>
          <w:tcPr>
            <w:tcW w:w="1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LLC</w:t>
            </w:r>
          </w:p>
        </w:tc>
        <w:tc>
          <w:tcPr>
            <w:tcW w:w="1700" w:type="dxa"/>
            <w:vAlign w:val="bottom"/>
          </w:tcPr>
          <w:p>
            <w:pPr>
              <w:ind w:left="60"/>
              <w:spacing w:after="0"/>
              <w:rPr>
                <w:sz w:val="20"/>
                <w:szCs w:val="20"/>
                <w:color w:val="auto"/>
              </w:rPr>
            </w:pPr>
            <w:r>
              <w:rPr>
                <w:rFonts w:ascii="Arial" w:cs="Arial" w:eastAsia="Arial" w:hAnsi="Arial"/>
                <w:sz w:val="14"/>
                <w:szCs w:val="14"/>
                <w:color w:val="auto"/>
              </w:rPr>
              <w:t>Oil &amp; Gas</w:t>
            </w:r>
          </w:p>
        </w:tc>
        <w:tc>
          <w:tcPr>
            <w:tcW w:w="1440" w:type="dxa"/>
            <w:vAlign w:val="bottom"/>
          </w:tcPr>
          <w:p>
            <w:pPr>
              <w:ind w:left="100"/>
              <w:spacing w:after="0"/>
              <w:rPr>
                <w:sz w:val="20"/>
                <w:szCs w:val="20"/>
                <w:color w:val="auto"/>
              </w:rPr>
            </w:pPr>
            <w:r>
              <w:rPr>
                <w:rFonts w:ascii="Arial" w:cs="Arial" w:eastAsia="Arial" w:hAnsi="Arial"/>
                <w:sz w:val="14"/>
                <w:szCs w:val="14"/>
                <w:color w:val="auto"/>
              </w:rPr>
              <w:t>October, 2022</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+ 4.25%,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485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Communications Sales &amp;</w:t>
            </w:r>
          </w:p>
        </w:tc>
        <w:tc>
          <w:tcPr>
            <w:tcW w:w="1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Leasing, 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Finance</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October,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+ 4.0%,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1,990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1,950</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1,838</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0"/>
        </w:trPr>
        <w:tc>
          <w:tcPr>
            <w:tcW w:w="1780" w:type="dxa"/>
            <w:vAlign w:val="bottom"/>
          </w:tcPr>
          <w:p>
            <w:pPr>
              <w:spacing w:after="0"/>
              <w:rPr>
                <w:sz w:val="11"/>
                <w:szCs w:val="11"/>
                <w:color w:val="auto"/>
              </w:rPr>
            </w:pPr>
          </w:p>
        </w:tc>
        <w:tc>
          <w:tcPr>
            <w:tcW w:w="1700" w:type="dxa"/>
            <w:vAlign w:val="bottom"/>
          </w:tcPr>
          <w:p>
            <w:pPr>
              <w:ind w:left="60"/>
              <w:spacing w:after="0" w:line="130" w:lineRule="exact"/>
              <w:rPr>
                <w:sz w:val="20"/>
                <w:szCs w:val="20"/>
                <w:color w:val="auto"/>
              </w:rPr>
            </w:pPr>
            <w:r>
              <w:rPr>
                <w:rFonts w:ascii="Arial" w:cs="Arial" w:eastAsia="Arial" w:hAnsi="Arial"/>
                <w:sz w:val="14"/>
                <w:szCs w:val="14"/>
                <w:color w:val="auto"/>
                <w:w w:val="98"/>
              </w:rPr>
              <w:t>Healthcare, Education and</w:t>
            </w: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Concordia Healthcare Corp</w:t>
            </w:r>
          </w:p>
        </w:tc>
        <w:tc>
          <w:tcPr>
            <w:tcW w:w="1700" w:type="dxa"/>
            <w:vAlign w:val="bottom"/>
          </w:tcPr>
          <w:p>
            <w:pPr>
              <w:ind w:left="60"/>
              <w:spacing w:after="0"/>
              <w:rPr>
                <w:sz w:val="20"/>
                <w:szCs w:val="20"/>
                <w:color w:val="auto"/>
              </w:rPr>
            </w:pPr>
            <w:r>
              <w:rPr>
                <w:rFonts w:ascii="Arial" w:cs="Arial" w:eastAsia="Arial" w:hAnsi="Arial"/>
                <w:sz w:val="14"/>
                <w:szCs w:val="14"/>
                <w:color w:val="auto"/>
              </w:rPr>
              <w:t>Childcare</w:t>
            </w:r>
          </w:p>
        </w:tc>
        <w:tc>
          <w:tcPr>
            <w:tcW w:w="1440" w:type="dxa"/>
            <w:vAlign w:val="bottom"/>
          </w:tcPr>
          <w:p>
            <w:pPr>
              <w:ind w:left="100"/>
              <w:spacing w:after="0"/>
              <w:rPr>
                <w:sz w:val="20"/>
                <w:szCs w:val="20"/>
                <w:color w:val="auto"/>
              </w:rPr>
            </w:pPr>
            <w:r>
              <w:rPr>
                <w:rFonts w:ascii="Arial" w:cs="Arial" w:eastAsia="Arial" w:hAnsi="Arial"/>
                <w:sz w:val="14"/>
                <w:szCs w:val="14"/>
                <w:color w:val="auto"/>
              </w:rPr>
              <w:t>October, 2021</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+ 4.25%,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958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rPr>
                <w:sz w:val="11"/>
                <w:szCs w:val="11"/>
                <w:color w:val="auto"/>
              </w:rPr>
            </w:pP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Healthcare, Education and</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Convatec Healthcare E S.A.</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Childcare</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June, 2020</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+ 3.25%,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1,990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1,988</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1,951</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Emerging Markets</w:t>
            </w:r>
          </w:p>
        </w:tc>
        <w:tc>
          <w:tcPr>
            <w:tcW w:w="1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Communications, LLC</w:t>
            </w:r>
          </w:p>
        </w:tc>
        <w:tc>
          <w:tcPr>
            <w:tcW w:w="1700" w:type="dxa"/>
            <w:vAlign w:val="bottom"/>
          </w:tcPr>
          <w:p>
            <w:pPr>
              <w:ind w:left="60"/>
              <w:spacing w:after="0"/>
              <w:rPr>
                <w:sz w:val="20"/>
                <w:szCs w:val="20"/>
                <w:color w:val="auto"/>
              </w:rPr>
            </w:pPr>
            <w:r>
              <w:rPr>
                <w:rFonts w:ascii="Arial" w:cs="Arial" w:eastAsia="Arial" w:hAnsi="Arial"/>
                <w:sz w:val="14"/>
                <w:szCs w:val="14"/>
                <w:color w:val="auto"/>
              </w:rPr>
              <w:t>Telecommunications</w:t>
            </w:r>
          </w:p>
        </w:tc>
        <w:tc>
          <w:tcPr>
            <w:tcW w:w="1440" w:type="dxa"/>
            <w:vAlign w:val="bottom"/>
          </w:tcPr>
          <w:p>
            <w:pPr>
              <w:ind w:left="100"/>
              <w:spacing w:after="0"/>
              <w:rPr>
                <w:sz w:val="20"/>
                <w:szCs w:val="20"/>
                <w:color w:val="auto"/>
              </w:rPr>
            </w:pPr>
            <w:r>
              <w:rPr>
                <w:rFonts w:ascii="Arial" w:cs="Arial" w:eastAsia="Arial" w:hAnsi="Arial"/>
                <w:sz w:val="14"/>
                <w:szCs w:val="14"/>
                <w:color w:val="auto"/>
              </w:rPr>
              <w:t>July, 2021</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+ 5.75%,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2,487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2,450</w:t>
            </w: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2,332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rPr>
                <w:sz w:val="11"/>
                <w:szCs w:val="11"/>
                <w:color w:val="auto"/>
              </w:rPr>
            </w:pP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Healthcare, Education and</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Eresearch Technology, 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Childcare</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May,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+ 4.5%,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2,487</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2,475</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2,434</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Genoa Healthcare Group,</w:t>
            </w:r>
          </w:p>
        </w:tc>
        <w:tc>
          <w:tcPr>
            <w:tcW w:w="1700" w:type="dxa"/>
            <w:vAlign w:val="bottom"/>
          </w:tcPr>
          <w:p>
            <w:pPr>
              <w:ind w:left="60"/>
              <w:spacing w:after="0" w:line="130" w:lineRule="exact"/>
              <w:rPr>
                <w:sz w:val="20"/>
                <w:szCs w:val="20"/>
                <w:color w:val="auto"/>
              </w:rPr>
            </w:pPr>
            <w:r>
              <w:rPr>
                <w:rFonts w:ascii="Arial" w:cs="Arial" w:eastAsia="Arial" w:hAnsi="Arial"/>
                <w:sz w:val="14"/>
                <w:szCs w:val="14"/>
                <w:color w:val="auto"/>
                <w:w w:val="98"/>
              </w:rPr>
              <w:t>Healthcare, Education and</w:t>
            </w: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LLC</w:t>
            </w:r>
          </w:p>
        </w:tc>
        <w:tc>
          <w:tcPr>
            <w:tcW w:w="1700" w:type="dxa"/>
            <w:vAlign w:val="bottom"/>
          </w:tcPr>
          <w:p>
            <w:pPr>
              <w:ind w:left="60"/>
              <w:spacing w:after="0"/>
              <w:rPr>
                <w:sz w:val="20"/>
                <w:szCs w:val="20"/>
                <w:color w:val="auto"/>
              </w:rPr>
            </w:pPr>
            <w:r>
              <w:rPr>
                <w:rFonts w:ascii="Arial" w:cs="Arial" w:eastAsia="Arial" w:hAnsi="Arial"/>
                <w:sz w:val="14"/>
                <w:szCs w:val="14"/>
                <w:color w:val="auto"/>
              </w:rPr>
              <w:t>Childcare</w:t>
            </w:r>
          </w:p>
        </w:tc>
        <w:tc>
          <w:tcPr>
            <w:tcW w:w="1440" w:type="dxa"/>
            <w:vAlign w:val="bottom"/>
          </w:tcPr>
          <w:p>
            <w:pPr>
              <w:ind w:left="100"/>
              <w:spacing w:after="0"/>
              <w:rPr>
                <w:sz w:val="20"/>
                <w:szCs w:val="20"/>
                <w:color w:val="auto"/>
              </w:rPr>
            </w:pPr>
            <w:r>
              <w:rPr>
                <w:rFonts w:ascii="Arial" w:cs="Arial" w:eastAsia="Arial" w:hAnsi="Arial"/>
                <w:sz w:val="14"/>
                <w:szCs w:val="14"/>
                <w:color w:val="auto"/>
              </w:rPr>
              <w:t>May, 2022</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+ 3.5%,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1,990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1,980</w:t>
            </w: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1,930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rPr>
                <w:sz w:val="11"/>
                <w:szCs w:val="11"/>
                <w:color w:val="auto"/>
              </w:rPr>
            </w:pP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Beverage, Food and</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Hostess Brands, 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Tobacco</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August,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+ 3.5%,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1,995</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1,990</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1,983</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0"/>
        </w:trPr>
        <w:tc>
          <w:tcPr>
            <w:tcW w:w="1780" w:type="dxa"/>
            <w:vAlign w:val="bottom"/>
          </w:tcPr>
          <w:p>
            <w:pPr>
              <w:spacing w:after="0"/>
              <w:rPr>
                <w:sz w:val="11"/>
                <w:szCs w:val="11"/>
                <w:color w:val="auto"/>
              </w:rPr>
            </w:pPr>
          </w:p>
        </w:tc>
        <w:tc>
          <w:tcPr>
            <w:tcW w:w="1700" w:type="dxa"/>
            <w:vAlign w:val="bottom"/>
          </w:tcPr>
          <w:p>
            <w:pPr>
              <w:ind w:left="60"/>
              <w:spacing w:after="0" w:line="130" w:lineRule="exact"/>
              <w:rPr>
                <w:sz w:val="20"/>
                <w:szCs w:val="20"/>
                <w:color w:val="auto"/>
              </w:rPr>
            </w:pPr>
            <w:r>
              <w:rPr>
                <w:rFonts w:ascii="Arial" w:cs="Arial" w:eastAsia="Arial" w:hAnsi="Arial"/>
                <w:sz w:val="14"/>
                <w:szCs w:val="14"/>
                <w:color w:val="auto"/>
              </w:rPr>
              <w:t>Leisure, Amusement,</w:t>
            </w: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IMG Worldwide, Inc.</w:t>
            </w:r>
          </w:p>
        </w:tc>
        <w:tc>
          <w:tcPr>
            <w:tcW w:w="1700" w:type="dxa"/>
            <w:vAlign w:val="bottom"/>
          </w:tcPr>
          <w:p>
            <w:pPr>
              <w:ind w:left="60"/>
              <w:spacing w:after="0"/>
              <w:rPr>
                <w:sz w:val="20"/>
                <w:szCs w:val="20"/>
                <w:color w:val="auto"/>
              </w:rPr>
            </w:pPr>
            <w:r>
              <w:rPr>
                <w:rFonts w:ascii="Arial" w:cs="Arial" w:eastAsia="Arial" w:hAnsi="Arial"/>
                <w:sz w:val="14"/>
                <w:szCs w:val="14"/>
                <w:color w:val="auto"/>
              </w:rPr>
              <w:t>Entertainment</w:t>
            </w:r>
          </w:p>
        </w:tc>
        <w:tc>
          <w:tcPr>
            <w:tcW w:w="1440" w:type="dxa"/>
            <w:vAlign w:val="bottom"/>
          </w:tcPr>
          <w:p>
            <w:pPr>
              <w:ind w:left="100"/>
              <w:spacing w:after="0"/>
              <w:rPr>
                <w:sz w:val="20"/>
                <w:szCs w:val="20"/>
                <w:color w:val="auto"/>
              </w:rPr>
            </w:pPr>
            <w:r>
              <w:rPr>
                <w:rFonts w:ascii="Arial" w:cs="Arial" w:eastAsia="Arial" w:hAnsi="Arial"/>
                <w:sz w:val="14"/>
                <w:szCs w:val="14"/>
                <w:color w:val="auto"/>
              </w:rPr>
              <w:t>May, 2021</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+ 4.25%,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1,990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1,995</w:t>
            </w: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1,953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rPr>
                <w:sz w:val="11"/>
                <w:szCs w:val="11"/>
                <w:color w:val="auto"/>
              </w:rPr>
            </w:pP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Containers, Packaging and</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Infiltrator Systems, 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Glass</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May,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+ 4.25%,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995</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988</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Informatica Corporation</w:t>
            </w:r>
          </w:p>
        </w:tc>
        <w:tc>
          <w:tcPr>
            <w:tcW w:w="1700" w:type="dxa"/>
            <w:vAlign w:val="bottom"/>
          </w:tcPr>
          <w:p>
            <w:pPr>
              <w:ind w:left="60"/>
              <w:spacing w:after="0" w:line="149" w:lineRule="exact"/>
              <w:rPr>
                <w:sz w:val="20"/>
                <w:szCs w:val="20"/>
                <w:color w:val="auto"/>
              </w:rPr>
            </w:pPr>
            <w:r>
              <w:rPr>
                <w:rFonts w:ascii="Arial" w:cs="Arial" w:eastAsia="Arial" w:hAnsi="Arial"/>
                <w:sz w:val="14"/>
                <w:szCs w:val="14"/>
                <w:color w:val="auto"/>
              </w:rPr>
              <w:t>Electronics</w:t>
            </w:r>
          </w:p>
        </w:tc>
        <w:tc>
          <w:tcPr>
            <w:tcW w:w="1440" w:type="dxa"/>
            <w:vAlign w:val="bottom"/>
          </w:tcPr>
          <w:p>
            <w:pPr>
              <w:ind w:left="100"/>
              <w:spacing w:after="0" w:line="149" w:lineRule="exact"/>
              <w:rPr>
                <w:sz w:val="20"/>
                <w:szCs w:val="20"/>
                <w:color w:val="auto"/>
              </w:rPr>
            </w:pPr>
            <w:r>
              <w:rPr>
                <w:rFonts w:ascii="Arial" w:cs="Arial" w:eastAsia="Arial" w:hAnsi="Arial"/>
                <w:sz w:val="14"/>
                <w:szCs w:val="14"/>
                <w:color w:val="auto"/>
              </w:rPr>
              <w:t>August, 2022</w:t>
            </w:r>
          </w:p>
        </w:tc>
        <w:tc>
          <w:tcPr>
            <w:tcW w:w="24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Libor + 3.5%, 1% floor</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2,494</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2,489</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2,394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Integra Telecom, Inc.</w:t>
            </w:r>
          </w:p>
        </w:tc>
        <w:tc>
          <w:tcPr>
            <w:tcW w:w="17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4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August, 2020</w:t>
            </w:r>
          </w:p>
        </w:tc>
        <w:tc>
          <w:tcPr>
            <w:tcW w:w="24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Libor + 4.25%, 1% floor</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2,977</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2,963</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2,873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JILL Holdings, LLC</w:t>
            </w:r>
          </w:p>
        </w:tc>
        <w:tc>
          <w:tcPr>
            <w:tcW w:w="1700" w:type="dxa"/>
            <w:vAlign w:val="bottom"/>
          </w:tcPr>
          <w:p>
            <w:pPr>
              <w:ind w:left="60"/>
              <w:spacing w:after="0" w:line="149" w:lineRule="exact"/>
              <w:rPr>
                <w:sz w:val="20"/>
                <w:szCs w:val="20"/>
                <w:color w:val="auto"/>
              </w:rPr>
            </w:pPr>
            <w:r>
              <w:rPr>
                <w:rFonts w:ascii="Arial" w:cs="Arial" w:eastAsia="Arial" w:hAnsi="Arial"/>
                <w:sz w:val="14"/>
                <w:szCs w:val="14"/>
                <w:color w:val="auto"/>
              </w:rPr>
              <w:t>Retail Stores</w:t>
            </w:r>
          </w:p>
        </w:tc>
        <w:tc>
          <w:tcPr>
            <w:tcW w:w="1440" w:type="dxa"/>
            <w:vAlign w:val="bottom"/>
          </w:tcPr>
          <w:p>
            <w:pPr>
              <w:ind w:left="100"/>
              <w:spacing w:after="0" w:line="149" w:lineRule="exact"/>
              <w:rPr>
                <w:sz w:val="20"/>
                <w:szCs w:val="20"/>
                <w:color w:val="auto"/>
              </w:rPr>
            </w:pPr>
            <w:r>
              <w:rPr>
                <w:rFonts w:ascii="Arial" w:cs="Arial" w:eastAsia="Arial" w:hAnsi="Arial"/>
                <w:sz w:val="14"/>
                <w:szCs w:val="14"/>
                <w:color w:val="auto"/>
              </w:rPr>
              <w:t>May, 2022</w:t>
            </w:r>
          </w:p>
        </w:tc>
        <w:tc>
          <w:tcPr>
            <w:tcW w:w="24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Libor + 5.0%, 1% floor</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1,985</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1,905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LPL Holdings, Inc </w:t>
            </w:r>
            <w:r>
              <w:rPr>
                <w:rFonts w:ascii="Arial" w:cs="Arial" w:eastAsia="Arial" w:hAnsi="Arial"/>
                <w:sz w:val="21"/>
                <w:szCs w:val="21"/>
                <w:color w:val="auto"/>
                <w:vertAlign w:val="superscript"/>
              </w:rPr>
              <w:t>(3)</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Finance</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November,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+ 4.00%, .75%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1,500</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1,485</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1,466</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LS Deco, LLC</w:t>
            </w:r>
          </w:p>
        </w:tc>
        <w:tc>
          <w:tcPr>
            <w:tcW w:w="1700" w:type="dxa"/>
            <w:vAlign w:val="bottom"/>
          </w:tcPr>
          <w:p>
            <w:pPr>
              <w:ind w:left="60"/>
              <w:spacing w:after="0" w:line="149" w:lineRule="exact"/>
              <w:rPr>
                <w:sz w:val="20"/>
                <w:szCs w:val="20"/>
                <w:color w:val="auto"/>
              </w:rPr>
            </w:pPr>
            <w:r>
              <w:rPr>
                <w:rFonts w:ascii="Arial" w:cs="Arial" w:eastAsia="Arial" w:hAnsi="Arial"/>
                <w:sz w:val="14"/>
                <w:szCs w:val="14"/>
                <w:color w:val="auto"/>
              </w:rPr>
              <w:t>Buildings and Real Estate</w:t>
            </w:r>
          </w:p>
        </w:tc>
        <w:tc>
          <w:tcPr>
            <w:tcW w:w="1440" w:type="dxa"/>
            <w:vAlign w:val="bottom"/>
          </w:tcPr>
          <w:p>
            <w:pPr>
              <w:ind w:left="100"/>
              <w:spacing w:after="0" w:line="149" w:lineRule="exact"/>
              <w:rPr>
                <w:sz w:val="20"/>
                <w:szCs w:val="20"/>
                <w:color w:val="auto"/>
              </w:rPr>
            </w:pPr>
            <w:r>
              <w:rPr>
                <w:rFonts w:ascii="Arial" w:cs="Arial" w:eastAsia="Arial" w:hAnsi="Arial"/>
                <w:sz w:val="14"/>
                <w:szCs w:val="14"/>
                <w:color w:val="auto"/>
              </w:rPr>
              <w:t>May, 2022</w:t>
            </w:r>
          </w:p>
        </w:tc>
        <w:tc>
          <w:tcPr>
            <w:tcW w:w="24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Libor + 4.5%, 1% floor</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1,375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1,361</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1,334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rPr>
                <w:sz w:val="11"/>
                <w:szCs w:val="11"/>
                <w:color w:val="auto"/>
              </w:rPr>
            </w:pP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Leisure, Amusement,</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LTF Merger Sub, 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Entertainment</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June,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+ 3.25%,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1,493</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1,488</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1,452</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Mitel Networks Corp</w:t>
            </w:r>
          </w:p>
        </w:tc>
        <w:tc>
          <w:tcPr>
            <w:tcW w:w="170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440" w:type="dxa"/>
            <w:vAlign w:val="bottom"/>
          </w:tcPr>
          <w:p>
            <w:pPr>
              <w:ind w:left="100"/>
              <w:spacing w:after="0" w:line="149" w:lineRule="exact"/>
              <w:rPr>
                <w:sz w:val="20"/>
                <w:szCs w:val="20"/>
                <w:color w:val="auto"/>
              </w:rPr>
            </w:pPr>
            <w:r>
              <w:rPr>
                <w:rFonts w:ascii="Arial" w:cs="Arial" w:eastAsia="Arial" w:hAnsi="Arial"/>
                <w:sz w:val="14"/>
                <w:szCs w:val="14"/>
                <w:color w:val="auto"/>
              </w:rPr>
              <w:t>April, 2022</w:t>
            </w:r>
          </w:p>
        </w:tc>
        <w:tc>
          <w:tcPr>
            <w:tcW w:w="24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Libor + 4.5%, 1% floor</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2,985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2,955</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2,951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Mohegan Tribal Gaming</w:t>
            </w: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Leisure, Amusement,</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Authority</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Entertainment</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November, 2019</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+ 4.5%,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1,929</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1,927</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1,881</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Navios Maritime Midstream</w:t>
            </w:r>
          </w:p>
        </w:tc>
        <w:tc>
          <w:tcPr>
            <w:tcW w:w="1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Partners, LP</w:t>
            </w:r>
          </w:p>
        </w:tc>
        <w:tc>
          <w:tcPr>
            <w:tcW w:w="1700" w:type="dxa"/>
            <w:vAlign w:val="bottom"/>
          </w:tcPr>
          <w:p>
            <w:pPr>
              <w:ind w:left="60"/>
              <w:spacing w:after="0"/>
              <w:rPr>
                <w:sz w:val="20"/>
                <w:szCs w:val="20"/>
                <w:color w:val="auto"/>
              </w:rPr>
            </w:pPr>
            <w:r>
              <w:rPr>
                <w:rFonts w:ascii="Arial" w:cs="Arial" w:eastAsia="Arial" w:hAnsi="Arial"/>
                <w:sz w:val="14"/>
                <w:szCs w:val="14"/>
                <w:color w:val="auto"/>
              </w:rPr>
              <w:t>Cargo Transport</w:t>
            </w:r>
          </w:p>
        </w:tc>
        <w:tc>
          <w:tcPr>
            <w:tcW w:w="1440" w:type="dxa"/>
            <w:vAlign w:val="bottom"/>
          </w:tcPr>
          <w:p>
            <w:pPr>
              <w:ind w:left="100"/>
              <w:spacing w:after="0"/>
              <w:rPr>
                <w:sz w:val="20"/>
                <w:szCs w:val="20"/>
                <w:color w:val="auto"/>
              </w:rPr>
            </w:pPr>
            <w:r>
              <w:rPr>
                <w:rFonts w:ascii="Arial" w:cs="Arial" w:eastAsia="Arial" w:hAnsi="Arial"/>
                <w:sz w:val="14"/>
                <w:szCs w:val="14"/>
                <w:color w:val="auto"/>
              </w:rPr>
              <w:t>June, 2020</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+ 4.5%,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1,990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1,970</w:t>
            </w: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1,964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rPr>
                <w:sz w:val="11"/>
                <w:szCs w:val="11"/>
                <w:color w:val="auto"/>
              </w:rPr>
            </w:pP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Mining, Steel, Iron and</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Novelis, 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Non Precious Metals</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June,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+ 3.25%, .75%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2,488</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2,475</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2,369</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Penn Products Terminals,</w:t>
            </w:r>
          </w:p>
        </w:tc>
        <w:tc>
          <w:tcPr>
            <w:tcW w:w="1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LLC</w:t>
            </w:r>
          </w:p>
        </w:tc>
        <w:tc>
          <w:tcPr>
            <w:tcW w:w="1700" w:type="dxa"/>
            <w:vAlign w:val="bottom"/>
          </w:tcPr>
          <w:p>
            <w:pPr>
              <w:ind w:left="60"/>
              <w:spacing w:after="0"/>
              <w:rPr>
                <w:sz w:val="20"/>
                <w:szCs w:val="20"/>
                <w:color w:val="auto"/>
              </w:rPr>
            </w:pPr>
            <w:r>
              <w:rPr>
                <w:rFonts w:ascii="Arial" w:cs="Arial" w:eastAsia="Arial" w:hAnsi="Arial"/>
                <w:sz w:val="14"/>
                <w:szCs w:val="14"/>
                <w:color w:val="auto"/>
              </w:rPr>
              <w:t>Cargo Transport</w:t>
            </w:r>
          </w:p>
        </w:tc>
        <w:tc>
          <w:tcPr>
            <w:tcW w:w="1440" w:type="dxa"/>
            <w:vAlign w:val="bottom"/>
          </w:tcPr>
          <w:p>
            <w:pPr>
              <w:ind w:left="100"/>
              <w:spacing w:after="0"/>
              <w:rPr>
                <w:sz w:val="20"/>
                <w:szCs w:val="20"/>
                <w:color w:val="auto"/>
              </w:rPr>
            </w:pPr>
            <w:r>
              <w:rPr>
                <w:rFonts w:ascii="Arial" w:cs="Arial" w:eastAsia="Arial" w:hAnsi="Arial"/>
                <w:sz w:val="14"/>
                <w:szCs w:val="14"/>
                <w:color w:val="auto"/>
              </w:rPr>
              <w:t>April, 2022</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+ 3.75%,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744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696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Pharmaceutical Product</w:t>
            </w: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Healthcare, Education and</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Development 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Childcare</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August,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+ 3.25%,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1,990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1,980</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1,930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Securus Technologies, Inc.</w:t>
            </w:r>
          </w:p>
        </w:tc>
        <w:tc>
          <w:tcPr>
            <w:tcW w:w="170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440" w:type="dxa"/>
            <w:vAlign w:val="bottom"/>
          </w:tcPr>
          <w:p>
            <w:pPr>
              <w:ind w:left="100"/>
              <w:spacing w:after="0" w:line="149" w:lineRule="exact"/>
              <w:rPr>
                <w:sz w:val="20"/>
                <w:szCs w:val="20"/>
                <w:color w:val="auto"/>
              </w:rPr>
            </w:pPr>
            <w:r>
              <w:rPr>
                <w:rFonts w:ascii="Arial" w:cs="Arial" w:eastAsia="Arial" w:hAnsi="Arial"/>
                <w:sz w:val="14"/>
                <w:szCs w:val="14"/>
                <w:color w:val="auto"/>
              </w:rPr>
              <w:t>April, 2020</w:t>
            </w:r>
          </w:p>
        </w:tc>
        <w:tc>
          <w:tcPr>
            <w:tcW w:w="24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Libor + 4.25%, 1% floor</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1,980</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Skillsoft Corporation</w:t>
            </w:r>
          </w:p>
        </w:tc>
        <w:tc>
          <w:tcPr>
            <w:tcW w:w="17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w:t>
            </w:r>
          </w:p>
        </w:tc>
        <w:tc>
          <w:tcPr>
            <w:tcW w:w="14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April, 2021</w:t>
            </w:r>
          </w:p>
        </w:tc>
        <w:tc>
          <w:tcPr>
            <w:tcW w:w="24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Libor + 4.75%, 1% floor</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1,970</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1,672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Sterigenics-Nordion</w:t>
            </w:r>
          </w:p>
        </w:tc>
        <w:tc>
          <w:tcPr>
            <w:tcW w:w="1700" w:type="dxa"/>
            <w:vAlign w:val="bottom"/>
          </w:tcPr>
          <w:p>
            <w:pPr>
              <w:ind w:left="60"/>
              <w:spacing w:after="0" w:line="130" w:lineRule="exact"/>
              <w:rPr>
                <w:sz w:val="20"/>
                <w:szCs w:val="20"/>
                <w:color w:val="auto"/>
              </w:rPr>
            </w:pPr>
            <w:r>
              <w:rPr>
                <w:rFonts w:ascii="Arial" w:cs="Arial" w:eastAsia="Arial" w:hAnsi="Arial"/>
                <w:sz w:val="14"/>
                <w:szCs w:val="14"/>
                <w:color w:val="auto"/>
                <w:w w:val="98"/>
              </w:rPr>
              <w:t>Healthcare, Education and</w:t>
            </w: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Holdings, LLC</w:t>
            </w:r>
          </w:p>
        </w:tc>
        <w:tc>
          <w:tcPr>
            <w:tcW w:w="1700" w:type="dxa"/>
            <w:vAlign w:val="bottom"/>
          </w:tcPr>
          <w:p>
            <w:pPr>
              <w:ind w:left="60"/>
              <w:spacing w:after="0"/>
              <w:rPr>
                <w:sz w:val="20"/>
                <w:szCs w:val="20"/>
                <w:color w:val="auto"/>
              </w:rPr>
            </w:pPr>
            <w:r>
              <w:rPr>
                <w:rFonts w:ascii="Arial" w:cs="Arial" w:eastAsia="Arial" w:hAnsi="Arial"/>
                <w:sz w:val="14"/>
                <w:szCs w:val="14"/>
                <w:color w:val="auto"/>
              </w:rPr>
              <w:t>Childcare</w:t>
            </w:r>
          </w:p>
        </w:tc>
        <w:tc>
          <w:tcPr>
            <w:tcW w:w="1440" w:type="dxa"/>
            <w:vAlign w:val="bottom"/>
          </w:tcPr>
          <w:p>
            <w:pPr>
              <w:ind w:left="100"/>
              <w:spacing w:after="0"/>
              <w:rPr>
                <w:sz w:val="20"/>
                <w:szCs w:val="20"/>
                <w:color w:val="auto"/>
              </w:rPr>
            </w:pPr>
            <w:r>
              <w:rPr>
                <w:rFonts w:ascii="Arial" w:cs="Arial" w:eastAsia="Arial" w:hAnsi="Arial"/>
                <w:sz w:val="14"/>
                <w:szCs w:val="14"/>
                <w:color w:val="auto"/>
              </w:rPr>
              <w:t>May, 2022</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+ 3.25%,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1,995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1,990</w:t>
            </w: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1,935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STG-Fairway Acquisitions,</w:t>
            </w: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Diversified/Conglomerate</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June,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+ 5.25%,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2,486</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2,449</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2,430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1780" w:type="dxa"/>
            <w:vAlign w:val="bottom"/>
          </w:tcPr>
          <w:p>
            <w:pPr>
              <w:spacing w:after="0"/>
              <w:rPr>
                <w:sz w:val="11"/>
                <w:szCs w:val="11"/>
                <w:color w:val="auto"/>
              </w:rPr>
            </w:pPr>
          </w:p>
        </w:tc>
        <w:tc>
          <w:tcPr>
            <w:tcW w:w="1700" w:type="dxa"/>
            <w:vAlign w:val="bottom"/>
          </w:tcPr>
          <w:p>
            <w:pPr>
              <w:ind w:left="60"/>
              <w:spacing w:after="0" w:line="130" w:lineRule="exact"/>
              <w:rPr>
                <w:sz w:val="20"/>
                <w:szCs w:val="20"/>
                <w:color w:val="auto"/>
              </w:rPr>
            </w:pPr>
            <w:r>
              <w:rPr>
                <w:rFonts w:ascii="Arial" w:cs="Arial" w:eastAsia="Arial" w:hAnsi="Arial"/>
                <w:sz w:val="14"/>
                <w:szCs w:val="14"/>
                <w:color w:val="auto"/>
                <w:w w:val="96"/>
              </w:rPr>
              <w:t>Containers, Packaging and</w:t>
            </w: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Tekni-Plex Incorporated</w:t>
            </w:r>
          </w:p>
        </w:tc>
        <w:tc>
          <w:tcPr>
            <w:tcW w:w="1700" w:type="dxa"/>
            <w:vAlign w:val="bottom"/>
          </w:tcPr>
          <w:p>
            <w:pPr>
              <w:ind w:left="60"/>
              <w:spacing w:after="0"/>
              <w:rPr>
                <w:sz w:val="20"/>
                <w:szCs w:val="20"/>
                <w:color w:val="auto"/>
              </w:rPr>
            </w:pPr>
            <w:r>
              <w:rPr>
                <w:rFonts w:ascii="Arial" w:cs="Arial" w:eastAsia="Arial" w:hAnsi="Arial"/>
                <w:sz w:val="14"/>
                <w:szCs w:val="14"/>
                <w:color w:val="auto"/>
              </w:rPr>
              <w:t>Glass</w:t>
            </w:r>
          </w:p>
        </w:tc>
        <w:tc>
          <w:tcPr>
            <w:tcW w:w="1440" w:type="dxa"/>
            <w:vAlign w:val="bottom"/>
          </w:tcPr>
          <w:p>
            <w:pPr>
              <w:ind w:left="100"/>
              <w:spacing w:after="0"/>
              <w:rPr>
                <w:sz w:val="20"/>
                <w:szCs w:val="20"/>
                <w:color w:val="auto"/>
              </w:rPr>
            </w:pPr>
            <w:r>
              <w:rPr>
                <w:rFonts w:ascii="Arial" w:cs="Arial" w:eastAsia="Arial" w:hAnsi="Arial"/>
                <w:sz w:val="14"/>
                <w:szCs w:val="14"/>
                <w:color w:val="auto"/>
              </w:rPr>
              <w:t>June, 2022</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+ 3.5%,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2,487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2,475</w:t>
            </w: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2,475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Touchtunes Music Corp</w:t>
            </w:r>
          </w:p>
        </w:tc>
        <w:tc>
          <w:tcPr>
            <w:tcW w:w="17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w:t>
            </w:r>
          </w:p>
        </w:tc>
        <w:tc>
          <w:tcPr>
            <w:tcW w:w="14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May, 2022</w:t>
            </w:r>
          </w:p>
        </w:tc>
        <w:tc>
          <w:tcPr>
            <w:tcW w:w="24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Libor + 4.75%, 1% floor</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1,493</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1,485</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1,448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0"/>
        </w:trPr>
        <w:tc>
          <w:tcPr>
            <w:tcW w:w="1780" w:type="dxa"/>
            <w:vAlign w:val="bottom"/>
          </w:tcPr>
          <w:p>
            <w:pPr>
              <w:spacing w:after="0"/>
              <w:rPr>
                <w:sz w:val="11"/>
                <w:szCs w:val="11"/>
                <w:color w:val="auto"/>
              </w:rPr>
            </w:pPr>
          </w:p>
        </w:tc>
        <w:tc>
          <w:tcPr>
            <w:tcW w:w="1700" w:type="dxa"/>
            <w:vAlign w:val="bottom"/>
          </w:tcPr>
          <w:p>
            <w:pPr>
              <w:ind w:left="60"/>
              <w:spacing w:after="0" w:line="130" w:lineRule="exact"/>
              <w:rPr>
                <w:sz w:val="20"/>
                <w:szCs w:val="20"/>
                <w:color w:val="auto"/>
              </w:rPr>
            </w:pPr>
            <w:r>
              <w:rPr>
                <w:rFonts w:ascii="Arial" w:cs="Arial" w:eastAsia="Arial" w:hAnsi="Arial"/>
                <w:sz w:val="14"/>
                <w:szCs w:val="14"/>
                <w:color w:val="auto"/>
              </w:rPr>
              <w:t>Broadcasting &amp;</w:t>
            </w: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TWCC Holding Corp</w:t>
            </w:r>
          </w:p>
        </w:tc>
        <w:tc>
          <w:tcPr>
            <w:tcW w:w="1700" w:type="dxa"/>
            <w:vAlign w:val="bottom"/>
          </w:tcPr>
          <w:p>
            <w:pPr>
              <w:ind w:left="60"/>
              <w:spacing w:after="0"/>
              <w:rPr>
                <w:sz w:val="20"/>
                <w:szCs w:val="20"/>
                <w:color w:val="auto"/>
              </w:rPr>
            </w:pPr>
            <w:r>
              <w:rPr>
                <w:rFonts w:ascii="Arial" w:cs="Arial" w:eastAsia="Arial" w:hAnsi="Arial"/>
                <w:sz w:val="14"/>
                <w:szCs w:val="14"/>
                <w:color w:val="auto"/>
              </w:rPr>
              <w:t>Entertainment</w:t>
            </w:r>
          </w:p>
        </w:tc>
        <w:tc>
          <w:tcPr>
            <w:tcW w:w="1440" w:type="dxa"/>
            <w:vAlign w:val="bottom"/>
          </w:tcPr>
          <w:p>
            <w:pPr>
              <w:ind w:left="100"/>
              <w:spacing w:after="0"/>
              <w:rPr>
                <w:sz w:val="20"/>
                <w:szCs w:val="20"/>
                <w:color w:val="auto"/>
              </w:rPr>
            </w:pPr>
            <w:r>
              <w:rPr>
                <w:rFonts w:ascii="Arial" w:cs="Arial" w:eastAsia="Arial" w:hAnsi="Arial"/>
                <w:sz w:val="14"/>
                <w:szCs w:val="14"/>
                <w:color w:val="auto"/>
              </w:rPr>
              <w:t>February, 2020</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+ 5.0%, .75%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1,985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1,965</w:t>
            </w: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1,983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US Renal Care, Inc</w:t>
            </w:r>
            <w:r>
              <w:rPr>
                <w:rFonts w:ascii="Arial" w:cs="Arial" w:eastAsia="Arial" w:hAnsi="Arial"/>
                <w:sz w:val="23"/>
                <w:szCs w:val="23"/>
                <w:color w:val="auto"/>
                <w:vertAlign w:val="superscript"/>
              </w:rPr>
              <w:t>(3)</w:t>
            </w: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Healthcare, Education and</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vMerge w:val="continue"/>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Childcare</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November,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+ 4.25%,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1,980</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rPr>
                <w:sz w:val="11"/>
                <w:szCs w:val="11"/>
                <w:color w:val="auto"/>
              </w:rPr>
            </w:pPr>
          </w:p>
        </w:tc>
        <w:tc>
          <w:tcPr>
            <w:tcW w:w="1700" w:type="dxa"/>
            <w:vAlign w:val="bottom"/>
          </w:tcPr>
          <w:p>
            <w:pPr>
              <w:ind w:left="60"/>
              <w:spacing w:after="0" w:line="130" w:lineRule="exact"/>
              <w:rPr>
                <w:sz w:val="20"/>
                <w:szCs w:val="20"/>
                <w:color w:val="auto"/>
              </w:rPr>
            </w:pPr>
            <w:r>
              <w:rPr>
                <w:rFonts w:ascii="Arial" w:cs="Arial" w:eastAsia="Arial" w:hAnsi="Arial"/>
                <w:sz w:val="14"/>
                <w:szCs w:val="14"/>
                <w:color w:val="auto"/>
              </w:rPr>
              <w:t>Diversified/Conglomerate</w:t>
            </w:r>
          </w:p>
        </w:tc>
        <w:tc>
          <w:tcPr>
            <w:tcW w:w="1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20"/>
                <w:szCs w:val="20"/>
                <w:color w:val="auto"/>
              </w:rPr>
            </w:pPr>
            <w:r>
              <w:rPr>
                <w:rFonts w:ascii="Arial" w:cs="Arial" w:eastAsia="Arial" w:hAnsi="Arial"/>
                <w:sz w:val="14"/>
                <w:szCs w:val="14"/>
                <w:color w:val="auto"/>
              </w:rPr>
              <w:t>USAGM Holdco LLC</w:t>
            </w:r>
          </w:p>
        </w:tc>
        <w:tc>
          <w:tcPr>
            <w:tcW w:w="1700" w:type="dxa"/>
            <w:vAlign w:val="bottom"/>
          </w:tcPr>
          <w:p>
            <w:pPr>
              <w:ind w:left="60"/>
              <w:spacing w:after="0"/>
              <w:rPr>
                <w:sz w:val="20"/>
                <w:szCs w:val="20"/>
                <w:color w:val="auto"/>
              </w:rPr>
            </w:pPr>
            <w:r>
              <w:rPr>
                <w:rFonts w:ascii="Arial" w:cs="Arial" w:eastAsia="Arial" w:hAnsi="Arial"/>
                <w:sz w:val="14"/>
                <w:szCs w:val="14"/>
                <w:color w:val="auto"/>
              </w:rPr>
              <w:t>Service</w:t>
            </w:r>
          </w:p>
        </w:tc>
        <w:tc>
          <w:tcPr>
            <w:tcW w:w="1440" w:type="dxa"/>
            <w:vAlign w:val="bottom"/>
          </w:tcPr>
          <w:p>
            <w:pPr>
              <w:ind w:left="100"/>
              <w:spacing w:after="0"/>
              <w:rPr>
                <w:sz w:val="20"/>
                <w:szCs w:val="20"/>
                <w:color w:val="auto"/>
              </w:rPr>
            </w:pPr>
            <w:r>
              <w:rPr>
                <w:rFonts w:ascii="Arial" w:cs="Arial" w:eastAsia="Arial" w:hAnsi="Arial"/>
                <w:sz w:val="14"/>
                <w:szCs w:val="14"/>
                <w:color w:val="auto"/>
              </w:rPr>
              <w:t>July, 2022</w:t>
            </w:r>
          </w:p>
        </w:tc>
        <w:tc>
          <w:tcPr>
            <w:tcW w:w="2400" w:type="dxa"/>
            <w:vAlign w:val="bottom"/>
            <w:gridSpan w:val="2"/>
          </w:tcPr>
          <w:p>
            <w:pPr>
              <w:ind w:left="380"/>
              <w:spacing w:after="0"/>
              <w:rPr>
                <w:sz w:val="20"/>
                <w:szCs w:val="20"/>
                <w:color w:val="auto"/>
              </w:rPr>
            </w:pPr>
            <w:r>
              <w:rPr>
                <w:rFonts w:ascii="Arial" w:cs="Arial" w:eastAsia="Arial" w:hAnsi="Arial"/>
                <w:sz w:val="14"/>
                <w:szCs w:val="14"/>
                <w:color w:val="auto"/>
              </w:rPr>
              <w:t>Libor + 3.75%, 1% floor</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1,980</w:t>
            </w: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1,903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rPr>
                <w:sz w:val="11"/>
                <w:szCs w:val="11"/>
                <w:color w:val="auto"/>
              </w:rPr>
            </w:pPr>
          </w:p>
        </w:tc>
        <w:tc>
          <w:tcPr>
            <w:tcW w:w="17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Non Durable Consumer</w:t>
            </w:r>
          </w:p>
        </w:tc>
        <w:tc>
          <w:tcPr>
            <w:tcW w:w="1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Zep, Inc.</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Products</w:t>
            </w:r>
          </w:p>
        </w:tc>
        <w:tc>
          <w:tcPr>
            <w:tcW w:w="1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June, 2022</w:t>
            </w:r>
          </w:p>
        </w:tc>
        <w:tc>
          <w:tcPr>
            <w:tcW w:w="2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Libor + 4.75%, 1% floor</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995</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989</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81,201</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80,268</w:t>
            </w:r>
          </w:p>
        </w:tc>
        <w:tc>
          <w:tcPr>
            <w:tcW w:w="2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77,334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(2,934</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3"/>
        </w:trPr>
        <w:tc>
          <w:tcPr>
            <w:tcW w:w="17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20" w:type="dxa"/>
            <w:vAlign w:val="bottom"/>
            <w:gridSpan w:val="6"/>
            <w:shd w:val="clear" w:color="auto" w:fill="CCEEFF"/>
          </w:tcPr>
          <w:p>
            <w:pPr>
              <w:jc w:val="right"/>
              <w:spacing w:after="0" w:line="143" w:lineRule="exact"/>
              <w:rPr>
                <w:sz w:val="20"/>
                <w:szCs w:val="20"/>
                <w:color w:val="auto"/>
              </w:rPr>
            </w:pPr>
            <w:r>
              <w:rPr>
                <w:rFonts w:ascii="Arial" w:cs="Arial" w:eastAsia="Arial" w:hAnsi="Arial"/>
                <w:sz w:val="14"/>
                <w:szCs w:val="14"/>
                <w:color w:val="auto"/>
                <w:w w:val="91"/>
              </w:rPr>
              <w:t>Total accrued interest, net of expenses</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106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7"/>
          </w:tcPr>
          <w:p>
            <w:pPr>
              <w:jc w:val="right"/>
              <w:ind w:right="200"/>
              <w:spacing w:after="0" w:line="155" w:lineRule="exact"/>
              <w:rPr>
                <w:sz w:val="20"/>
                <w:szCs w:val="20"/>
                <w:color w:val="auto"/>
              </w:rPr>
            </w:pPr>
            <w:r>
              <w:rPr>
                <w:rFonts w:ascii="Arial" w:cs="Arial" w:eastAsia="Arial" w:hAnsi="Arial"/>
                <w:sz w:val="14"/>
                <w:szCs w:val="14"/>
                <w:color w:val="auto"/>
                <w:w w:val="95"/>
              </w:rPr>
              <w:t>Total unrealized depreciation on TRS</w:t>
            </w:r>
          </w:p>
        </w:tc>
        <w:tc>
          <w:tcPr>
            <w:tcW w:w="20" w:type="dxa"/>
            <w:vAlign w:val="bottom"/>
          </w:tcPr>
          <w:p>
            <w:pPr>
              <w:spacing w:after="0"/>
              <w:rPr>
                <w:sz w:val="13"/>
                <w:szCs w:val="13"/>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(2,828</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40" w:hanging="332"/>
        <w:spacing w:after="0" w:line="25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fair value determined in accordance with ASC Topic 820. The determination of fair value is outside the scope of the Board's valuation process described herein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interest is payable in cash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referenced asset is unsettled as of December 31,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referenced assets are senior secured loans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referenced asset has an unfunded commitment of $0.3 million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9" w:name="page30"/>
    <w:bookmarkEnd w:id="29"/>
    <w:p>
      <w:pPr>
        <w:ind w:left="880"/>
        <w:spacing w:after="0"/>
        <w:rPr>
          <w:sz w:val="20"/>
          <w:szCs w:val="20"/>
          <w:color w:val="auto"/>
        </w:rPr>
      </w:pPr>
      <w:r>
        <w:rPr>
          <w:rFonts w:ascii="Arial" w:cs="Arial" w:eastAsia="Arial" w:hAnsi="Arial"/>
          <w:sz w:val="16"/>
          <w:szCs w:val="16"/>
          <w:color w:val="auto"/>
        </w:rPr>
        <w:t>Below is certain summarized financial information for CSLLF as of March 31, 2016 and December 31, 2015 and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March 31, 2015 (dollars in thousands):</w:t>
      </w:r>
    </w:p>
    <w:p>
      <w:pPr>
        <w:sectPr>
          <w:pgSz w:w="11900" w:h="16838" w:orient="portrait"/>
          <w:cols w:equalWidth="0" w:num="1">
            <w:col w:w="11420"/>
          </w:cols>
          <w:pgMar w:left="240" w:top="908"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Selected Statements of Assets and Liabilities Information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held as collateral on Total Return Swap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Non-collateral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Receivable due on Total Return Swap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As of</w:t>
            </w:r>
          </w:p>
        </w:tc>
      </w:tr>
      <w:tr>
        <w:trPr>
          <w:trHeight w:val="230"/>
        </w:trPr>
        <w:tc>
          <w:tcPr>
            <w:tcW w:w="300" w:type="dxa"/>
            <w:vAlign w:val="bottom"/>
          </w:tcPr>
          <w:p>
            <w:pPr>
              <w:spacing w:after="0"/>
              <w:rPr>
                <w:sz w:val="19"/>
                <w:szCs w:val="19"/>
                <w:color w:val="auto"/>
              </w:rPr>
            </w:pPr>
          </w:p>
        </w:tc>
        <w:tc>
          <w:tcPr>
            <w:tcW w:w="17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2015</w:t>
            </w:r>
          </w:p>
        </w:tc>
      </w:tr>
      <w:tr>
        <w:trPr>
          <w:trHeight w:val="411"/>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20,484</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19,145</w:t>
            </w:r>
          </w:p>
        </w:tc>
      </w:tr>
      <w:tr>
        <w:trPr>
          <w:trHeight w:val="230"/>
        </w:trPr>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4,328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5,586</w:t>
            </w:r>
          </w:p>
        </w:tc>
      </w:tr>
      <w:tr>
        <w:trPr>
          <w:trHeight w:val="230"/>
        </w:trPr>
        <w:tc>
          <w:tcPr>
            <w:tcW w:w="30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23"/>
        </w:trPr>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25,221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980"/>
          </w:cols>
          <w:pgMar w:left="240" w:top="90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Unrealized depreciation on Total Return Swap</w:t>
            </w:r>
          </w:p>
        </w:tc>
        <w:tc>
          <w:tcPr>
            <w:tcW w:w="21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2,071</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19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ASSETS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Paid in capital</w:t>
            </w:r>
          </w:p>
        </w:tc>
        <w:tc>
          <w:tcPr>
            <w:tcW w:w="21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Undistributed realized income from operations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on Total Return Swap</w:t>
            </w: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assets</w:t>
            </w:r>
          </w:p>
        </w:tc>
        <w:tc>
          <w:tcPr>
            <w:tcW w:w="19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21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25,221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Selected Statement of Operations Information (unaudited):</w:t>
            </w: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8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March 31, 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March 31, 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color w:val="auto"/>
              </w:rPr>
              <w:t>Administrative and legal Expenses</w:t>
            </w:r>
          </w:p>
        </w:tc>
        <w:tc>
          <w:tcPr>
            <w:tcW w:w="21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operating loss</w:t>
            </w:r>
          </w:p>
        </w:tc>
        <w:tc>
          <w:tcPr>
            <w:tcW w:w="1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Total Return Swap</w:t>
            </w:r>
          </w:p>
        </w:tc>
        <w:tc>
          <w:tcPr>
            <w:tcW w:w="21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unrealized appreciation on Total Return Swap</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INCREASE IN NET ASSETS RESULTING FROM OPERATIONS</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960" w:type="dxa"/>
            <w:vAlign w:val="bottom"/>
            <w:vMerge w:val="restart"/>
          </w:tcPr>
          <w:p>
            <w:pPr>
              <w:jc w:val="right"/>
              <w:ind w:right="153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Notes</w:t>
            </w: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113,438</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112,349</w:t>
            </w: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112,349</w:t>
            </w:r>
          </w:p>
        </w:tc>
        <w:tc>
          <w:tcPr>
            <w:tcW w:w="260" w:type="dxa"/>
            <w:vAlign w:val="bottom"/>
          </w:tcPr>
          <w:p>
            <w:pPr>
              <w:spacing w:after="0"/>
              <w:rPr>
                <w:sz w:val="18"/>
                <w:szCs w:val="18"/>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73,000</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72,935</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72,935</w:t>
            </w:r>
          </w:p>
        </w:tc>
        <w:tc>
          <w:tcPr>
            <w:tcW w:w="80" w:type="dxa"/>
            <w:vAlign w:val="bottom"/>
            <w:shd w:val="clear" w:color="auto" w:fill="CCEEFF"/>
          </w:tcPr>
          <w:p>
            <w:pPr>
              <w:spacing w:after="0"/>
              <w:rPr>
                <w:sz w:val="19"/>
                <w:szCs w:val="19"/>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368,638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369,628</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112,349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184,951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Notes</w:t>
            </w: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113,438</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113,211</w:t>
            </w: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113,211</w:t>
            </w:r>
          </w:p>
        </w:tc>
        <w:tc>
          <w:tcPr>
            <w:tcW w:w="260" w:type="dxa"/>
            <w:vAlign w:val="bottom"/>
          </w:tcPr>
          <w:p>
            <w:pPr>
              <w:spacing w:after="0"/>
              <w:rPr>
                <w:sz w:val="18"/>
                <w:szCs w:val="18"/>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69,932</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69,932</w:t>
            </w:r>
          </w:p>
        </w:tc>
        <w:tc>
          <w:tcPr>
            <w:tcW w:w="80" w:type="dxa"/>
            <w:vAlign w:val="bottom"/>
            <w:shd w:val="clear" w:color="auto" w:fill="CCEEFF"/>
          </w:tcPr>
          <w:p>
            <w:pPr>
              <w:spacing w:after="0"/>
              <w:rPr>
                <w:sz w:val="19"/>
                <w:szCs w:val="19"/>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367,638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368,094</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113,211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ind w:right="200" w:firstLine="881"/>
        <w:spacing w:after="0" w:line="264"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estimated fair value of the Notes was based on the closing price as of the measurement date as the Notes are traded on the New York Stock Exchange under the ticker “CLA.”</w:t>
      </w:r>
    </w:p>
    <w:p>
      <w:pPr>
        <w:spacing w:after="0" w:line="181" w:lineRule="exact"/>
        <w:rPr>
          <w:sz w:val="20"/>
          <w:szCs w:val="20"/>
          <w:color w:val="auto"/>
        </w:rPr>
      </w:pPr>
    </w:p>
    <w:p>
      <w:pPr>
        <w:ind w:right="60" w:firstLine="923"/>
        <w:spacing w:after="0" w:line="277" w:lineRule="auto"/>
        <w:rPr>
          <w:sz w:val="20"/>
          <w:szCs w:val="20"/>
          <w:color w:val="auto"/>
        </w:rPr>
      </w:pPr>
      <w:r>
        <w:rPr>
          <w:rFonts w:ascii="Arial" w:cs="Arial" w:eastAsia="Arial" w:hAnsi="Arial"/>
          <w:sz w:val="18"/>
          <w:szCs w:val="18"/>
          <w:color w:val="auto"/>
        </w:rPr>
        <w:t>The estimated fair value of the Company’s Credit Facility was based on future contractual cash payments discounted at estimated market interest rates for similar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by a majority of our outstanding voting securities, including, in either case, by a majority of our non-interested directors. The Investment Advisory Agreement was re-approved by the Board, including by a majority of our non-interested directors at an in-person meeting, on August 6, 2015.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89" w:lineRule="exact"/>
        <w:rPr>
          <w:sz w:val="20"/>
          <w:szCs w:val="20"/>
          <w:color w:val="auto"/>
        </w:rPr>
      </w:pPr>
    </w:p>
    <w:p>
      <w:pPr>
        <w:ind w:left="380" w:hanging="183"/>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determines the composition of our portfolio, the nature and timing of the changes to our portfolio and the manner of implementing such changes;</w:t>
      </w:r>
    </w:p>
    <w:p>
      <w:pPr>
        <w:spacing w:after="0" w:line="236" w:lineRule="exact"/>
        <w:rPr>
          <w:rFonts w:ascii="Arial" w:cs="Arial" w:eastAsia="Arial" w:hAnsi="Arial"/>
          <w:sz w:val="17"/>
          <w:szCs w:val="17"/>
          <w:color w:val="auto"/>
        </w:rPr>
      </w:pPr>
    </w:p>
    <w:p>
      <w:pPr>
        <w:ind w:left="380" w:right="820" w:hanging="183"/>
        <w:spacing w:after="0" w:line="27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ind w:right="260" w:firstLine="881"/>
        <w:spacing w:after="0" w:line="276"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ind w:right="500" w:firstLine="881"/>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ind w:right="120" w:firstLine="881"/>
        <w:spacing w:after="0" w:line="289" w:lineRule="auto"/>
        <w:rPr>
          <w:sz w:val="20"/>
          <w:szCs w:val="20"/>
          <w:color w:val="auto"/>
        </w:rPr>
      </w:pPr>
      <w:r>
        <w:rPr>
          <w:rFonts w:ascii="Arial" w:cs="Arial" w:eastAsia="Arial" w:hAnsi="Arial"/>
          <w:sz w:val="16"/>
          <w:szCs w:val="16"/>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was initially calculated based on the value of the gross assets at the end of the first calendar quarter subsequent to the IPO, and thereafter based on the average value of the gross assets at the end of the two most recently completed calendar quarters, and appropriately adjusted for any share issuances or repurchases during the current calendar quarter. For the first twelve months following the IPO, the Investment Advisor waived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the Company has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169" w:lineRule="exact"/>
        <w:rPr>
          <w:sz w:val="20"/>
          <w:szCs w:val="20"/>
          <w:color w:val="auto"/>
        </w:rPr>
      </w:pPr>
    </w:p>
    <w:p>
      <w:pPr>
        <w:ind w:left="380" w:hanging="18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auto"/>
        </w:rPr>
      </w:pPr>
    </w:p>
    <w:p>
      <w:pPr>
        <w:jc w:val="both"/>
        <w:ind w:left="380" w:hanging="183"/>
        <w:spacing w:after="0" w:line="302"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54" w:lineRule="exact"/>
        <w:rPr>
          <w:rFonts w:ascii="Arial" w:cs="Arial" w:eastAsia="Arial" w:hAnsi="Arial"/>
          <w:sz w:val="16"/>
          <w:szCs w:val="16"/>
          <w:color w:val="auto"/>
        </w:rPr>
      </w:pPr>
    </w:p>
    <w:p>
      <w:pPr>
        <w:jc w:val="both"/>
        <w:ind w:left="380" w:hanging="183"/>
        <w:spacing w:after="0" w:line="26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color w:val="auto"/>
        </w:rPr>
        <w:t>As announced on January 4, 2016, 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This waiver was effective for the fourth quarter of 2015 and will continue for 2016, unless otherwise publicly disclosed by the Company.</w:t>
      </w:r>
    </w:p>
    <w:p>
      <w:pPr>
        <w:spacing w:after="0" w:line="193"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ind w:right="140" w:firstLine="881"/>
        <w:spacing w:after="0" w:line="297" w:lineRule="auto"/>
        <w:rPr>
          <w:sz w:val="20"/>
          <w:szCs w:val="20"/>
          <w:color w:val="auto"/>
        </w:rPr>
      </w:pPr>
      <w:r>
        <w:rPr>
          <w:rFonts w:ascii="Arial" w:cs="Arial" w:eastAsia="Arial" w:hAnsi="Arial"/>
          <w:sz w:val="16"/>
          <w:szCs w:val="16"/>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right="240" w:firstLine="881"/>
        <w:spacing w:after="0" w:line="259" w:lineRule="auto"/>
        <w:rPr>
          <w:sz w:val="20"/>
          <w:szCs w:val="20"/>
          <w:color w:val="auto"/>
        </w:rPr>
      </w:pPr>
      <w:r>
        <w:rPr>
          <w:rFonts w:ascii="Arial" w:cs="Arial" w:eastAsia="Arial" w:hAnsi="Arial"/>
          <w:sz w:val="18"/>
          <w:szCs w:val="18"/>
          <w:color w:val="auto"/>
        </w:rPr>
        <w:t>For the three months ended March 31, 2016 and 2015, the Company incurred $2.7 million and $2.4 million in base management fees, respectively. The Company incurred $1.7 million and $1.2 million in incentive fees related to pre-incentive fee net investment income for the three months ended March 31, 2016 and 2015, respectively. For the three months ended March 31, 2016 and 2015, the Investment Advisor waived incentive fees of $0.6 million and $0.0 million, respectively.</w:t>
      </w:r>
    </w:p>
    <w:p>
      <w:pPr>
        <w:spacing w:after="0" w:line="187"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On September 24, 2013, the Company entered into an administration agreement (the “Administration Agreement”) with Capitala Advisors Corp., the Administrator, pursuant to which the Administrator has agreed to furnish the Company with office facilities, equipment,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89" w:lineRule="exact"/>
        <w:rPr>
          <w:sz w:val="20"/>
          <w:szCs w:val="20"/>
          <w:color w:val="auto"/>
        </w:rPr>
      </w:pPr>
    </w:p>
    <w:p>
      <w:pPr>
        <w:ind w:firstLine="881"/>
        <w:spacing w:after="0" w:line="290" w:lineRule="auto"/>
        <w:rPr>
          <w:sz w:val="20"/>
          <w:szCs w:val="20"/>
          <w:color w:val="auto"/>
        </w:rPr>
      </w:pPr>
      <w:r>
        <w:rPr>
          <w:rFonts w:ascii="Arial" w:cs="Arial" w:eastAsia="Arial" w:hAnsi="Arial"/>
          <w:sz w:val="16"/>
          <w:szCs w:val="16"/>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chief compliance officer and the allocable portion of the compensation of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Company’s Board. On August 6, 2015, the Board approved the renewal of the Administration Agreement.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66"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For the three months ended March 31, 2016 and 2015, the Company paid the Administrator $0.3 million and $0.3 million, respectively, for our allocable portion of the Administrator’s overhead.</w:t>
      </w:r>
    </w:p>
    <w:p>
      <w:pPr>
        <w:spacing w:after="0" w:line="170" w:lineRule="exact"/>
        <w:rPr>
          <w:sz w:val="20"/>
          <w:szCs w:val="20"/>
          <w:color w:val="auto"/>
        </w:rPr>
      </w:pPr>
    </w:p>
    <w:p>
      <w:pPr>
        <w:ind w:right="120" w:firstLine="881"/>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ind w:right="420" w:firstLine="881"/>
        <w:spacing w:after="0" w:line="277" w:lineRule="auto"/>
        <w:rPr>
          <w:sz w:val="20"/>
          <w:szCs w:val="20"/>
          <w:color w:val="auto"/>
        </w:rPr>
      </w:pPr>
      <w:r>
        <w:rPr>
          <w:rFonts w:ascii="Arial" w:cs="Arial" w:eastAsia="Arial" w:hAnsi="Arial"/>
          <w:sz w:val="18"/>
          <w:szCs w:val="18"/>
          <w:color w:val="auto"/>
        </w:rPr>
        <w:t>At March 31, 2016 and December 31, 2015, the Company had the following receivables from (payables to) related parties relating to certain capital contributions, management fees, incentive fees, and reimbursable expenses (dollars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March 31, 2016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December 31, 2015</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South Corporation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Capitala Investment Advisors, LLC</w:t>
            </w:r>
          </w:p>
        </w:tc>
        <w:tc>
          <w:tcPr>
            <w:tcW w:w="14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(2,368)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(1,689)</w:t>
            </w:r>
          </w:p>
        </w:tc>
      </w:tr>
      <w:tr>
        <w:trPr>
          <w:trHeight w:val="223"/>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These amounts are reflected in the accompanying statements of financial position under the captions, “Due from related parties”, “Management and incentive fee payable” and “Due to related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ind w:right="100" w:firstLine="881"/>
        <w:spacing w:after="0" w:line="271" w:lineRule="auto"/>
        <w:rPr>
          <w:sz w:val="20"/>
          <w:szCs w:val="20"/>
          <w:color w:val="auto"/>
        </w:rPr>
      </w:pPr>
      <w:r>
        <w:rPr>
          <w:rFonts w:ascii="Arial" w:cs="Arial" w:eastAsia="Arial" w:hAnsi="Arial"/>
          <w:sz w:val="17"/>
          <w:szCs w:val="17"/>
          <w:color w:val="auto"/>
        </w:rPr>
        <w:t>The Company, through its two wholly-owned subsidiaries, uses debenture leverage provided through the SBA to fund a portion of its investment portfolio. As of March 31, 2016, the Company has $182.2 million of SBA-guaranteed debentures outstanding.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March 31, 2016, Fund II and Fund III had total assets of approximately $367.2 million.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79" w:lineRule="exact"/>
        <w:rPr>
          <w:sz w:val="20"/>
          <w:szCs w:val="20"/>
          <w:color w:val="auto"/>
        </w:rPr>
      </w:pPr>
    </w:p>
    <w:p>
      <w:pPr>
        <w:ind w:right="120" w:firstLine="881"/>
        <w:spacing w:after="0" w:line="255" w:lineRule="auto"/>
        <w:rPr>
          <w:sz w:val="20"/>
          <w:szCs w:val="20"/>
          <w:color w:val="auto"/>
        </w:rPr>
      </w:pPr>
      <w:r>
        <w:rPr>
          <w:rFonts w:ascii="Arial" w:cs="Arial" w:eastAsia="Arial" w:hAnsi="Arial"/>
          <w:sz w:val="18"/>
          <w:szCs w:val="18"/>
          <w:color w:val="auto"/>
        </w:rPr>
        <w:t>For the three months ended March 31, 2016, the Company recorded $1.8 million in interest expense and annual charges and $0.2 million of amortization of commitment and upfront fees on SBA-guaranteed debentures. For the three months ended March 31, 2015, the Company recorded $1.9 million in interest expense and annual charges and $0.2 million of amortization of commitment and upfront fees on SBA-guaranteed debentures. The weighted average interest rate for all SBA-guaranteed debentures as of March 31, 2016 and December 31, 2015 was 3.43% and 3.45%, respectively. In addition to the stated interest rate, the SBA also charges an annual fee on all SBA-guaranteed debentures issued, which is included in the Company’s interest expense. The weighted average annual fee for all SBA-guaranteed debentures as of March 31, 2016 and December 31, 2015 was 0.46% and 0.46%,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788" w:gutter="0" w:footer="0" w:header="0"/>
        </w:sectPr>
      </w:pPr>
    </w:p>
    <w:bookmarkStart w:id="33" w:name="page34"/>
    <w:bookmarkEnd w:id="33"/>
    <w:p>
      <w:pPr>
        <w:ind w:left="880"/>
        <w:spacing w:after="0"/>
        <w:rPr>
          <w:sz w:val="20"/>
          <w:szCs w:val="20"/>
          <w:color w:val="auto"/>
        </w:rPr>
      </w:pPr>
      <w:r>
        <w:rPr>
          <w:rFonts w:ascii="Arial" w:cs="Arial" w:eastAsia="Arial" w:hAnsi="Arial"/>
          <w:sz w:val="16"/>
          <w:szCs w:val="16"/>
          <w:color w:val="auto"/>
        </w:rPr>
        <w:t>As of March 31, 2016 and December 31, 2015, the Company’s issued and outstanding SBA-guaranteed debentures mature as follows (dollars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SBA Annual Charge</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March 31, 2016</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2015</w:t>
            </w:r>
          </w:p>
        </w:tc>
        <w:tc>
          <w:tcPr>
            <w:tcW w:w="100" w:type="dxa"/>
            <w:vAlign w:val="bottom"/>
            <w:tcBorders>
              <w:bottom w:val="single" w:sz="8" w:color="CCEEFF"/>
            </w:tcBorders>
            <w:gridSpan w:val="2"/>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March 1, 2016</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5.524%</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0.871%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September 1, 2016</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5.535%</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0.941%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11,500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11,500</w:t>
            </w:r>
          </w:p>
        </w:tc>
        <w:tc>
          <w:tcPr>
            <w:tcW w:w="8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2019</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0.941%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September 1, 2020</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3.215%</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19,000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15,700</w:t>
            </w:r>
          </w:p>
        </w:tc>
        <w:tc>
          <w:tcPr>
            <w:tcW w:w="8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46,000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r>
      <w:tr>
        <w:trPr>
          <w:trHeight w:val="230"/>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2023</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r>
      <w:tr>
        <w:trPr>
          <w:trHeight w:val="223"/>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225"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Notes will mature on June 16, 2021, and may be redeemed in whole or in part at any time or from time to time at the Company’s option on or after June 16, 2017 at a redemption price equal to 100% of the outstanding principal, plus accrued and unpaid interest. Interest was payable quarterly beginning September 16, 2014.</w:t>
      </w:r>
    </w:p>
    <w:p>
      <w:pPr>
        <w:spacing w:after="0" w:line="187"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For the three months ended March 31, 2016, the Company recorded $2.0 million of interest expense and $0.1 million of amortization of deferred financing costs related to the Notes. For the three months ended March 31, 2015, the Company recorded $2.0 million of interest expense and $0.1 million of amortization of deferred financing costs related to the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right="220" w:firstLine="881"/>
        <w:spacing w:after="0" w:line="286" w:lineRule="auto"/>
        <w:rPr>
          <w:sz w:val="20"/>
          <w:szCs w:val="20"/>
          <w:color w:val="auto"/>
        </w:rPr>
      </w:pPr>
      <w:r>
        <w:rPr>
          <w:rFonts w:ascii="Arial" w:cs="Arial" w:eastAsia="Arial" w:hAnsi="Arial"/>
          <w:sz w:val="17"/>
          <w:szCs w:val="17"/>
          <w:color w:val="auto"/>
        </w:rPr>
        <w:t>On October 17, 2014, the Company entered into a senior secured revolving credit agreement (the “Credit Facility”) with ING Capital, LLC, as administrative agent, arranger, and bookrunner, and the lenders party thereto. The Credit Facility currently provides for borrowings up to $120,000,000 and may be increased up to $150,000,000 pursuant to its “accordion” feature. The Credit Facility matures on October 17, 2018.</w:t>
      </w:r>
    </w:p>
    <w:p>
      <w:pPr>
        <w:spacing w:after="0" w:line="166" w:lineRule="exact"/>
        <w:rPr>
          <w:sz w:val="20"/>
          <w:szCs w:val="20"/>
          <w:color w:val="auto"/>
        </w:rPr>
      </w:pPr>
    </w:p>
    <w:p>
      <w:pPr>
        <w:ind w:right="20" w:firstLine="881"/>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3"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As of March 31, 2016 and December 31, 2015, the Company had $73.0 million and $70.0 million, respectively, outstanding under the Credit Facility. For the three months ended March 31, 2016 the Company recorded $0.6 million of interest expense, $0.2 million of amortization of deferred financing costs, and $0.1 million of unused commitment fees related to the Credit Facility. For the three months ended March 31, 2015 the Company recorded $0.0 million of interest expense, $0.2 million of amortization of deferred financing costs, and $0.2 million of unused commitment fees related to the Credit Facility.</w:t>
      </w:r>
    </w:p>
    <w:p>
      <w:pPr>
        <w:spacing w:after="0" w:line="188"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The Credit Facility is secured by investments and cash held by Capitala Finance Corp., exclusive of assets held at our two SBIC subsidiaries. Assets pledged to secure the Credit Facility were $255.0 million at March 31, 2016.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ind w:right="100" w:firstLine="881"/>
        <w:spacing w:after="0" w:line="293"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months ended March 31, 2016 and 2015, the Company recognized director fee expense of $0.1 million and $0.1 million, respectively. No compensation is expected to be paid to directors who are “interested persons” of the Company, as such term is defined in Section 2(a)(19) of the 1940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The Company holds a control interest, as defined by the 1940 Act, in five majority owned portfolio companies that are considered significant subsidiaries under the guidance in Regulation S-X, but are not consolidated in the Company’s consolidated financial statements. Below is a brief description of each portfolio company, along with summarized financial information as of March 31, 2016 and December 31, 2015, and for the three months ended March 31, 2016 and March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225" w:lineRule="exact"/>
        <w:rPr>
          <w:sz w:val="20"/>
          <w:szCs w:val="20"/>
          <w:color w:val="auto"/>
        </w:rPr>
      </w:pPr>
    </w:p>
    <w:p>
      <w:pPr>
        <w:ind w:right="160" w:firstLine="881"/>
        <w:spacing w:after="0" w:line="302" w:lineRule="auto"/>
        <w:rPr>
          <w:sz w:val="20"/>
          <w:szCs w:val="20"/>
          <w:color w:val="auto"/>
        </w:rPr>
      </w:pPr>
      <w:r>
        <w:rPr>
          <w:rFonts w:ascii="Arial" w:cs="Arial" w:eastAsia="Arial" w:hAnsi="Arial"/>
          <w:sz w:val="16"/>
          <w:szCs w:val="16"/>
          <w:color w:val="auto"/>
        </w:rPr>
        <w:t>Print Direction, Inc., incorporated in Georgia on May 11, 2006, is a professional printing services firm serving customers, particularly fast food, retail, and other similar chains, throughout the United States. Print Direction, Inc. also provides warehousing and distribution services for these customers. The income (loss) the Company generated from Print Direction, Inc., which includes all interest, dividends, PIK interest and dividends, fees, and unrealized appreciation/(depreciation), was $(0.5) million and $(0.7) million for the three months ended March 31, 2016 and March 31, 2015,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ind w:right="360" w:firstLine="881"/>
        <w:spacing w:after="0" w:line="259" w:lineRule="auto"/>
        <w:rPr>
          <w:sz w:val="20"/>
          <w:szCs w:val="20"/>
          <w:color w:val="auto"/>
        </w:rPr>
      </w:pPr>
      <w:r>
        <w:rPr>
          <w:rFonts w:ascii="Arial" w:cs="Arial" w:eastAsia="Arial" w:hAnsi="Arial"/>
          <w:sz w:val="18"/>
          <w:szCs w:val="18"/>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appreciation/(depreciation), was $0.6 million and $1.0 million for the three months ended March 31, 2016 and March 31,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225" w:lineRule="exact"/>
        <w:rPr>
          <w:sz w:val="20"/>
          <w:szCs w:val="20"/>
          <w:color w:val="auto"/>
        </w:rPr>
      </w:pPr>
    </w:p>
    <w:p>
      <w:pPr>
        <w:ind w:right="120" w:firstLine="881"/>
        <w:spacing w:after="0" w:line="302" w:lineRule="auto"/>
        <w:rPr>
          <w:sz w:val="20"/>
          <w:szCs w:val="20"/>
          <w:color w:val="auto"/>
        </w:rPr>
      </w:pPr>
      <w:r>
        <w:rPr>
          <w:rFonts w:ascii="Arial" w:cs="Arial" w:eastAsia="Arial" w:hAnsi="Arial"/>
          <w:sz w:val="16"/>
          <w:szCs w:val="16"/>
          <w:color w:val="auto"/>
        </w:rPr>
        <w:t>On-Site Fuel Service, Inc. is a 100% owned subsidiary of On-Site Fuel Holdings, Inc., which was incorporated in Delaware on December 19, 2011. On-Site Fuel Service, Inc. provides fueling services for commercial and government vehicle fleets throughout the southeast United States. The income (loss) the Company generated from On-Site Fuel Service, Inc., which includes all interest, dividends, PIK interest and dividends, fees, and unrealized appreciation/(depreciation), was $(1.0) million and $0.1 million for the three months ended March 31, 2016 and March 31, 2015,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Holdings, LLC</w:t>
      </w:r>
    </w:p>
    <w:p>
      <w:pPr>
        <w:spacing w:after="0" w:line="225"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CableOrganizer Holdings, LLC, a Delaware limited liability company that began operations on April 23, 2013, is a leading online provider of cable and wire management products. The income (loss) the Company generated from CableOrganizer Holdings, LLC, which includes all interest, dividends, PIK interest and dividends, fees, and unrealized appreciation/(depreciation), was $0.5 million and $0.5 million for the three months ended March 31, 2016 and March 31,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Eastport Holdings, LLC, an Ohio limited liability company organized on November 1, 2011, is a holding company consisting of 11 marketing and advertising companies located across the United States. The income the Company generated from Eastport Holdings, LLC, which includes all interest, dividends, PIK interest and dividends, fees, and unrealized appreciation/(depreciation), was $6.2 million for the three months ended March 31, 2016. The Company invested in the portfolio company in January 2016. As such, comparative financial information for the prior periods are not presented.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left="940"/>
        <w:spacing w:after="0"/>
        <w:rPr>
          <w:sz w:val="20"/>
          <w:szCs w:val="20"/>
          <w:color w:val="auto"/>
        </w:rPr>
      </w:pPr>
      <w:r>
        <w:rPr>
          <w:rFonts w:ascii="Arial" w:cs="Arial" w:eastAsia="Arial" w:hAnsi="Arial"/>
          <w:sz w:val="18"/>
          <w:szCs w:val="18"/>
          <w:color w:val="auto"/>
        </w:rPr>
        <w:t>The summarized financial information of our unconsolidated subsidiaries was as follows (dollars in thousands):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6"/>
                <w:szCs w:val="16"/>
                <w:color w:val="auto"/>
              </w:rPr>
            </w:pP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Print Direction, Inc.</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5,596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19"/>
                <w:szCs w:val="19"/>
                <w:color w:val="auto"/>
              </w:rPr>
            </w:pP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2,508</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14,636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14,725</w:t>
            </w: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Statements of Operations - Print Direction, Inc.</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1,606</w:t>
            </w: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2,094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360" w:type="dxa"/>
            <w:vAlign w:val="bottom"/>
            <w:gridSpan w:val="2"/>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3,028</w:t>
            </w:r>
          </w:p>
        </w:tc>
        <w:tc>
          <w:tcPr>
            <w:tcW w:w="1220" w:type="dxa"/>
            <w:vAlign w:val="bottom"/>
            <w:gridSpan w:val="2"/>
            <w:shd w:val="clear" w:color="auto" w:fill="CCEEFF"/>
          </w:tcPr>
          <w:p>
            <w:pPr>
              <w:jc w:val="right"/>
              <w:ind w:right="104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(452)</w:t>
            </w:r>
          </w:p>
        </w:tc>
        <w:tc>
          <w:tcPr>
            <w:tcW w:w="100" w:type="dxa"/>
            <w:vAlign w:val="bottom"/>
            <w:gridSpan w:val="2"/>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ind w:right="10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0" w:type="dxa"/>
            <w:vAlign w:val="bottom"/>
            <w:tcBorders>
              <w:top w:val="single" w:sz="8" w:color="auto"/>
            </w:tcBorders>
          </w:tcPr>
          <w:p>
            <w:pPr>
              <w:jc w:val="right"/>
              <w:ind w:right="10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6"/>
                <w:szCs w:val="16"/>
                <w:color w:val="auto"/>
              </w:rPr>
            </w:pP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Navis Holdings, Inc.</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3,756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19"/>
                <w:szCs w:val="19"/>
                <w:color w:val="auto"/>
              </w:rPr>
            </w:pP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3,458</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6,979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6,914</w:t>
            </w:r>
          </w:p>
        </w:tc>
        <w:tc>
          <w:tcPr>
            <w:tcW w:w="100" w:type="dxa"/>
            <w:vAlign w:val="bottom"/>
          </w:tcPr>
          <w:p>
            <w:pPr>
              <w:spacing w:after="0"/>
              <w:rPr>
                <w:sz w:val="19"/>
                <w:szCs w:val="19"/>
                <w:color w:val="auto"/>
              </w:rPr>
            </w:pP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Statements of Operations - Navis Holdings, Inc.</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2,655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1,537</w:t>
            </w: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2,577</w:t>
            </w:r>
          </w:p>
        </w:tc>
        <w:tc>
          <w:tcPr>
            <w:tcW w:w="100" w:type="dxa"/>
            <w:vAlign w:val="bottom"/>
          </w:tcPr>
          <w:p>
            <w:pPr>
              <w:spacing w:after="0"/>
              <w:rPr>
                <w:sz w:val="19"/>
                <w:szCs w:val="19"/>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1,118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360" w:type="dxa"/>
            <w:vAlign w:val="bottom"/>
            <w:gridSpan w:val="2"/>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1,216</w:t>
            </w:r>
          </w:p>
        </w:tc>
        <w:tc>
          <w:tcPr>
            <w:tcW w:w="1220" w:type="dxa"/>
            <w:vAlign w:val="bottom"/>
            <w:gridSpan w:val="2"/>
            <w:shd w:val="clear" w:color="auto" w:fill="CCEEFF"/>
          </w:tcPr>
          <w:p>
            <w:pPr>
              <w:jc w:val="right"/>
              <w:ind w:right="104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1,324</w:t>
            </w:r>
          </w:p>
        </w:tc>
        <w:tc>
          <w:tcPr>
            <w:tcW w:w="100" w:type="dxa"/>
            <w:vAlign w:val="bottom"/>
            <w:shd w:val="clear" w:color="auto" w:fill="CCEEFF"/>
          </w:tcPr>
          <w:p>
            <w:pPr>
              <w:spacing w:after="0"/>
              <w:rPr>
                <w:sz w:val="19"/>
                <w:szCs w:val="19"/>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Income/(loss) before income taxes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income/(loss)</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0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On-Site Fuel Service, Inc.</w:t>
            </w:r>
          </w:p>
        </w:tc>
        <w:tc>
          <w:tcPr>
            <w:tcW w:w="2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Noncurrent assets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17,186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19,016</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70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21,230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20,403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equity/(deficit)</w:t>
            </w:r>
          </w:p>
        </w:tc>
        <w:tc>
          <w:tcPr>
            <w:tcW w:w="270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(1,114)</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990"/>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0" w:gutter="0" w:footer="0" w:header="0"/>
        </w:sectPr>
      </w:pPr>
    </w:p>
    <w:bookmarkStart w:id="36" w:name="page37"/>
    <w:bookmarkEnd w:id="36"/>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March 31,</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gridSpan w:val="2"/>
          </w:tcPr>
          <w:p>
            <w:pPr>
              <w:spacing w:after="0"/>
              <w:rPr>
                <w:sz w:val="16"/>
                <w:szCs w:val="16"/>
                <w:color w:val="auto"/>
              </w:rPr>
            </w:pP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On-Site Fuel Service, Inc.</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16,344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24,501</w:t>
            </w:r>
          </w:p>
        </w:tc>
        <w:tc>
          <w:tcPr>
            <w:tcW w:w="80" w:type="dxa"/>
            <w:vAlign w:val="bottom"/>
          </w:tcPr>
          <w:p>
            <w:pPr>
              <w:spacing w:after="0"/>
              <w:rPr>
                <w:sz w:val="19"/>
                <w:szCs w:val="19"/>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gridSpan w:val="2"/>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6"/>
                <w:szCs w:val="16"/>
                <w:color w:val="auto"/>
              </w:rPr>
            </w:pP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CableOrganizer Holdings, LLC</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11,422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12,394</w:t>
            </w: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11,396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19"/>
                <w:szCs w:val="19"/>
                <w:color w:val="auto"/>
              </w:rPr>
            </w:pP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21"/>
                <w:szCs w:val="2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Statements of Operations - CableOrganizer Holdings, LLC</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5,314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3,462</w:t>
            </w: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360" w:type="dxa"/>
            <w:vAlign w:val="bottom"/>
            <w:gridSpan w:val="2"/>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2,119</w:t>
            </w:r>
          </w:p>
        </w:tc>
        <w:tc>
          <w:tcPr>
            <w:tcW w:w="1220" w:type="dxa"/>
            <w:vAlign w:val="bottom"/>
            <w:gridSpan w:val="2"/>
            <w:shd w:val="clear" w:color="auto" w:fill="CCEEFF"/>
          </w:tcPr>
          <w:p>
            <w:pPr>
              <w:jc w:val="right"/>
              <w:ind w:right="104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Income/(loss) before income taxes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(112)</w:t>
            </w:r>
          </w:p>
        </w:tc>
        <w:tc>
          <w:tcPr>
            <w:tcW w:w="100" w:type="dxa"/>
            <w:vAlign w:val="bottom"/>
            <w:gridSpan w:val="2"/>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Income/(loss)</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ind w:right="10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0" w:type="dxa"/>
            <w:vAlign w:val="bottom"/>
            <w:tcBorders>
              <w:top w:val="single" w:sz="8" w:color="auto"/>
            </w:tcBorders>
          </w:tcPr>
          <w:p>
            <w:pPr>
              <w:jc w:val="right"/>
              <w:ind w:right="10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 Eastport Holdings, LLC</w:t>
            </w:r>
          </w:p>
        </w:tc>
        <w:tc>
          <w:tcPr>
            <w:tcW w:w="1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Borders>
              <w:bottom w:val="single" w:sz="8" w:color="CCEEFF"/>
            </w:tcBorders>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101,203</w:t>
            </w:r>
          </w:p>
        </w:tc>
        <w:tc>
          <w:tcPr>
            <w:tcW w:w="8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Noncurrent assets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92,667</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131,269</w:t>
            </w:r>
          </w:p>
        </w:tc>
        <w:tc>
          <w:tcPr>
            <w:tcW w:w="8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47,001</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00" w:type="dxa"/>
            <w:vAlign w:val="bottom"/>
            <w:gridSpan w:val="2"/>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15,600</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Three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Months</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Statements of Operations - Eastport Holdings, LLC</w:t>
            </w:r>
          </w:p>
        </w:tc>
        <w:tc>
          <w:tcPr>
            <w:tcW w:w="1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Borders>
              <w:bottom w:val="single" w:sz="8" w:color="CCEEFF"/>
            </w:tcBorders>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131,487</w:t>
            </w:r>
          </w:p>
        </w:tc>
        <w:tc>
          <w:tcPr>
            <w:tcW w:w="8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105,419</w:t>
            </w:r>
          </w:p>
        </w:tc>
        <w:tc>
          <w:tcPr>
            <w:tcW w:w="80" w:type="dxa"/>
            <w:vAlign w:val="bottom"/>
            <w:tcBorders>
              <w:bottom w:val="single" w:sz="8" w:color="CCEEFF"/>
            </w:tcBorders>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26,068</w:t>
            </w:r>
          </w:p>
        </w:tc>
        <w:tc>
          <w:tcPr>
            <w:tcW w:w="8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24,458</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20" w:type="dxa"/>
            <w:vAlign w:val="bottom"/>
            <w:vMerge w:val="restart"/>
          </w:tcPr>
          <w:p>
            <w:pPr>
              <w:jc w:val="right"/>
              <w:ind w:right="97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In accordance with the provisions of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March 31, 2016 and March 31, 2015, there were no dilutive shares.</w:t>
      </w:r>
    </w:p>
    <w:p>
      <w:pPr>
        <w:spacing w:after="0" w:line="187" w:lineRule="exact"/>
        <w:rPr>
          <w:sz w:val="20"/>
          <w:szCs w:val="20"/>
          <w:color w:val="auto"/>
        </w:rPr>
      </w:pPr>
    </w:p>
    <w:p>
      <w:pPr>
        <w:ind w:right="360" w:firstLine="881"/>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increase/(decrease) in net assets per share from operations for the three months ended March 31, 2016 and March 31, 2015 (dollars in thousands, except share and per share data):</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6"/>
          </w:tcPr>
          <w:p>
            <w:pPr>
              <w:ind w:left="46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Basic and diluted</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8"/>
              </w:rPr>
              <w:t>March 31, 2016</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March 31, 2015</w:t>
            </w:r>
          </w:p>
        </w:tc>
        <w:tc>
          <w:tcPr>
            <w:tcW w:w="100" w:type="dxa"/>
            <w:vAlign w:val="bottom"/>
          </w:tcPr>
          <w:p>
            <w:pPr>
              <w:spacing w:after="0"/>
              <w:rPr>
                <w:sz w:val="19"/>
                <w:szCs w:val="19"/>
                <w:color w:val="auto"/>
              </w:rPr>
            </w:pP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increase/(decrease) in net assets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Weighted average common stock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15,785,943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12,974,483</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per share from operations-basic and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The Company’s dividends and distributions are recorded as payable on the declaration date. Shareholders have the option to receive payment of the dividend in cash, shares of common stock, or a combination of cash and common stock.</w:t>
      </w:r>
    </w:p>
    <w:p>
      <w:pPr>
        <w:spacing w:after="0" w:line="170"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The following table summarizes the Company’s dividend and distribution declarations for the three months ended March 31, 2016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80" w:type="dxa"/>
            <w:vAlign w:val="bottom"/>
          </w:tcPr>
          <w:p>
            <w:pPr>
              <w:spacing w:after="0"/>
              <w:rPr>
                <w:sz w:val="18"/>
                <w:szCs w:val="18"/>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DRIP</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Cash</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280" w:type="dxa"/>
            <w:vAlign w:val="bottom"/>
          </w:tcPr>
          <w:p>
            <w:pPr>
              <w:spacing w:after="0"/>
              <w:rPr>
                <w:sz w:val="18"/>
                <w:szCs w:val="18"/>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Share</w:t>
            </w:r>
          </w:p>
        </w:tc>
      </w:tr>
      <w:tr>
        <w:trPr>
          <w:trHeight w:val="234"/>
        </w:trPr>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Date Declared</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Payment Date</w:t>
            </w:r>
          </w:p>
        </w:tc>
        <w:tc>
          <w:tcPr>
            <w:tcW w:w="20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Per Share</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Distribution</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80" w:type="dxa"/>
            <w:vAlign w:val="bottom"/>
          </w:tcPr>
          <w:p>
            <w:pPr>
              <w:spacing w:after="0"/>
              <w:rPr>
                <w:sz w:val="20"/>
                <w:szCs w:val="20"/>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Value</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2016</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28, 2016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19, 2016</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February 26, 2016</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0.1567</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2,405</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7,076</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22, 2016</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30, 2016</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0.1567</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7,079</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4"/>
          </w:tcPr>
          <w:p>
            <w:pPr>
              <w:ind w:left="1280"/>
              <w:spacing w:after="0"/>
              <w:rPr>
                <w:sz w:val="20"/>
                <w:szCs w:val="20"/>
                <w:color w:val="auto"/>
              </w:rPr>
            </w:pPr>
            <w:r>
              <w:rPr>
                <w:rFonts w:ascii="Arial" w:cs="Arial" w:eastAsia="Arial" w:hAnsi="Arial"/>
                <w:sz w:val="18"/>
                <w:szCs w:val="18"/>
                <w:color w:val="auto"/>
                <w:w w:val="97"/>
              </w:rPr>
              <w:t>Total Distributions Declared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The following table summarizes the Company’s dividend and distribution declarations for the three months ended March 31, 2015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DRIP</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Cash</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Share</w:t>
            </w:r>
          </w:p>
        </w:tc>
      </w:tr>
      <w:tr>
        <w:trPr>
          <w:trHeight w:val="234"/>
        </w:trPr>
        <w:tc>
          <w:tcPr>
            <w:tcW w:w="1840" w:type="dxa"/>
            <w:vAlign w:val="bottom"/>
            <w:gridSpan w:val="2"/>
          </w:tcPr>
          <w:p>
            <w:pPr>
              <w:ind w:left="320"/>
              <w:spacing w:after="0"/>
              <w:rPr>
                <w:sz w:val="20"/>
                <w:szCs w:val="20"/>
                <w:color w:val="auto"/>
              </w:rPr>
            </w:pPr>
            <w:r>
              <w:rPr>
                <w:rFonts w:ascii="Arial" w:cs="Arial" w:eastAsia="Arial" w:hAnsi="Arial"/>
                <w:sz w:val="18"/>
                <w:szCs w:val="18"/>
                <w:b w:val="1"/>
                <w:bCs w:val="1"/>
                <w:color w:val="auto"/>
              </w:rPr>
              <w:t>Date Declared</w:t>
            </w:r>
          </w:p>
        </w:tc>
        <w:tc>
          <w:tcPr>
            <w:tcW w:w="1840" w:type="dxa"/>
            <w:vAlign w:val="bottom"/>
          </w:tcPr>
          <w:p>
            <w:pPr>
              <w:ind w:left="44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1840" w:type="dxa"/>
            <w:vAlign w:val="bottom"/>
            <w:gridSpan w:val="2"/>
          </w:tcPr>
          <w:p>
            <w:pPr>
              <w:ind w:left="320"/>
              <w:spacing w:after="0"/>
              <w:rPr>
                <w:sz w:val="20"/>
                <w:szCs w:val="20"/>
                <w:color w:val="auto"/>
              </w:rPr>
            </w:pPr>
            <w:r>
              <w:rPr>
                <w:rFonts w:ascii="Arial" w:cs="Arial" w:eastAsia="Arial" w:hAnsi="Arial"/>
                <w:sz w:val="18"/>
                <w:szCs w:val="18"/>
                <w:b w:val="1"/>
                <w:bCs w:val="1"/>
                <w:color w:val="auto"/>
              </w:rPr>
              <w:t>Payment Date</w:t>
            </w:r>
          </w:p>
        </w:tc>
        <w:tc>
          <w:tcPr>
            <w:tcW w:w="18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Per Share</w:t>
            </w: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Distribution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Value</w:t>
            </w: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2015</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29, 2015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1840" w:type="dxa"/>
            <w:vAlign w:val="bottom"/>
          </w:tcPr>
          <w:p>
            <w:pPr>
              <w:spacing w:after="0"/>
              <w:rPr>
                <w:sz w:val="20"/>
                <w:szCs w:val="20"/>
                <w:color w:val="auto"/>
              </w:rPr>
            </w:pPr>
            <w:r>
              <w:rPr>
                <w:rFonts w:ascii="Arial" w:cs="Arial" w:eastAsia="Arial" w:hAnsi="Arial"/>
                <w:sz w:val="18"/>
                <w:szCs w:val="18"/>
                <w:color w:val="auto"/>
              </w:rPr>
              <w:t>February 20, 2015</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February 26, 2015</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March 23, 2015</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30, 2015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8"/>
                <w:szCs w:val="18"/>
                <w:color w:val="auto"/>
              </w:rPr>
            </w:pPr>
          </w:p>
        </w:tc>
      </w:tr>
      <w:tr>
        <w:trPr>
          <w:trHeight w:val="257"/>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840" w:type="dxa"/>
            <w:vAlign w:val="bottom"/>
          </w:tcPr>
          <w:p>
            <w:pPr>
              <w:spacing w:after="0" w:line="256" w:lineRule="exact"/>
              <w:rPr>
                <w:sz w:val="20"/>
                <w:szCs w:val="20"/>
                <w:color w:val="auto"/>
              </w:rPr>
            </w:pPr>
            <w:r>
              <w:rPr>
                <w:rFonts w:ascii="Arial" w:cs="Arial" w:eastAsia="Arial" w:hAnsi="Arial"/>
                <w:sz w:val="18"/>
                <w:szCs w:val="18"/>
                <w:color w:val="auto"/>
              </w:rPr>
              <w:t xml:space="preserve">March 23, 2015 </w:t>
            </w:r>
            <w:r>
              <w:rPr>
                <w:rFonts w:ascii="Arial" w:cs="Arial" w:eastAsia="Arial" w:hAnsi="Arial"/>
                <w:sz w:val="29"/>
                <w:szCs w:val="29"/>
                <w:color w:val="auto"/>
                <w:vertAlign w:val="superscript"/>
              </w:rPr>
              <w:t>(1)</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March 30, 2015</w:t>
            </w: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w w:val="89"/>
              </w:rPr>
              <w:t>12</w:t>
            </w:r>
          </w:p>
        </w:tc>
        <w:tc>
          <w:tcPr>
            <w:tcW w:w="80" w:type="dxa"/>
            <w:vAlign w:val="bottom"/>
          </w:tcPr>
          <w:p>
            <w:pPr>
              <w:spacing w:after="0"/>
              <w:rPr>
                <w:sz w:val="22"/>
                <w:szCs w:val="22"/>
                <w:color w:val="auto"/>
              </w:rPr>
            </w:pPr>
          </w:p>
        </w:tc>
      </w:tr>
      <w:tr>
        <w:trPr>
          <w:trHeight w:val="257"/>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1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April 23, 2015 </w:t>
            </w:r>
            <w:r>
              <w:rPr>
                <w:rFonts w:ascii="Arial" w:cs="Arial" w:eastAsia="Arial" w:hAnsi="Arial"/>
                <w:sz w:val="29"/>
                <w:szCs w:val="29"/>
                <w:color w:val="auto"/>
                <w:vertAlign w:val="superscript"/>
              </w:rPr>
              <w:t>(1)</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April 29, 2015</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840" w:type="dxa"/>
            <w:vAlign w:val="bottom"/>
          </w:tcPr>
          <w:p>
            <w:pPr>
              <w:spacing w:after="0" w:line="256" w:lineRule="exact"/>
              <w:rPr>
                <w:sz w:val="20"/>
                <w:szCs w:val="20"/>
                <w:color w:val="auto"/>
              </w:rPr>
            </w:pPr>
            <w:r>
              <w:rPr>
                <w:rFonts w:ascii="Arial" w:cs="Arial" w:eastAsia="Arial" w:hAnsi="Arial"/>
                <w:sz w:val="18"/>
                <w:szCs w:val="18"/>
                <w:color w:val="auto"/>
              </w:rPr>
              <w:t xml:space="preserve">May 21, 2015 </w:t>
            </w:r>
            <w:r>
              <w:rPr>
                <w:rFonts w:ascii="Arial" w:cs="Arial" w:eastAsia="Arial" w:hAnsi="Arial"/>
                <w:sz w:val="29"/>
                <w:szCs w:val="29"/>
                <w:color w:val="auto"/>
                <w:vertAlign w:val="superscript"/>
              </w:rPr>
              <w:t>(1)</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May 28, 2015</w:t>
            </w: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3"/>
          </w:tcPr>
          <w:p>
            <w:pPr>
              <w:ind w:left="82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1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June 22, 2015 </w:t>
            </w:r>
            <w:r>
              <w:rPr>
                <w:rFonts w:ascii="Arial" w:cs="Arial" w:eastAsia="Arial" w:hAnsi="Arial"/>
                <w:sz w:val="29"/>
                <w:szCs w:val="29"/>
                <w:color w:val="auto"/>
                <w:vertAlign w:val="superscript"/>
              </w:rPr>
              <w:t>(1)</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June 29, 2015</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840" w:type="dxa"/>
            <w:vAlign w:val="bottom"/>
          </w:tcPr>
          <w:p>
            <w:pPr>
              <w:spacing w:after="0" w:line="256" w:lineRule="exact"/>
              <w:rPr>
                <w:sz w:val="20"/>
                <w:szCs w:val="20"/>
                <w:color w:val="auto"/>
              </w:rPr>
            </w:pPr>
            <w:r>
              <w:rPr>
                <w:rFonts w:ascii="Arial" w:cs="Arial" w:eastAsia="Arial" w:hAnsi="Arial"/>
                <w:sz w:val="18"/>
                <w:szCs w:val="18"/>
                <w:color w:val="auto"/>
              </w:rPr>
              <w:t xml:space="preserve">July 23, 2015 </w:t>
            </w:r>
            <w:r>
              <w:rPr>
                <w:rFonts w:ascii="Arial" w:cs="Arial" w:eastAsia="Arial" w:hAnsi="Arial"/>
                <w:sz w:val="29"/>
                <w:szCs w:val="29"/>
                <w:color w:val="auto"/>
                <w:vertAlign w:val="superscript"/>
              </w:rPr>
              <w:t>(1)</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July 30, 2015</w:t>
            </w: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3"/>
          </w:tcPr>
          <w:p>
            <w:pPr>
              <w:ind w:left="82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1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August 21, 2015 </w:t>
            </w:r>
            <w:r>
              <w:rPr>
                <w:rFonts w:ascii="Arial" w:cs="Arial" w:eastAsia="Arial" w:hAnsi="Arial"/>
                <w:sz w:val="29"/>
                <w:szCs w:val="29"/>
                <w:color w:val="auto"/>
                <w:vertAlign w:val="superscript"/>
              </w:rPr>
              <w:t>(1)</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August 28, 2015</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840" w:type="dxa"/>
            <w:vAlign w:val="bottom"/>
          </w:tcPr>
          <w:p>
            <w:pPr>
              <w:spacing w:after="0" w:line="256" w:lineRule="exact"/>
              <w:rPr>
                <w:sz w:val="20"/>
                <w:szCs w:val="20"/>
                <w:color w:val="auto"/>
              </w:rPr>
            </w:pPr>
            <w:r>
              <w:rPr>
                <w:rFonts w:ascii="Arial" w:cs="Arial" w:eastAsia="Arial" w:hAnsi="Arial"/>
                <w:sz w:val="18"/>
                <w:szCs w:val="18"/>
                <w:color w:val="auto"/>
                <w:w w:val="94"/>
              </w:rPr>
              <w:t xml:space="preserve">September 23, 2015 </w:t>
            </w:r>
            <w:r>
              <w:rPr>
                <w:rFonts w:ascii="Arial" w:cs="Arial" w:eastAsia="Arial" w:hAnsi="Arial"/>
                <w:sz w:val="29"/>
                <w:szCs w:val="29"/>
                <w:color w:val="auto"/>
                <w:w w:val="94"/>
                <w:vertAlign w:val="superscript"/>
              </w:rPr>
              <w:t>(1)</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September 29, 2015</w:t>
            </w: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3"/>
          </w:tcPr>
          <w:p>
            <w:pPr>
              <w:ind w:left="82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1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October 23, 2015 </w:t>
            </w:r>
            <w:r>
              <w:rPr>
                <w:rFonts w:ascii="Arial" w:cs="Arial" w:eastAsia="Arial" w:hAnsi="Arial"/>
                <w:sz w:val="29"/>
                <w:szCs w:val="29"/>
                <w:color w:val="auto"/>
                <w:vertAlign w:val="superscript"/>
              </w:rPr>
              <w:t>(1)</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October 29, 2015</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840" w:type="dxa"/>
            <w:vAlign w:val="bottom"/>
          </w:tcPr>
          <w:p>
            <w:pPr>
              <w:spacing w:after="0" w:line="256" w:lineRule="exact"/>
              <w:rPr>
                <w:sz w:val="20"/>
                <w:szCs w:val="20"/>
                <w:color w:val="auto"/>
              </w:rPr>
            </w:pPr>
            <w:r>
              <w:rPr>
                <w:rFonts w:ascii="Arial" w:cs="Arial" w:eastAsia="Arial" w:hAnsi="Arial"/>
                <w:sz w:val="18"/>
                <w:szCs w:val="18"/>
                <w:color w:val="auto"/>
                <w:w w:val="97"/>
              </w:rPr>
              <w:t xml:space="preserve">November 20, 2015 </w:t>
            </w:r>
            <w:r>
              <w:rPr>
                <w:rFonts w:ascii="Arial" w:cs="Arial" w:eastAsia="Arial" w:hAnsi="Arial"/>
                <w:sz w:val="29"/>
                <w:szCs w:val="29"/>
                <w:color w:val="auto"/>
                <w:w w:val="97"/>
                <w:vertAlign w:val="superscript"/>
              </w:rPr>
              <w:t>(1)</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November 27, 2015</w:t>
            </w: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3"/>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18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w w:val="97"/>
              </w:rPr>
              <w:t xml:space="preserve">December 22, 2015 </w:t>
            </w:r>
            <w:r>
              <w:rPr>
                <w:rFonts w:ascii="Arial" w:cs="Arial" w:eastAsia="Arial" w:hAnsi="Arial"/>
                <w:sz w:val="30"/>
                <w:szCs w:val="30"/>
                <w:color w:val="auto"/>
                <w:w w:val="97"/>
                <w:vertAlign w:val="superscript"/>
              </w:rPr>
              <w:t>(1)</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December 30, 2015</w:t>
            </w: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4"/>
          </w:tcPr>
          <w:p>
            <w:pPr>
              <w:ind w:left="1640"/>
              <w:spacing w:after="0"/>
              <w:rPr>
                <w:sz w:val="20"/>
                <w:szCs w:val="20"/>
                <w:color w:val="auto"/>
              </w:rPr>
            </w:pPr>
            <w:r>
              <w:rPr>
                <w:rFonts w:ascii="Arial" w:cs="Arial" w:eastAsia="Arial" w:hAnsi="Arial"/>
                <w:sz w:val="18"/>
                <w:szCs w:val="18"/>
                <w:color w:val="auto"/>
                <w:w w:val="96"/>
              </w:rPr>
              <w:t>Total Distributions Declared</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79"/>
              </w:rPr>
              <w:t>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February 26, 2015, the Company’s Board of Directors declared a special distribution in the amount of approximately $6.5 million, or $0.50 per share of the Company’s common stock, which was paid monthly over the remainder of 2015.</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13. Share Repurchase Program</w:t>
      </w:r>
    </w:p>
    <w:p>
      <w:pPr>
        <w:spacing w:after="0" w:line="229"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On February 26, 2015, the Company’s board of directors authorized a program for the purpose of repurchasing up to $12.0 million worth of its common stock. Under the repurchase program, the Company could have, but was not obligated to, repurchase its outstanding common stock in the open market from time to time provided that the Company complied with the prohibitions under its Insider Trading Policies and Procedures and the guidelines specified in Rule 10b-18 of the Securities Exchange Act of 1934, as amended, including certain price, market volume and timing constraints. The repurchase program was in place until the earlier of March 31, 2016 or until $12.0 million of the Company’s outstanding shares of common stock had been repurchased. As of March 31, 2016, the repurchase program has expired and has not been extended by the Board.</w:t>
      </w:r>
    </w:p>
    <w:p>
      <w:pPr>
        <w:spacing w:after="0" w:line="178"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During the three months ended March 31, 2016 and March 31, 2015, no shares were repurchased under the repurchase program. Since the approval of the repurchase program, the Company repurchased 774,858 shares of common stock in open market transactions for an aggregate cost (including transaction costs) of $12.0 million, utilizing the maximum amount available under the repurchase program. The Company is incorporated in Maryland and under the law of the state, shares repurchased are considered retired (repurchased shares become authorized but unissued shares) rather than treasury stock. As a result, the cost of the stock repurchased is recorded as a reduction to capital in excess of par value on the consolidated statements of changes in net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Financial Highlights</w:t>
      </w:r>
    </w:p>
    <w:p>
      <w:pPr>
        <w:spacing w:after="0" w:line="229"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The following is a schedule of financial highlights for the three months ended March 31, 2016 and 2015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6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17.04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18.56</w:t>
            </w:r>
          </w:p>
        </w:tc>
      </w:tr>
      <w:tr>
        <w:trPr>
          <w:trHeight w:val="257"/>
        </w:trPr>
        <w:tc>
          <w:tcPr>
            <w:tcW w:w="5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r>
      <w:tr>
        <w:trPr>
          <w:trHeight w:val="257"/>
        </w:trPr>
        <w:tc>
          <w:tcPr>
            <w:tcW w:w="5660" w:type="dxa"/>
            <w:vAlign w:val="bottom"/>
          </w:tcPr>
          <w:p>
            <w:pPr>
              <w:spacing w:after="0" w:line="256" w:lineRule="exact"/>
              <w:rPr>
                <w:sz w:val="20"/>
                <w:szCs w:val="20"/>
                <w:color w:val="auto"/>
              </w:rPr>
            </w:pPr>
            <w:r>
              <w:rPr>
                <w:rFonts w:ascii="Arial" w:cs="Arial" w:eastAsia="Arial" w:hAnsi="Arial"/>
                <w:sz w:val="18"/>
                <w:szCs w:val="18"/>
                <w:color w:val="auto"/>
              </w:rPr>
              <w:t xml:space="preserve">Net realized gain/(loss) on investments </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0.72</w:t>
            </w:r>
          </w:p>
        </w:tc>
      </w:tr>
      <w:tr>
        <w:trPr>
          <w:trHeight w:val="257"/>
        </w:trPr>
        <w:tc>
          <w:tcPr>
            <w:tcW w:w="5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unrealized depreciation on investments </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 from net realized gains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70"/>
        </w:trPr>
        <w:tc>
          <w:tcPr>
            <w:tcW w:w="5660" w:type="dxa"/>
            <w:vAlign w:val="bottom"/>
          </w:tcPr>
          <w:p>
            <w:pPr>
              <w:spacing w:after="0" w:line="269" w:lineRule="exact"/>
              <w:rPr>
                <w:sz w:val="20"/>
                <w:szCs w:val="20"/>
                <w:color w:val="auto"/>
              </w:rPr>
            </w:pPr>
            <w:r>
              <w:rPr>
                <w:rFonts w:ascii="Arial" w:cs="Arial" w:eastAsia="Arial" w:hAnsi="Arial"/>
                <w:sz w:val="18"/>
                <w:szCs w:val="18"/>
                <w:color w:val="auto"/>
              </w:rPr>
              <w:t>Other</w:t>
            </w:r>
            <w:r>
              <w:rPr>
                <w:rFonts w:ascii="Arial" w:cs="Arial" w:eastAsia="Arial" w:hAnsi="Arial"/>
                <w:sz w:val="30"/>
                <w:szCs w:val="30"/>
                <w:color w:val="auto"/>
                <w:vertAlign w:val="superscript"/>
              </w:rPr>
              <w:t>(7)</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257,419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238,172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15,799,635</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12,977,242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18.76</w:t>
            </w:r>
          </w:p>
        </w:tc>
      </w:tr>
      <w:tr>
        <w:trPr>
          <w:trHeight w:val="257"/>
        </w:trPr>
        <w:tc>
          <w:tcPr>
            <w:tcW w:w="5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29"/>
                <w:szCs w:val="29"/>
                <w:color w:val="auto"/>
                <w:vertAlign w:val="superscript"/>
              </w:rPr>
              <w:t>(8)</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w:t>
            </w:r>
          </w:p>
        </w:tc>
      </w:tr>
      <w:tr>
        <w:trPr>
          <w:trHeight w:val="257"/>
        </w:trPr>
        <w:tc>
          <w:tcPr>
            <w:tcW w:w="5660" w:type="dxa"/>
            <w:vAlign w:val="bottom"/>
          </w:tcPr>
          <w:p>
            <w:pPr>
              <w:spacing w:after="0" w:line="256" w:lineRule="exact"/>
              <w:rPr>
                <w:sz w:val="20"/>
                <w:szCs w:val="20"/>
                <w:color w:val="auto"/>
              </w:rPr>
            </w:pPr>
            <w:r>
              <w:rPr>
                <w:rFonts w:ascii="Arial" w:cs="Arial" w:eastAsia="Arial" w:hAnsi="Arial"/>
                <w:sz w:val="18"/>
                <w:szCs w:val="18"/>
                <w:color w:val="auto"/>
                <w:w w:val="90"/>
              </w:rPr>
              <w:t xml:space="preserve">Ratio of incentive fee, net of incentive fee waiver, to average net assets </w:t>
            </w:r>
            <w:r>
              <w:rPr>
                <w:rFonts w:ascii="Arial" w:cs="Arial" w:eastAsia="Arial" w:hAnsi="Arial"/>
                <w:sz w:val="29"/>
                <w:szCs w:val="29"/>
                <w:color w:val="auto"/>
                <w:w w:val="90"/>
                <w:vertAlign w:val="superscript"/>
              </w:rPr>
              <w:t>(6)(8)</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2"/>
                <w:szCs w:val="22"/>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57"/>
        </w:trPr>
        <w:tc>
          <w:tcPr>
            <w:tcW w:w="5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debt related expenses to average net assets </w:t>
            </w:r>
            <w:r>
              <w:rPr>
                <w:rFonts w:ascii="Arial" w:cs="Arial" w:eastAsia="Arial" w:hAnsi="Arial"/>
                <w:sz w:val="29"/>
                <w:szCs w:val="29"/>
                <w:color w:val="auto"/>
                <w:vertAlign w:val="superscript"/>
              </w:rPr>
              <w:t>(8)</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w:t>
            </w:r>
          </w:p>
        </w:tc>
      </w:tr>
      <w:tr>
        <w:trPr>
          <w:trHeight w:val="257"/>
        </w:trPr>
        <w:tc>
          <w:tcPr>
            <w:tcW w:w="5660" w:type="dxa"/>
            <w:vAlign w:val="bottom"/>
          </w:tcPr>
          <w:p>
            <w:pPr>
              <w:spacing w:after="0" w:line="256" w:lineRule="exact"/>
              <w:rPr>
                <w:sz w:val="20"/>
                <w:szCs w:val="20"/>
                <w:color w:val="auto"/>
              </w:rPr>
            </w:pPr>
            <w:r>
              <w:rPr>
                <w:rFonts w:ascii="Arial" w:cs="Arial" w:eastAsia="Arial" w:hAnsi="Arial"/>
                <w:sz w:val="18"/>
                <w:szCs w:val="18"/>
                <w:color w:val="auto"/>
              </w:rPr>
              <w:t xml:space="preserve">Ratio of other operating expenses, to average net assets </w:t>
            </w:r>
            <w:r>
              <w:rPr>
                <w:rFonts w:ascii="Arial" w:cs="Arial" w:eastAsia="Arial" w:hAnsi="Arial"/>
                <w:sz w:val="29"/>
                <w:szCs w:val="29"/>
                <w:color w:val="auto"/>
                <w:vertAlign w:val="superscript"/>
              </w:rPr>
              <w:t>(8)</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22"/>
                <w:szCs w:val="22"/>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r>
      <w:tr>
        <w:trPr>
          <w:trHeight w:val="257"/>
        </w:trPr>
        <w:tc>
          <w:tcPr>
            <w:tcW w:w="5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total expenses, net of fee waivers to average net assets </w:t>
            </w:r>
            <w:r>
              <w:rPr>
                <w:rFonts w:ascii="Arial" w:cs="Arial" w:eastAsia="Arial" w:hAnsi="Arial"/>
                <w:sz w:val="29"/>
                <w:szCs w:val="29"/>
                <w:color w:val="auto"/>
                <w:vertAlign w:val="superscript"/>
              </w:rPr>
              <w:t>(6)(8)</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15.62%</w:t>
            </w:r>
          </w:p>
        </w:tc>
      </w:tr>
      <w:tr>
        <w:trPr>
          <w:trHeight w:val="257"/>
        </w:trPr>
        <w:tc>
          <w:tcPr>
            <w:tcW w:w="5660" w:type="dxa"/>
            <w:vAlign w:val="bottom"/>
          </w:tcPr>
          <w:p>
            <w:pPr>
              <w:spacing w:after="0" w:line="256" w:lineRule="exact"/>
              <w:rPr>
                <w:sz w:val="20"/>
                <w:szCs w:val="20"/>
                <w:color w:val="auto"/>
              </w:rPr>
            </w:pPr>
            <w:r>
              <w:rPr>
                <w:rFonts w:ascii="Arial" w:cs="Arial" w:eastAsia="Arial" w:hAnsi="Arial"/>
                <w:sz w:val="18"/>
                <w:szCs w:val="18"/>
                <w:color w:val="auto"/>
              </w:rPr>
              <w:t xml:space="preserve">Portfolio turnover rate </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22"/>
                <w:szCs w:val="22"/>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r>
      <w:tr>
        <w:trPr>
          <w:trHeight w:val="257"/>
        </w:trPr>
        <w:tc>
          <w:tcPr>
            <w:tcW w:w="5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29"/>
                <w:szCs w:val="29"/>
                <w:color w:val="auto"/>
                <w:vertAlign w:val="superscript"/>
              </w:rPr>
              <w:t>(4)</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368,143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306,638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Average debt outstanding per common share</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23.30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23.63</w:t>
            </w:r>
          </w:p>
        </w:tc>
      </w:tr>
      <w:tr>
        <w:trPr>
          <w:trHeight w:val="257"/>
        </w:trPr>
        <w:tc>
          <w:tcPr>
            <w:tcW w:w="5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Asset coverage ratio per unit </w:t>
            </w:r>
            <w:r>
              <w:rPr>
                <w:rFonts w:ascii="Arial" w:cs="Arial" w:eastAsia="Arial" w:hAnsi="Arial"/>
                <w:sz w:val="29"/>
                <w:szCs w:val="29"/>
                <w:color w:val="auto"/>
                <w:vertAlign w:val="superscript"/>
              </w:rPr>
              <w:t>(5)</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2,855</w:t>
            </w:r>
          </w:p>
        </w:tc>
      </w:tr>
    </w:tbl>
    <w:p>
      <w:pPr>
        <w:spacing w:after="0" w:line="202"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ind w:left="360" w:right="40" w:hanging="352"/>
        <w:spacing w:after="0" w:line="250"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360" w:right="140" w:hanging="352"/>
        <w:spacing w:after="0" w:line="250"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rFonts w:ascii="Arial" w:cs="Arial" w:eastAsia="Arial" w:hAnsi="Arial"/>
          <w:sz w:val="18"/>
          <w:szCs w:val="18"/>
          <w:color w:val="auto"/>
        </w:rPr>
      </w:pPr>
    </w:p>
    <w:p>
      <w:pPr>
        <w:ind w:left="360" w:right="60" w:hanging="352"/>
        <w:spacing w:after="0" w:line="265" w:lineRule="auto"/>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March 31, 2016 and March 31, 2015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1" w:lineRule="exact"/>
        <w:rPr>
          <w:rFonts w:ascii="Arial" w:cs="Arial" w:eastAsia="Arial" w:hAnsi="Arial"/>
          <w:sz w:val="17"/>
          <w:szCs w:val="17"/>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ratio of waived incentive fees to average net assets was 0.23% and 0.0% for the three months ended March 31, 2016 and 2015.</w:t>
      </w:r>
    </w:p>
    <w:p>
      <w:pPr>
        <w:spacing w:after="0" w:line="9" w:lineRule="exact"/>
        <w:rPr>
          <w:rFonts w:ascii="Arial" w:cs="Arial" w:eastAsia="Arial" w:hAnsi="Arial"/>
          <w:sz w:val="18"/>
          <w:szCs w:val="18"/>
          <w:color w:val="auto"/>
        </w:rPr>
      </w:pPr>
    </w:p>
    <w:p>
      <w:pPr>
        <w:ind w:left="360" w:right="420" w:hanging="352"/>
        <w:spacing w:after="0" w:line="281"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329"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jc w:val="both"/>
        <w:ind w:right="160" w:firstLine="891"/>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March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April 1, 2016, the Company’s Board of Directors declared normal monthly distributions for April, May, and June of 2016 as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840" w:type="dxa"/>
            <w:vAlign w:val="bottom"/>
            <w:gridSpan w:val="2"/>
          </w:tcPr>
          <w:p>
            <w:pPr>
              <w:ind w:left="820"/>
              <w:spacing w:after="0"/>
              <w:rPr>
                <w:sz w:val="20"/>
                <w:szCs w:val="20"/>
                <w:color w:val="auto"/>
              </w:rPr>
            </w:pPr>
            <w:r>
              <w:rPr>
                <w:rFonts w:ascii="Arial" w:cs="Arial" w:eastAsia="Arial" w:hAnsi="Arial"/>
                <w:sz w:val="18"/>
                <w:szCs w:val="18"/>
                <w:b w:val="1"/>
                <w:bCs w:val="1"/>
                <w:color w:val="auto"/>
              </w:rPr>
              <w:t>Date Declared</w:t>
            </w:r>
          </w:p>
        </w:tc>
        <w:tc>
          <w:tcPr>
            <w:tcW w:w="2160" w:type="dxa"/>
            <w:vAlign w:val="bottom"/>
          </w:tcPr>
          <w:p>
            <w:pPr>
              <w:jc w:val="center"/>
              <w:ind w:left="330"/>
              <w:spacing w:after="0"/>
              <w:rPr>
                <w:sz w:val="20"/>
                <w:szCs w:val="20"/>
                <w:color w:val="auto"/>
              </w:rPr>
            </w:pPr>
            <w:r>
              <w:rPr>
                <w:rFonts w:ascii="Arial" w:cs="Arial" w:eastAsia="Arial" w:hAnsi="Arial"/>
                <w:sz w:val="18"/>
                <w:szCs w:val="18"/>
                <w:b w:val="1"/>
                <w:bCs w:val="1"/>
                <w:color w:val="auto"/>
                <w:w w:val="92"/>
              </w:rPr>
              <w:t>Record Date</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2"/>
              </w:rPr>
              <w:t>Payment Date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ind w:left="120"/>
              <w:spacing w:after="0"/>
              <w:rPr>
                <w:sz w:val="20"/>
                <w:szCs w:val="20"/>
                <w:color w:val="auto"/>
              </w:rPr>
            </w:pPr>
            <w:r>
              <w:rPr>
                <w:rFonts w:ascii="Arial" w:cs="Arial" w:eastAsia="Arial" w:hAnsi="Arial"/>
                <w:sz w:val="18"/>
                <w:szCs w:val="18"/>
                <w:b w:val="1"/>
                <w:bCs w:val="1"/>
                <w:color w:val="auto"/>
              </w:rPr>
              <w:t>Distributions per Share</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2016</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5"/>
              </w:rPr>
              <w:t>April 22, 2016</w:t>
            </w: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28, 2016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2160" w:type="dxa"/>
            <w:vAlign w:val="bottom"/>
          </w:tcPr>
          <w:p>
            <w:pPr>
              <w:jc w:val="center"/>
              <w:ind w:left="330"/>
              <w:spacing w:after="0"/>
              <w:rPr>
                <w:sz w:val="20"/>
                <w:szCs w:val="20"/>
                <w:color w:val="auto"/>
              </w:rPr>
            </w:pPr>
            <w:r>
              <w:rPr>
                <w:rFonts w:ascii="Arial" w:cs="Arial" w:eastAsia="Arial" w:hAnsi="Arial"/>
                <w:sz w:val="18"/>
                <w:szCs w:val="18"/>
                <w:color w:val="auto"/>
                <w:w w:val="93"/>
              </w:rPr>
              <w:t>May 23, 2016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3"/>
              </w:rPr>
              <w:t>May 30, 2016</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1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9"/>
              </w:rPr>
              <w:t>June 21, 2016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29, 2016</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648"/>
        </w:trPr>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w:t>
            </w:r>
          </w:p>
        </w:tc>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58" w:lineRule="exact"/>
        <w:rPr>
          <w:sz w:val="20"/>
          <w:szCs w:val="20"/>
          <w:color w:val="auto"/>
        </w:rPr>
      </w:pPr>
    </w:p>
    <w:p>
      <w:pPr>
        <w:jc w:val="both"/>
        <w:ind w:right="620" w:firstLine="881"/>
        <w:spacing w:after="0" w:line="264"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on our performance or financial condition. The forward-looking statements contained in this Quarterly Report on Form 10-Q involve risks and uncertainties, including statements as to:</w:t>
      </w:r>
    </w:p>
    <w:p>
      <w:pPr>
        <w:spacing w:after="0" w:line="181" w:lineRule="exact"/>
        <w:rPr>
          <w:sz w:val="20"/>
          <w:szCs w:val="20"/>
          <w:color w:val="auto"/>
        </w:rPr>
      </w:pPr>
    </w:p>
    <w:p>
      <w:pPr>
        <w:ind w:left="1960" w:hanging="331"/>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960" w:right="40" w:hanging="331"/>
        <w:spacing w:after="0" w:line="277" w:lineRule="auto"/>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contraction of available credit and/or an inability to access the equity markets could impair our lending and investment activities;</w:t>
      </w:r>
    </w:p>
    <w:p>
      <w:pPr>
        <w:spacing w:after="0" w:line="248" w:lineRule="exact"/>
        <w:rPr>
          <w:rFonts w:ascii="Arial" w:cs="Arial" w:eastAsia="Arial" w:hAnsi="Arial"/>
          <w:sz w:val="16"/>
          <w:szCs w:val="16"/>
          <w:color w:val="auto"/>
        </w:rPr>
      </w:pPr>
    </w:p>
    <w:p>
      <w:pPr>
        <w:ind w:left="1960" w:hanging="331"/>
        <w:spacing w:after="0"/>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960" w:hanging="331"/>
        <w:spacing w:after="0"/>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“Risk Factors” and elsewhere in this Quarterly Report on Form 10-Q.</w:t>
      </w:r>
    </w:p>
    <w:p>
      <w:pPr>
        <w:spacing w:after="0" w:line="237"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our Annual Report on Form 10-K.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881"/>
        <w:spacing w:after="0" w:line="276" w:lineRule="auto"/>
        <w:rPr>
          <w:sz w:val="20"/>
          <w:szCs w:val="20"/>
          <w:color w:val="auto"/>
        </w:rPr>
      </w:pPr>
      <w:r>
        <w:rPr>
          <w:rFonts w:ascii="Arial" w:cs="Arial" w:eastAsia="Arial" w:hAnsi="Arial"/>
          <w:sz w:val="17"/>
          <w:szCs w:val="17"/>
          <w:color w:val="auto"/>
        </w:rPr>
        <w:t>We are a Maryland corporation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73" w:lineRule="exact"/>
        <w:rPr>
          <w:sz w:val="20"/>
          <w:szCs w:val="20"/>
          <w:color w:val="auto"/>
        </w:rPr>
      </w:pPr>
    </w:p>
    <w:p>
      <w:pPr>
        <w:ind w:right="60" w:firstLine="881"/>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earnings before interest, tax, depreciation, and amortization (“EBITDA”).</w:t>
      </w:r>
    </w:p>
    <w:p>
      <w:pPr>
        <w:spacing w:after="0" w:line="171"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We invest in mezzanine and senior debt investments that are secured by subordinated liens on all of our borrowers’ assets and, to a lesser extent, in senior, cash flow-based “unitranche” securities. Many of our debt investments are coupled with equity interests, whether in the form of detachable “penny” warrants or equity co-investments made pari-passu with our borrowers’ financial sponsors.</w:t>
      </w:r>
    </w:p>
    <w:p>
      <w:pPr>
        <w:spacing w:after="0" w:line="181"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middle-market companies.</w:t>
      </w:r>
    </w:p>
    <w:p>
      <w:pPr>
        <w:spacing w:after="0" w:line="178"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March 31, 2016, the Company had 15,799,635 shares of common stock outstanding.</w:t>
      </w:r>
    </w:p>
    <w:p>
      <w:pPr>
        <w:spacing w:after="0" w:line="167"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debt payable. We have two SBIC-licensed subsidiaries that have elected to be regulated as BDCs under the 1940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The accompanying unaudited financial statements have been prepared on the accrual basis of accounting in conformity with United States generally accepted accounting principles (“U.S. GAAP”) for interim financial information and pursuant to the requirements for reporting on Form 10-Q and Article 10 and Article 6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periods,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2015, filed with the SEC on March 8, 2016.</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firstLine="881"/>
        <w:spacing w:after="0" w:line="302" w:lineRule="auto"/>
        <w:rPr>
          <w:sz w:val="20"/>
          <w:szCs w:val="20"/>
          <w:color w:val="auto"/>
        </w:rPr>
      </w:pPr>
      <w:r>
        <w:rPr>
          <w:rFonts w:ascii="Arial" w:cs="Arial" w:eastAsia="Arial" w:hAnsi="Arial"/>
          <w:sz w:val="16"/>
          <w:szCs w:val="16"/>
          <w:color w:val="auto"/>
        </w:rPr>
        <w:t>The Company’s financial position as of March 31, 2016 is presented on a consolidated basis. The effects of all intercompany transactions between the Company and its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4"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 xml:space="preserve">The Company is considered an investment company as defined in Accounting Standards Codification (“ASC”) Topic 946 </w:t>
      </w:r>
      <w:r>
        <w:rPr>
          <w:rFonts w:ascii="Arial" w:cs="Arial" w:eastAsia="Arial" w:hAnsi="Arial"/>
          <w:sz w:val="18"/>
          <w:szCs w:val="18"/>
          <w:i w:val="1"/>
          <w:iCs w:val="1"/>
          <w:color w:val="auto"/>
        </w:rPr>
        <w:t>– Financial Services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Companies </w:t>
      </w:r>
      <w:r>
        <w:rPr>
          <w:rFonts w:ascii="Arial" w:cs="Arial" w:eastAsia="Arial" w:hAnsi="Arial"/>
          <w:sz w:val="18"/>
          <w:szCs w:val="18"/>
          <w:color w:val="auto"/>
        </w:rPr>
        <w:t>(“ASC Topic 946”) . Accordingly, the required disclosures as outlined in the Accounting Standards Update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right="60" w:firstLine="881"/>
        <w:spacing w:after="0" w:line="273" w:lineRule="auto"/>
        <w:rPr>
          <w:sz w:val="20"/>
          <w:szCs w:val="20"/>
          <w:color w:val="auto"/>
        </w:rPr>
      </w:pPr>
      <w:r>
        <w:rPr>
          <w:rFonts w:ascii="Arial" w:cs="Arial" w:eastAsia="Arial" w:hAnsi="Arial"/>
          <w:sz w:val="17"/>
          <w:szCs w:val="17"/>
          <w:color w:val="auto"/>
        </w:rPr>
        <w:t>As provided under Regulation S-X and ASC Topic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 The Company does not consolidate its interest in Capitala Senior Liquid Loan Fund I, LLC (“CSLLF”) because the investment is not considered a substantially wholly owned investment company subsidiary. Further, CSLLF is a joint venture for which shared power exists relating to the decisions that most significantly impact the economic performance of the entity. See Note 4 to the consolidated financial statements for description of the Company’s investment in CSLLF.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fees to our Investment Advisor, our allocable portion of overhead and other expenses incurred by our Administrator in performing its obligations under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In the preparation of our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 and assumptions we make, actual results could materially differ from those estimates under different assumptions or conditions. A discussion of our critical accounting policies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ind w:right="240" w:firstLine="881"/>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 Valuations based on quoted prices in markets that are not active or for which all significant inputs are observable, either directly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indirectly.</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4" w:name="page45"/>
    <w:bookmarkEnd w:id="44"/>
    <w:p>
      <w:pPr>
        <w:ind w:right="20" w:firstLine="881"/>
        <w:spacing w:after="0" w:line="259" w:lineRule="auto"/>
        <w:rPr>
          <w:sz w:val="20"/>
          <w:szCs w:val="20"/>
          <w:color w:val="auto"/>
        </w:rPr>
      </w:pPr>
      <w:r>
        <w:rPr>
          <w:rFonts w:ascii="Arial" w:cs="Arial" w:eastAsia="Arial" w:hAnsi="Arial"/>
          <w:sz w:val="18"/>
          <w:szCs w:val="18"/>
          <w:color w:val="auto"/>
        </w:rPr>
        <w:t>As a practical expedient, the Company uses net asset value (“NAV”) as the fair value for CSLLF. CSLLF records its underlying investments at fair value on a daily basis utilizing pricing information from third-party sources. In the event pricing is not available or an investment is considered illiquid, management may perform model-based analytical valuations in instances where an investment is considered illiquid or for which pricing is not available from third-party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881"/>
        <w:spacing w:after="0" w:line="289"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67"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right="60" w:firstLine="881"/>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jc w:val="both"/>
        <w:ind w:right="360" w:firstLine="881"/>
        <w:spacing w:after="0" w:line="264" w:lineRule="auto"/>
        <w:rPr>
          <w:sz w:val="20"/>
          <w:szCs w:val="20"/>
          <w:color w:val="auto"/>
        </w:rPr>
      </w:pPr>
      <w:r>
        <w:rPr>
          <w:rFonts w:ascii="Arial" w:cs="Arial" w:eastAsia="Arial" w:hAnsi="Arial"/>
          <w:sz w:val="18"/>
          <w:szCs w:val="18"/>
          <w:color w:val="auto"/>
        </w:rPr>
        <w:t>The asset approach values an investment based on the greater of the enterprise value or the underlying collateral securing the investment. See discussion of determining enterprise value above. This approach is used when the Company has reason to believe that it will not collect all principal and interest in accordance with the contractual terms of the debt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ind w:right="100" w:firstLine="881"/>
        <w:spacing w:after="0" w:line="271"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Generally, when interest and/or principal payments on a loan become 90 days or more past due, or if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right="20" w:firstLine="881"/>
        <w:spacing w:after="0" w:line="272"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Dividend income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ind w:right="60" w:firstLine="881"/>
        <w:spacing w:after="0" w:line="308" w:lineRule="auto"/>
        <w:rPr>
          <w:sz w:val="20"/>
          <w:szCs w:val="20"/>
          <w:color w:val="auto"/>
        </w:rPr>
      </w:pPr>
      <w:r>
        <w:rPr>
          <w:rFonts w:ascii="Arial" w:cs="Arial" w:eastAsia="Arial" w:hAnsi="Arial"/>
          <w:sz w:val="17"/>
          <w:szCs w:val="17"/>
          <w:i w:val="1"/>
          <w:iCs w:val="1"/>
          <w:color w:val="auto"/>
        </w:rPr>
        <w:t xml:space="preserve">Original issue discount/premiums: </w:t>
      </w:r>
      <w:r>
        <w:rPr>
          <w:rFonts w:ascii="Arial" w:cs="Arial" w:eastAsia="Arial" w:hAnsi="Arial"/>
          <w:sz w:val="17"/>
          <w:szCs w:val="17"/>
          <w:color w:val="auto"/>
        </w:rPr>
        <w:t>Discounts/premiums received to par on loans purchased are capitalized and accreted or amortized into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life of the loan. Any remaining discount/premium is accreted or amortized into income upon prepayment of the loan.</w:t>
      </w:r>
    </w:p>
    <w:p>
      <w:pPr>
        <w:spacing w:after="0" w:line="147"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ind w:right="40" w:firstLine="881"/>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166"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2016 and December 31, 2015, there were no uncertain tax positions.</w:t>
      </w:r>
    </w:p>
    <w:p>
      <w:pPr>
        <w:spacing w:after="0" w:line="193"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right="180" w:firstLine="881"/>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March 31, 2016 and December 31, 2015.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ind w:right="220" w:firstLine="881"/>
        <w:spacing w:after="0" w:line="312" w:lineRule="auto"/>
        <w:rPr>
          <w:sz w:val="20"/>
          <w:szCs w:val="20"/>
          <w:color w:val="auto"/>
        </w:rPr>
      </w:pPr>
      <w:r>
        <w:rPr>
          <w:rFonts w:ascii="Arial" w:cs="Arial" w:eastAsia="Arial" w:hAnsi="Arial"/>
          <w:sz w:val="16"/>
          <w:szCs w:val="16"/>
          <w:color w:val="auto"/>
        </w:rPr>
        <w:t>The Company’s activities from commencement of operations remain subject to examination by U.S. federal, state, and local tax authorities. No interest expense or penalties have been assessed as of March 31, 2016 and December 31, 2015. If the Company were required to recognize interest and penalties, if any, related to unrecognized tax benefits this would be recognized as income tax expense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March 31, 2016, our portfolio consisted of investments in 56 portfolio companies with a fair value of approximately $599.7 million.</w:t>
      </w:r>
    </w:p>
    <w:p>
      <w:pPr>
        <w:spacing w:after="0" w:line="237"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During the three months ended March 31, 2016, we made approximately $27.5 million of investments and had approximately $10.2 million in repayments resulting in net investments of approximately $17.3 million for the period. During the three months ended March 31, 2015, we made approximately $67.2 million of investments and had approximately $34.6 million in repayments resulting in net investments of approximately $32.6 million for the period.</w:t>
      </w:r>
    </w:p>
    <w:p>
      <w:pPr>
        <w:spacing w:after="0" w:line="187" w:lineRule="exact"/>
        <w:rPr>
          <w:sz w:val="20"/>
          <w:szCs w:val="20"/>
          <w:color w:val="auto"/>
        </w:rPr>
      </w:pPr>
    </w:p>
    <w:p>
      <w:pPr>
        <w:ind w:right="160" w:firstLine="881"/>
        <w:spacing w:after="0" w:line="276" w:lineRule="auto"/>
        <w:rPr>
          <w:sz w:val="20"/>
          <w:szCs w:val="20"/>
          <w:color w:val="auto"/>
        </w:rPr>
      </w:pPr>
      <w:r>
        <w:rPr>
          <w:rFonts w:ascii="Arial" w:cs="Arial" w:eastAsia="Arial" w:hAnsi="Arial"/>
          <w:sz w:val="17"/>
          <w:szCs w:val="17"/>
          <w:color w:val="auto"/>
        </w:rPr>
        <w:t>As of March 31, 2016, our average portfolio company investment and our largest portfolio company investment at amortized cost and fair value was approximately $10.5 million and $10.7 million, and $28.3 million and $28.7 million, respectively. As of March 31, 2016, the Company had approximately $14.3 million of cash and cash equivalents. As of December 31, 2015, our average portfolio company investment and our largest portfolio company investment at amortized cost and fair value was approximately $10.0 million and $10.4 million, and $28.3 million and $28.3 million, respectively. As of December 31, 2015, the Company had approximately $34.1 million of cash and cash equivalents.</w:t>
      </w:r>
    </w:p>
    <w:p>
      <w:pPr>
        <w:spacing w:after="0" w:line="173"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As of March 31, 2016, our debt investment portfolio, which represented 80.6% of our total portfolio, had a weighted average yield of approximately 12.4%, exclusive of the impact of our non-accrual debt investments. As of March 31, 2016, 60.7% of our debt investment portfolio was bearing a fixed rate of interest. As of December 31, 2015, our debt investment portfolio, which represented 80.2% of our total portfolio, had a weighted average yield of approximately 12.3%. exclusive of the impact of our non-accrual debt investments. As of December 31, 2015, 65.5% of our debt investment portfolio was bearing a fixed rate of interest.</w:t>
      </w:r>
    </w:p>
    <w:p>
      <w:pPr>
        <w:spacing w:after="0" w:line="188"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March 31, 2016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Investments at</w:t>
            </w:r>
          </w:p>
        </w:tc>
        <w:tc>
          <w:tcPr>
            <w:tcW w:w="20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Percentage of</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Investments at</w:t>
            </w:r>
          </w:p>
        </w:tc>
        <w:tc>
          <w:tcPr>
            <w:tcW w:w="1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3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Amortized Cost</w:t>
            </w:r>
          </w:p>
        </w:tc>
        <w:tc>
          <w:tcPr>
            <w:tcW w:w="2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Portfolio</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230,034</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217,164</w:t>
            </w:r>
          </w:p>
        </w:tc>
        <w:tc>
          <w:tcPr>
            <w:tcW w:w="2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Subordinated Debt</w:t>
            </w:r>
          </w:p>
        </w:tc>
        <w:tc>
          <w:tcPr>
            <w:tcW w:w="16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283,579</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266,224</w:t>
            </w:r>
          </w:p>
        </w:tc>
        <w:tc>
          <w:tcPr>
            <w:tcW w:w="200" w:type="dxa"/>
            <w:vAlign w:val="bottom"/>
          </w:tcPr>
          <w:p>
            <w:pPr>
              <w:spacing w:after="0"/>
              <w:rPr>
                <w:sz w:val="18"/>
                <w:szCs w:val="18"/>
                <w:color w:val="auto"/>
              </w:rPr>
            </w:pPr>
          </w:p>
        </w:tc>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43.4</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53,207</w:t>
            </w:r>
          </w:p>
        </w:tc>
        <w:tc>
          <w:tcPr>
            <w:tcW w:w="2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97,843</w:t>
            </w:r>
          </w:p>
        </w:tc>
        <w:tc>
          <w:tcPr>
            <w:tcW w:w="1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Capitala Senior Liquid Loan Fund I,</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LLC</w:t>
            </w:r>
          </w:p>
        </w:tc>
        <w:tc>
          <w:tcPr>
            <w:tcW w:w="16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18,510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14,346</w:t>
            </w:r>
          </w:p>
        </w:tc>
        <w:tc>
          <w:tcPr>
            <w:tcW w:w="2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14,346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601,166</w:t>
            </w:r>
          </w:p>
        </w:tc>
        <w:tc>
          <w:tcPr>
            <w:tcW w:w="22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614,087</w:t>
            </w:r>
          </w:p>
        </w:tc>
        <w:tc>
          <w:tcPr>
            <w:tcW w:w="2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2015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5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Investments at</w:t>
            </w:r>
          </w:p>
        </w:tc>
        <w:tc>
          <w:tcPr>
            <w:tcW w:w="20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Percentage of</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Investments at</w:t>
            </w:r>
          </w:p>
        </w:tc>
        <w:tc>
          <w:tcPr>
            <w:tcW w:w="19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7"/>
              </w:rPr>
              <w:t>Percentage of</w:t>
            </w:r>
          </w:p>
        </w:tc>
        <w:tc>
          <w:tcPr>
            <w:tcW w:w="580" w:type="dxa"/>
            <w:vAlign w:val="bottom"/>
          </w:tcPr>
          <w:p>
            <w:pPr>
              <w:spacing w:after="0"/>
              <w:rPr>
                <w:sz w:val="18"/>
                <w:szCs w:val="18"/>
                <w:color w:val="auto"/>
              </w:rPr>
            </w:pPr>
          </w:p>
        </w:tc>
      </w:tr>
      <w:tr>
        <w:trPr>
          <w:trHeight w:val="234"/>
        </w:trPr>
        <w:tc>
          <w:tcPr>
            <w:tcW w:w="3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Amortized Cost</w:t>
            </w:r>
          </w:p>
        </w:tc>
        <w:tc>
          <w:tcPr>
            <w:tcW w:w="2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Portfolio</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226,973</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218,660</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80" w:type="dxa"/>
            <w:vAlign w:val="bottom"/>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Subordinated Debt</w:t>
            </w:r>
          </w:p>
        </w:tc>
        <w:tc>
          <w:tcPr>
            <w:tcW w:w="16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268,899</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256,278</w:t>
            </w:r>
          </w:p>
        </w:tc>
        <w:tc>
          <w:tcPr>
            <w:tcW w:w="200" w:type="dxa"/>
            <w:vAlign w:val="bottom"/>
          </w:tcPr>
          <w:p>
            <w:pPr>
              <w:spacing w:after="0"/>
              <w:rPr>
                <w:sz w:val="18"/>
                <w:szCs w:val="18"/>
                <w:color w:val="auto"/>
              </w:rPr>
            </w:pPr>
          </w:p>
        </w:tc>
        <w:tc>
          <w:tcPr>
            <w:tcW w:w="1900" w:type="dxa"/>
            <w:vAlign w:val="bottom"/>
            <w:gridSpan w:val="2"/>
          </w:tcPr>
          <w:p>
            <w:pPr>
              <w:jc w:val="right"/>
              <w:ind w:right="70"/>
              <w:spacing w:after="0"/>
              <w:rPr>
                <w:sz w:val="20"/>
                <w:szCs w:val="20"/>
                <w:color w:val="auto"/>
              </w:rPr>
            </w:pPr>
            <w:r>
              <w:rPr>
                <w:rFonts w:ascii="Arial" w:cs="Arial" w:eastAsia="Arial" w:hAnsi="Arial"/>
                <w:sz w:val="18"/>
                <w:szCs w:val="18"/>
                <w:color w:val="auto"/>
              </w:rPr>
              <w:t>40.9</w:t>
            </w:r>
          </w:p>
        </w:tc>
        <w:tc>
          <w:tcPr>
            <w:tcW w:w="5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54,315</w:t>
            </w:r>
          </w:p>
        </w:tc>
        <w:tc>
          <w:tcPr>
            <w:tcW w:w="2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99,651</w:t>
            </w:r>
          </w:p>
        </w:tc>
        <w:tc>
          <w:tcPr>
            <w:tcW w:w="1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c>
          <w:tcPr>
            <w:tcW w:w="580" w:type="dxa"/>
            <w:vAlign w:val="bottom"/>
          </w:tcPr>
          <w:p>
            <w:pPr>
              <w:spacing w:after="0"/>
              <w:rPr>
                <w:sz w:val="18"/>
                <w:szCs w:val="18"/>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Capitala Senior Liquid Loan Fund I,</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LLC</w:t>
            </w:r>
          </w:p>
        </w:tc>
        <w:tc>
          <w:tcPr>
            <w:tcW w:w="16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17,867</w:t>
            </w:r>
          </w:p>
        </w:tc>
        <w:tc>
          <w:tcPr>
            <w:tcW w:w="190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20"/>
                <w:szCs w:val="20"/>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34,105</w:t>
            </w:r>
          </w:p>
        </w:tc>
        <w:tc>
          <w:tcPr>
            <w:tcW w:w="2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34,105</w:t>
            </w:r>
          </w:p>
        </w:tc>
        <w:tc>
          <w:tcPr>
            <w:tcW w:w="1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19"/>
                <w:szCs w:val="19"/>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604,292</w:t>
            </w:r>
          </w:p>
        </w:tc>
        <w:tc>
          <w:tcPr>
            <w:tcW w:w="2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626,561</w:t>
            </w:r>
          </w:p>
        </w:tc>
        <w:tc>
          <w:tcPr>
            <w:tcW w:w="2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3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7" w:name="page48"/>
    <w:bookmarkEnd w:id="47"/>
    <w:p>
      <w:pPr>
        <w:ind w:left="88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March 31, 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December 31, 2015</w:t>
            </w:r>
          </w:p>
        </w:tc>
      </w:tr>
      <w:tr>
        <w:trPr>
          <w:trHeight w:val="191"/>
        </w:trPr>
        <w:tc>
          <w:tcPr>
            <w:tcW w:w="4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Investments at</w:t>
            </w:r>
          </w:p>
        </w:tc>
        <w:tc>
          <w:tcPr>
            <w:tcW w:w="146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48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6"/>
                <w:szCs w:val="16"/>
                <w:color w:val="auto"/>
              </w:rPr>
            </w:pPr>
          </w:p>
        </w:tc>
      </w:tr>
      <w:tr>
        <w:trPr>
          <w:trHeight w:val="234"/>
        </w:trPr>
        <w:tc>
          <w:tcPr>
            <w:tcW w:w="4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24,280</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30,957</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27,681</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4.7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29,417</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26,230</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Consumer Electronics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28,300</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28,300</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Retail Display &amp; Security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20,626</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21,917</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20,379</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27,244</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4.6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IT Government Contracting</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Oil &amp; Gas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19,870</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31,472</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5.3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18,987</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18,299</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Footwear Retail</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18,740</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18,682</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Investment Fund</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18,510</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17,867</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Sales &amp; Marketing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17,749</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17,858</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Food Product Manufacturer</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17,026</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17,436</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Printing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16,432</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17,088</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Bakery Supplies Distributor</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16,150</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16,146</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Professional and Personal Digital Imaging</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Farming</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14,950</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15,408</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Home Décor Manufacturer</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14,614</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14,614</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 Rental</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13,161</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13,181</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Bowling Products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12,843</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12,124</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Textile Equipment Manufacturer</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12,661</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12,854</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Construction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12,500</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11,908</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Healthcare Management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11,461</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11,525</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11,038</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Energy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10,500</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10,500</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9,750</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Data Processing &amp; Digital Marketing</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8,979</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10,206</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Dental Practice Management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8,452</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10,075</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Conglomerate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7,360</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7,321</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Home Repair Parts Manufacturer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5,401</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Produce Distribution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5,182</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5,182</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Crane Rental and Sales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5,032</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Satellite Communications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4,935</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4,932</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Industrial Specialty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4,881</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Specialty Clothing</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4,438</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4,696</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4,382</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Automotive Chemicals &amp; Lubricants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4,159</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3,981</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Advertising &amp; Marketing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3,926</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Industrial Manufacturing</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3,558</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3,582</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Fuel Transportation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4,425</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QSR Franchisor</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3,373</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3,342</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Replacement Window Manufacturer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3,196</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Disaster Recovery Homebuilding</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Specialty Defense Contractor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Entertainment</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986</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986</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Western Wear Retail</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In-Home Healthcare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Household Product Manufacturer</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Scrap Metal Recycler</w:t>
            </w:r>
          </w:p>
        </w:tc>
        <w:tc>
          <w:tcPr>
            <w:tcW w:w="1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3,106</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8" w:name="page49"/>
    <w:bookmarkEnd w:id="48"/>
    <w:p>
      <w:pPr>
        <w:ind w:right="100" w:firstLine="881"/>
        <w:spacing w:after="0" w:line="297" w:lineRule="auto"/>
        <w:rPr>
          <w:sz w:val="20"/>
          <w:szCs w:val="20"/>
          <w:color w:val="auto"/>
        </w:rPr>
      </w:pPr>
      <w:r>
        <w:rPr>
          <w:rFonts w:ascii="Arial" w:cs="Arial" w:eastAsia="Arial" w:hAnsi="Arial"/>
          <w:sz w:val="16"/>
          <w:szCs w:val="16"/>
          <w:color w:val="auto"/>
        </w:rPr>
        <w:t>Recent declines in oil prices have had an impact on the energy industry and have contributed towards the volatility in the leverage loan market during 2016 and 2015. The events have had an impact on our investments in the energy sector. As of March 31, 2016 and December 31, 2015, we had five investments within the energy sector, representing approximately 6.3% and 8.8%, respectively, of total investment portfolio fair value. As of March 31, 2016 and December 31, 2015, fair values of our energy investments were approximately 51.0% and 70.0% of cost, respectively. Management continues to closely monitor each of these investments, maintaining frequent dialogue with company management and, where appropriate, sponsors.</w:t>
      </w:r>
    </w:p>
    <w:p>
      <w:pPr>
        <w:spacing w:after="0" w:line="158"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March 31, 2016 and December 31, 2015 were made in portfolio companies located in the United States.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March 31, 2016 and December 31, 2015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20" w:type="dxa"/>
            <w:vAlign w:val="bottom"/>
            <w:gridSpan w:val="4"/>
          </w:tcPr>
          <w:p>
            <w:pPr>
              <w:jc w:val="right"/>
              <w:ind w:right="1410"/>
              <w:spacing w:after="0"/>
              <w:rPr>
                <w:sz w:val="20"/>
                <w:szCs w:val="20"/>
                <w:color w:val="auto"/>
              </w:rPr>
            </w:pPr>
            <w:r>
              <w:rPr>
                <w:rFonts w:ascii="Arial" w:cs="Arial" w:eastAsia="Arial" w:hAnsi="Arial"/>
                <w:sz w:val="18"/>
                <w:szCs w:val="18"/>
                <w:b w:val="1"/>
                <w:bCs w:val="1"/>
                <w:color w:val="auto"/>
              </w:rPr>
              <w:t>March 31, 2016</w:t>
            </w:r>
          </w:p>
        </w:tc>
        <w:tc>
          <w:tcPr>
            <w:tcW w:w="200" w:type="dxa"/>
            <w:vAlign w:val="bottom"/>
          </w:tcPr>
          <w:p>
            <w:pPr>
              <w:spacing w:after="0"/>
              <w:rPr>
                <w:sz w:val="20"/>
                <w:szCs w:val="20"/>
                <w:color w:val="auto"/>
              </w:rPr>
            </w:pPr>
          </w:p>
        </w:tc>
        <w:tc>
          <w:tcPr>
            <w:tcW w:w="3640" w:type="dxa"/>
            <w:vAlign w:val="bottom"/>
            <w:gridSpan w:val="5"/>
          </w:tcPr>
          <w:p>
            <w:pPr>
              <w:jc w:val="right"/>
              <w:ind w:right="1280"/>
              <w:spacing w:after="0"/>
              <w:rPr>
                <w:sz w:val="20"/>
                <w:szCs w:val="20"/>
                <w:color w:val="auto"/>
              </w:rPr>
            </w:pPr>
            <w:r>
              <w:rPr>
                <w:rFonts w:ascii="Arial" w:cs="Arial" w:eastAsia="Arial" w:hAnsi="Arial"/>
                <w:sz w:val="18"/>
                <w:szCs w:val="18"/>
                <w:b w:val="1"/>
                <w:bCs w:val="1"/>
                <w:color w:val="auto"/>
              </w:rPr>
              <w:t>December 31, 2015</w:t>
            </w:r>
          </w:p>
        </w:tc>
      </w:tr>
      <w:tr>
        <w:trPr>
          <w:trHeight w:val="191"/>
        </w:trPr>
        <w:tc>
          <w:tcPr>
            <w:tcW w:w="30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5"/>
              </w:rPr>
              <w:t>Investments at</w:t>
            </w:r>
          </w:p>
        </w:tc>
        <w:tc>
          <w:tcPr>
            <w:tcW w:w="172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Percentage of</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Investments at</w:t>
            </w:r>
          </w:p>
        </w:tc>
        <w:tc>
          <w:tcPr>
            <w:tcW w:w="174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gridSpan w:val="2"/>
          </w:tcPr>
          <w:p>
            <w:pPr>
              <w:spacing w:after="0"/>
              <w:rPr>
                <w:sz w:val="16"/>
                <w:szCs w:val="16"/>
                <w:color w:val="auto"/>
              </w:rPr>
            </w:pPr>
          </w:p>
        </w:tc>
      </w:tr>
      <w:tr>
        <w:trPr>
          <w:trHeight w:val="234"/>
        </w:trPr>
        <w:tc>
          <w:tcPr>
            <w:tcW w:w="30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 Portfolio</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315,885</w:t>
            </w: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307,056</w:t>
            </w:r>
          </w:p>
        </w:tc>
        <w:tc>
          <w:tcPr>
            <w:tcW w:w="2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Northeast</w:t>
            </w:r>
          </w:p>
        </w:tc>
        <w:tc>
          <w:tcPr>
            <w:tcW w:w="2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96,112</w:t>
            </w:r>
          </w:p>
        </w:tc>
        <w:tc>
          <w:tcPr>
            <w:tcW w:w="1980" w:type="dxa"/>
            <w:vAlign w:val="bottom"/>
            <w:gridSpan w:val="2"/>
          </w:tcPr>
          <w:p>
            <w:pPr>
              <w:jc w:val="right"/>
              <w:ind w:right="17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102,020</w:t>
            </w:r>
          </w:p>
        </w:tc>
        <w:tc>
          <w:tcPr>
            <w:tcW w:w="200" w:type="dxa"/>
            <w:vAlign w:val="bottom"/>
          </w:tcPr>
          <w:p>
            <w:pPr>
              <w:spacing w:after="0"/>
              <w:rPr>
                <w:sz w:val="18"/>
                <w:szCs w:val="18"/>
                <w:color w:val="auto"/>
              </w:rPr>
            </w:pPr>
          </w:p>
        </w:tc>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17.2</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95,381</w:t>
            </w:r>
          </w:p>
        </w:tc>
        <w:tc>
          <w:tcPr>
            <w:tcW w:w="1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87,911</w:t>
            </w:r>
          </w:p>
        </w:tc>
        <w:tc>
          <w:tcPr>
            <w:tcW w:w="2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West</w:t>
            </w:r>
          </w:p>
        </w:tc>
        <w:tc>
          <w:tcPr>
            <w:tcW w:w="2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81,960</w:t>
            </w:r>
          </w:p>
        </w:tc>
        <w:tc>
          <w:tcPr>
            <w:tcW w:w="1980" w:type="dxa"/>
            <w:vAlign w:val="bottom"/>
            <w:gridSpan w:val="2"/>
          </w:tcPr>
          <w:p>
            <w:pPr>
              <w:jc w:val="right"/>
              <w:ind w:right="17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85,414</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14.4</w:t>
            </w: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10,403</w:t>
            </w:r>
          </w:p>
        </w:tc>
        <w:tc>
          <w:tcPr>
            <w:tcW w:w="1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599,741</w:t>
            </w:r>
          </w:p>
        </w:tc>
        <w:tc>
          <w:tcPr>
            <w:tcW w:w="22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592,456</w:t>
            </w:r>
          </w:p>
        </w:tc>
        <w:tc>
          <w:tcPr>
            <w:tcW w:w="2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881"/>
        <w:spacing w:after="0" w:line="277" w:lineRule="auto"/>
        <w:rPr>
          <w:sz w:val="20"/>
          <w:szCs w:val="20"/>
          <w:color w:val="auto"/>
        </w:rPr>
      </w:pPr>
      <w:r>
        <w:rPr>
          <w:rFonts w:ascii="Arial" w:cs="Arial" w:eastAsia="Arial" w:hAnsi="Arial"/>
          <w:sz w:val="18"/>
          <w:szCs w:val="18"/>
          <w:color w:val="auto"/>
        </w:rPr>
        <w:t>In addition to various risk management tools, our Investment Advisor also uses an investment rating system to characterize and monitor our expected level of return on each investment in our portfolio.</w:t>
      </w:r>
    </w:p>
    <w:p>
      <w:pPr>
        <w:spacing w:after="0" w:line="170"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ectPr>
          <w:pgSz w:w="11900" w:h="16838" w:orient="portrait"/>
          <w:cols w:equalWidth="0" w:num="1">
            <w:col w:w="11420"/>
          </w:cols>
          <w:pgMar w:left="240" w:top="909" w:right="239" w:bottom="1440" w:gutter="0" w:footer="0" w:header="0"/>
        </w:sectPr>
      </w:pPr>
    </w:p>
    <w:p>
      <w:pPr>
        <w:spacing w:after="0" w:line="221" w:lineRule="exact"/>
        <w:rPr>
          <w:sz w:val="20"/>
          <w:szCs w:val="20"/>
          <w:color w:val="auto"/>
        </w:rPr>
      </w:pPr>
    </w:p>
    <w:p>
      <w:pPr>
        <w:jc w:val="center"/>
        <w:ind w:right="404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404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640"/>
        <w:spacing w:after="0"/>
        <w:rPr>
          <w:sz w:val="20"/>
          <w:szCs w:val="20"/>
          <w:color w:val="auto"/>
        </w:rPr>
      </w:pPr>
      <w:r>
        <w:rPr>
          <w:rFonts w:ascii="Arial" w:cs="Arial" w:eastAsia="Arial" w:hAnsi="Arial"/>
          <w:sz w:val="16"/>
          <w:szCs w:val="16"/>
          <w:b w:val="1"/>
          <w:bCs w:val="1"/>
          <w:color w:val="auto"/>
        </w:rPr>
        <w:t>Definition</w:t>
      </w:r>
    </w:p>
    <w:p>
      <w:pPr>
        <w:spacing w:after="0" w:line="50" w:lineRule="exact"/>
        <w:rPr>
          <w:sz w:val="20"/>
          <w:szCs w:val="20"/>
          <w:color w:val="auto"/>
        </w:rPr>
      </w:pPr>
    </w:p>
    <w:p>
      <w:pPr>
        <w:sectPr>
          <w:pgSz w:w="11900" w:h="16838" w:orient="portrait"/>
          <w:cols w:equalWidth="0" w:num="2">
            <w:col w:w="5300" w:space="720"/>
            <w:col w:w="5400"/>
          </w:cols>
          <w:pgMar w:left="240" w:top="909" w:right="239" w:bottom="1440" w:gutter="0" w:footer="0" w:header="0"/>
          <w:type w:val="continuous"/>
        </w:sectPr>
      </w:pPr>
    </w:p>
    <w:p>
      <w:pPr>
        <w:ind w:left="1380" w:right="20" w:hanging="789"/>
        <w:spacing w:after="0" w:line="276"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ind w:left="1380" w:right="540" w:hanging="789"/>
        <w:spacing w:after="0" w:line="264"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81" w:lineRule="exact"/>
        <w:rPr>
          <w:sz w:val="20"/>
          <w:szCs w:val="20"/>
          <w:color w:val="auto"/>
        </w:rPr>
      </w:pPr>
    </w:p>
    <w:p>
      <w:pPr>
        <w:ind w:left="1380" w:right="40" w:hanging="789"/>
        <w:spacing w:after="0" w:line="264"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1" w:lineRule="exact"/>
        <w:rPr>
          <w:sz w:val="20"/>
          <w:szCs w:val="20"/>
          <w:color w:val="auto"/>
        </w:rPr>
      </w:pPr>
    </w:p>
    <w:p>
      <w:pPr>
        <w:ind w:left="1380" w:right="660" w:hanging="789"/>
        <w:spacing w:after="0" w:line="277"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380" w:right="360" w:hanging="789"/>
        <w:spacing w:after="0" w:line="308" w:lineRule="auto"/>
        <w:tabs>
          <w:tab w:leader="none" w:pos="1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47" w:lineRule="exact"/>
        <w:rPr>
          <w:sz w:val="20"/>
          <w:szCs w:val="20"/>
          <w:color w:val="auto"/>
        </w:rPr>
      </w:pPr>
    </w:p>
    <w:p>
      <w:pPr>
        <w:jc w:val="both"/>
        <w:ind w:right="460" w:firstLine="881"/>
        <w:spacing w:after="0" w:line="312" w:lineRule="auto"/>
        <w:rPr>
          <w:sz w:val="20"/>
          <w:szCs w:val="20"/>
          <w:color w:val="auto"/>
        </w:rPr>
      </w:pPr>
      <w:r>
        <w:rPr>
          <w:rFonts w:ascii="Arial" w:cs="Arial" w:eastAsia="Arial" w:hAnsi="Arial"/>
          <w:sz w:val="16"/>
          <w:szCs w:val="16"/>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49" w:name="page50"/>
    <w:bookmarkEnd w:id="49"/>
    <w:p>
      <w:pPr>
        <w:ind w:firstLine="88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2016 and December 31, 2015 (dollars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jc w:val="right"/>
              <w:ind w:right="1005"/>
              <w:spacing w:after="0"/>
              <w:rPr>
                <w:sz w:val="20"/>
                <w:szCs w:val="20"/>
                <w:color w:val="auto"/>
              </w:rPr>
            </w:pPr>
            <w:r>
              <w:rPr>
                <w:rFonts w:ascii="Arial" w:cs="Arial" w:eastAsia="Arial" w:hAnsi="Arial"/>
                <w:sz w:val="18"/>
                <w:szCs w:val="18"/>
                <w:b w:val="1"/>
                <w:bCs w:val="1"/>
                <w:color w:val="auto"/>
              </w:rPr>
              <w:t>As of March 31, 2016</w:t>
            </w:r>
          </w:p>
        </w:tc>
        <w:tc>
          <w:tcPr>
            <w:tcW w:w="31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As of December 31, 2015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Investments at</w:t>
            </w:r>
          </w:p>
        </w:tc>
        <w:tc>
          <w:tcPr>
            <w:tcW w:w="1800" w:type="dxa"/>
            <w:vAlign w:val="bottom"/>
            <w:gridSpan w:val="3"/>
          </w:tcPr>
          <w:p>
            <w:pPr>
              <w:jc w:val="center"/>
              <w:ind w:right="305"/>
              <w:spacing w:after="0"/>
              <w:rPr>
                <w:sz w:val="20"/>
                <w:szCs w:val="20"/>
                <w:color w:val="auto"/>
              </w:rPr>
            </w:pPr>
            <w:r>
              <w:rPr>
                <w:rFonts w:ascii="Arial" w:cs="Arial" w:eastAsia="Arial" w:hAnsi="Arial"/>
                <w:sz w:val="18"/>
                <w:szCs w:val="18"/>
                <w:b w:val="1"/>
                <w:bCs w:val="1"/>
                <w:color w:val="auto"/>
                <w:w w:val="88"/>
              </w:rPr>
              <w:t>Total</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Investments at</w:t>
            </w:r>
          </w:p>
        </w:tc>
        <w:tc>
          <w:tcPr>
            <w:tcW w:w="16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w w:val="93"/>
              </w:rPr>
              <w:t>Investment Performance Rating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c>
          <w:tcPr>
            <w:tcW w:w="1800" w:type="dxa"/>
            <w:vAlign w:val="bottom"/>
            <w:gridSpan w:val="3"/>
          </w:tcPr>
          <w:p>
            <w:pPr>
              <w:jc w:val="center"/>
              <w:ind w:right="305"/>
              <w:spacing w:after="0"/>
              <w:rPr>
                <w:sz w:val="20"/>
                <w:szCs w:val="20"/>
                <w:color w:val="auto"/>
              </w:rPr>
            </w:pPr>
            <w:r>
              <w:rPr>
                <w:rFonts w:ascii="Arial" w:cs="Arial" w:eastAsia="Arial" w:hAnsi="Arial"/>
                <w:sz w:val="18"/>
                <w:szCs w:val="18"/>
                <w:b w:val="1"/>
                <w:bCs w:val="1"/>
                <w:color w:val="auto"/>
                <w:w w:val="89"/>
              </w:rPr>
              <w:t>Investments</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6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176,641</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191,894</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359,115</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335,388</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51,241</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37,164</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11,779</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28,010</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599,741</w:t>
            </w:r>
          </w:p>
        </w:tc>
        <w:tc>
          <w:tcPr>
            <w:tcW w:w="1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592,456</w:t>
            </w:r>
          </w:p>
        </w:tc>
        <w:tc>
          <w:tcPr>
            <w:tcW w:w="1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As of March 31, 2016, we had debt investments in four portfolio companies on non-accrual status with an amortized cost of $42.4 million and a fair value of $12.7 million, which represented 7.2% and 2.1% of the investment portfolio, respectively. As of December 31, 2015, we had debt investments in five portfolio companies on non-accrual status with amortized cost of $47.1 million and a fair value of $28.0 million, which represented 8.3% and 4.7% of the investment portfolio,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Operating results for the three months ended March 31, 2016 and 2015 are as follows (dollars in thousands):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1764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expenses, net of incentive fee waiver</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1764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realized gain (loss) from investments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jc w:val="right"/>
        <w:ind w:right="1500"/>
        <w:spacing w:after="0"/>
        <w:rPr>
          <w:sz w:val="20"/>
          <w:szCs w:val="20"/>
          <w:color w:val="auto"/>
        </w:rPr>
      </w:pPr>
      <w:r>
        <w:rPr>
          <w:rFonts w:ascii="Arial" w:cs="Arial" w:eastAsia="Arial" w:hAnsi="Arial"/>
          <w:sz w:val="18"/>
          <w:szCs w:val="18"/>
          <w:color w:val="auto"/>
        </w:rPr>
        <w:t>Net increase/(decrease) in net assets resulting from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 2016</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March 31, 2015</w:t>
            </w:r>
          </w:p>
        </w:tc>
        <w:tc>
          <w:tcPr>
            <w:tcW w:w="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14,041</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7,421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4,817</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(2,262)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9,340</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(9,348)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(4,290)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(4,189</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540" w:space="720"/>
            <w:col w:w="4160"/>
          </w:cols>
          <w:pgMar w:left="240" w:top="908" w:right="239" w:bottom="1440" w:gutter="0" w:footer="0" w:header="0"/>
          <w:type w:val="continuous"/>
        </w:sectPr>
      </w:pPr>
    </w:p>
    <w:p>
      <w:pPr>
        <w:spacing w:after="0" w:line="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composition of our investment income for the three months ended March 31, 2016 and 2015 was as follows (dollars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6"/>
          </w:tcPr>
          <w:p>
            <w:pPr>
              <w:ind w:left="46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6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March 31, 2016</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March 31, 2015</w:t>
            </w:r>
          </w:p>
        </w:tc>
        <w:tc>
          <w:tcPr>
            <w:tcW w:w="100" w:type="dxa"/>
            <w:vAlign w:val="bottom"/>
          </w:tcPr>
          <w:p>
            <w:pPr>
              <w:spacing w:after="0"/>
              <w:rPr>
                <w:sz w:val="19"/>
                <w:szCs w:val="19"/>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Fee Income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Dividend income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14,041</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81"/>
        <w:spacing w:after="0" w:line="312" w:lineRule="auto"/>
        <w:rPr>
          <w:sz w:val="20"/>
          <w:szCs w:val="20"/>
          <w:color w:val="auto"/>
        </w:rPr>
      </w:pPr>
      <w:r>
        <w:rPr>
          <w:rFonts w:ascii="Arial" w:cs="Arial" w:eastAsia="Arial" w:hAnsi="Arial"/>
          <w:sz w:val="16"/>
          <w:szCs w:val="16"/>
          <w:color w:val="auto"/>
        </w:rPr>
        <w:t>The income reported as interest income and payment-in-kind interest and dividend income is generally based on the stated rates as disclosed in our Consolidated Schedule of Investments. Accretion/(amortization) of discounts and premiums paid for purchased loans are included in interest income as an adjustment to yield. As a general rule, our interest income and payment-in-kind interest and dividend income is recurring in nature.</w:t>
      </w:r>
    </w:p>
    <w:p>
      <w:pPr>
        <w:spacing w:after="0" w:line="147" w:lineRule="exact"/>
        <w:rPr>
          <w:sz w:val="20"/>
          <w:szCs w:val="20"/>
          <w:color w:val="auto"/>
        </w:rPr>
      </w:pPr>
    </w:p>
    <w:p>
      <w:pPr>
        <w:ind w:right="20" w:firstLine="881"/>
        <w:spacing w:after="0" w:line="312"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the fee income is typically non-recurring for each investment, most of our new investments include an origination fee; as such, fee income is dependent upon our volume of directly originated investments and to the fee structure associated with those investments.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50" w:name="page51"/>
    <w:bookmarkEnd w:id="50"/>
    <w:p>
      <w:pPr>
        <w:jc w:val="both"/>
        <w:ind w:right="220" w:firstLine="881"/>
        <w:spacing w:after="0" w:line="312" w:lineRule="auto"/>
        <w:rPr>
          <w:sz w:val="20"/>
          <w:szCs w:val="20"/>
          <w:color w:val="auto"/>
        </w:rPr>
      </w:pPr>
      <w:r>
        <w:rPr>
          <w:rFonts w:ascii="Arial" w:cs="Arial" w:eastAsia="Arial" w:hAnsi="Arial"/>
          <w:sz w:val="16"/>
          <w:szCs w:val="16"/>
          <w:color w:val="auto"/>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 as part of dividend recapitalizations.</w:t>
      </w:r>
    </w:p>
    <w:p>
      <w:pPr>
        <w:spacing w:after="0" w:line="147" w:lineRule="exact"/>
        <w:rPr>
          <w:sz w:val="20"/>
          <w:szCs w:val="20"/>
          <w:color w:val="auto"/>
        </w:rPr>
      </w:pPr>
    </w:p>
    <w:p>
      <w:pPr>
        <w:ind w:right="40" w:firstLine="881"/>
        <w:spacing w:after="0" w:line="293" w:lineRule="auto"/>
        <w:rPr>
          <w:sz w:val="20"/>
          <w:szCs w:val="20"/>
          <w:color w:val="auto"/>
        </w:rPr>
      </w:pPr>
      <w:r>
        <w:rPr>
          <w:rFonts w:ascii="Arial" w:cs="Arial" w:eastAsia="Arial" w:hAnsi="Arial"/>
          <w:sz w:val="16"/>
          <w:szCs w:val="16"/>
          <w:color w:val="auto"/>
        </w:rPr>
        <w:t>For the three months ended March 31, 2016, total investment income increased $3.4 million, or 24.3% compared to three months ended March 31, 2015. The increase from the prior period relates primarily to higher interest and PIK income generated from a larger investment portfolio. For the three months ended March 31, 2016, we generated $0.7 million in origination fees from new deployments and $0.2 million in other fees. Comparatively, for the three months ended March 31, 2015, we generated $1.1 million in origination fees from new deployments and $0.1 million in other fees. Dividend income increased from $0.4 million for the three months ended March 31, 2015, to $1.3 million for the three months ended March 31, 2016. The increase in dividend income was driven by $0.5 million in dividend income from CSLLF and $0.4 million in non-recurring dividends from other portfolio companies.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composition of our expenses for the three months ended March 31, 2016 and March 31, 2015 was as follows (dollars in thousands):</w:t>
      </w:r>
    </w:p>
    <w:p>
      <w:pPr>
        <w:sectPr>
          <w:pgSz w:w="11900" w:h="16838" w:orient="portrait"/>
          <w:cols w:equalWidth="0" w:num="1">
            <w:col w:w="11400"/>
          </w:cols>
          <w:pgMar w:left="240" w:top="90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and financing expenses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Incentive fees, net of incentive fee waiver</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expenses, net of incentive fee waiver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March 31, 2016</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March 31, 2015</w:t>
            </w:r>
          </w:p>
        </w:tc>
      </w:tr>
      <w:tr>
        <w:trPr>
          <w:trHeight w:val="195"/>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4,637</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-745490</wp:posOffset>
            </wp:positionV>
            <wp:extent cx="651764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-462280</wp:posOffset>
            </wp:positionV>
            <wp:extent cx="651764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-179705</wp:posOffset>
            </wp:positionV>
            <wp:extent cx="651764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40" w:space="720"/>
            <w:col w:w="4140"/>
          </w:cols>
          <w:pgMar w:left="240" w:top="909" w:right="259" w:bottom="1440" w:gutter="0" w:footer="0" w:header="0"/>
          <w:type w:val="continuous"/>
        </w:sectPr>
      </w:pPr>
    </w:p>
    <w:p>
      <w:pPr>
        <w:spacing w:after="0" w:line="2"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For the three months ended March 31, 2016, operating expenses increased $0.8 million, or 8.7%, compared to the three months ended March 31, 2015. The increase from prior period was driven primarily from an increase in interest and financing expenses and management fees. The increase in interest and financing expenses was due to larger balance outstanding under our Credit Facility during the period. Management fees increased over prior period due to growth in assets under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225"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During the three months ended March 31, 2016 and March 31, 2015, we recognized $(2.3) million in net realized losses and $9.3 million of net realized gains on our portfolio investments, respectively.</w:t>
      </w:r>
    </w:p>
    <w:p>
      <w:pPr>
        <w:spacing w:after="0" w:line="170"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During the three months ended March 31, 2016, the Company realized a loss of $(2.5) million on its investment in Source Recycling, LLC, offset by $0.2 million in realized gains on other portfolio companies. For the three months ended March 31. 2015, the Company realized gains of $9.3 million on KBP Investments, LLC, $3.3 million on Boot Barn Holdings, Inc., and $0.1 million on other portfolio companies, offset by a $(3.4) million realized loss on Precision Manufacturing, LLC.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225"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Net change in unrealized appreciation/(depreciation) on investments reflects the net change in the fair value of our investment portfolio. For the three months ended March 31, 2016 and March 31, 2015, we had $(9.3) million and $(4.3) million of unrealized depreciation, respectively, on portfolio investments.</w:t>
      </w:r>
    </w:p>
    <w:p>
      <w:pPr>
        <w:spacing w:after="0" w:line="181"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For the three months ended March 31, 2016, unrealized depreciation was driven by $(14.0) million in unrealized depreciation on our 5 energy related portfolio companies. The depreciation on our energy portfolio was offset by $4.7 million in unrealized appreciation on the remaining investment portfolio. During the three months ended March 31, 2015, we had $7.6 million in net unrealized depreciation related to reversal of net unrealized appreciation on realized gains. The remaining portfolio appreciated $3.3 million during the three months ended March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right="40" w:firstLine="881"/>
        <w:spacing w:after="0" w:line="312" w:lineRule="auto"/>
        <w:rPr>
          <w:sz w:val="20"/>
          <w:szCs w:val="20"/>
          <w:color w:val="auto"/>
        </w:rPr>
      </w:pPr>
      <w:r>
        <w:rPr>
          <w:rFonts w:ascii="Arial" w:cs="Arial" w:eastAsia="Arial" w:hAnsi="Arial"/>
          <w:sz w:val="16"/>
          <w:szCs w:val="16"/>
          <w:color w:val="auto"/>
        </w:rPr>
        <w:t>For the three months ended March 31, 2016 and March 31, 2015, we recorded a net increase (decrease) in net assets resulting from operations of $(4.2) million and $9.9 million, respectively. Based on the weighted average shares of common stock outstanding for the three months ended March 31, 2016 and March 31, 2015, our per share net increase (decrease) in net assets resulting from operations was $(0.27) and $0.76, respectively.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760" w:firstLine="881"/>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dividends to our shareholders, and repay indebtedness.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September 30, 2013, we issued 4,000,000 shares at $20.00 per share in our IPO, yielding net proceeds of $74.25 million.</w:t>
      </w:r>
    </w:p>
    <w:p>
      <w:pPr>
        <w:spacing w:after="0" w:line="225" w:lineRule="exact"/>
        <w:rPr>
          <w:sz w:val="20"/>
          <w:szCs w:val="20"/>
          <w:color w:val="auto"/>
        </w:rPr>
      </w:pPr>
    </w:p>
    <w:p>
      <w:pPr>
        <w:ind w:right="80" w:firstLine="881"/>
        <w:spacing w:after="0" w:line="288" w:lineRule="auto"/>
        <w:rPr>
          <w:sz w:val="20"/>
          <w:szCs w:val="20"/>
          <w:color w:val="auto"/>
        </w:rPr>
      </w:pPr>
      <w:r>
        <w:rPr>
          <w:rFonts w:ascii="Arial" w:cs="Arial" w:eastAsia="Arial" w:hAnsi="Arial"/>
          <w:sz w:val="16"/>
          <w:szCs w:val="16"/>
          <w:color w:val="auto"/>
        </w:rPr>
        <w:t>We issued $113.4 million in aggregate principal amount of 7.125% fixed-rate notes in June of 2014, yielding net proceeds of $109.1 million after underwriting costs. The Notes will mature on June 16, 2021, and may be redeemed in whole or in part at any time or from time to time at our option on or after June 17, 2017 at a redemption price equal to 100% of the outstanding principal, plus accrued and unpaid interest. The notes bear interest at a rate of</w:t>
      </w:r>
    </w:p>
    <w:p>
      <w:pPr>
        <w:ind w:right="120"/>
        <w:spacing w:after="0" w:line="261" w:lineRule="auto"/>
        <w:rPr>
          <w:sz w:val="20"/>
          <w:szCs w:val="20"/>
          <w:color w:val="auto"/>
        </w:rPr>
      </w:pPr>
      <w:r>
        <w:rPr>
          <w:rFonts w:ascii="Arial" w:cs="Arial" w:eastAsia="Arial" w:hAnsi="Arial"/>
          <w:sz w:val="18"/>
          <w:szCs w:val="18"/>
          <w:color w:val="auto"/>
        </w:rPr>
        <w:t>7.125% per year payable quarterly on March 16, June 16, September 16, and December 16 of each year, beginning September 16, 2014. The Notes are listed on the New York Stock Exchange under the trading symbol “CLA” with a par value $25.00 per share.</w:t>
      </w:r>
    </w:p>
    <w:p>
      <w:pPr>
        <w:spacing w:after="0" w:line="184" w:lineRule="exact"/>
        <w:rPr>
          <w:sz w:val="20"/>
          <w:szCs w:val="20"/>
          <w:color w:val="auto"/>
        </w:rPr>
      </w:pPr>
    </w:p>
    <w:p>
      <w:pPr>
        <w:ind w:right="220" w:firstLine="881"/>
        <w:spacing w:after="0" w:line="286" w:lineRule="auto"/>
        <w:rPr>
          <w:sz w:val="20"/>
          <w:szCs w:val="20"/>
          <w:color w:val="auto"/>
        </w:rPr>
      </w:pPr>
      <w:r>
        <w:rPr>
          <w:rFonts w:ascii="Arial" w:cs="Arial" w:eastAsia="Arial" w:hAnsi="Arial"/>
          <w:sz w:val="17"/>
          <w:szCs w:val="17"/>
          <w:color w:val="auto"/>
        </w:rPr>
        <w:t>On October 17, 2014, we entered into a senior secured revolving credit agreement (the “Credit Facility”) with ING Capital, LLC, as administrative agent, arranger, and bookrunner, and the lenders party thereto. The Credit Facility currently provides for borrowings up to $120,000,000 and may be increased up to $150,000,000 pursuant to its “accordion” feature. The Credit Facility matures on October 17, 2018.</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March 31, 2016, we had $73.0 million outstanding and $47.0 million available under the Credit Facility.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April 13, 2015, we completed an underwritten offering of 3,500,000 shares of its common stock at a public offering price of $18.32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proceeds received in the offering net of underwriting discounts and offering costs were approximately $61.7 million.</w:t>
      </w:r>
    </w:p>
    <w:p>
      <w:pPr>
        <w:spacing w:after="0" w:line="211"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Including the net proceeds from our IPO on September 30, 2013, we have raised approximately $245.0 million in net proceeds from debt and equity offerings and obtained credit availability through our Credit Facility of $120.0 million through March 31, 2016.</w:t>
      </w:r>
    </w:p>
    <w:p>
      <w:pPr>
        <w:spacing w:after="0" w:line="170" w:lineRule="exact"/>
        <w:rPr>
          <w:sz w:val="20"/>
          <w:szCs w:val="20"/>
          <w:color w:val="auto"/>
        </w:rPr>
      </w:pPr>
    </w:p>
    <w:p>
      <w:pPr>
        <w:ind w:right="60" w:firstLine="881"/>
        <w:spacing w:after="0" w:line="273" w:lineRule="auto"/>
        <w:rPr>
          <w:sz w:val="20"/>
          <w:szCs w:val="20"/>
          <w:color w:val="auto"/>
        </w:rPr>
      </w:pPr>
      <w:r>
        <w:rPr>
          <w:rFonts w:ascii="Arial" w:cs="Arial" w:eastAsia="Arial" w:hAnsi="Arial"/>
          <w:sz w:val="17"/>
          <w:szCs w:val="17"/>
          <w:color w:val="auto"/>
        </w:rPr>
        <w:t>On February 26, 2015, the Company’s Board authorized a program for the purpose of repurchasing up to $12.0 million worth of its common stock. Under the repurchase program, the Company could have, but was not obligated to, repurchase its outstanding common stock in the open market from time to time provided that the Company complied with the prohibitions under its Insider Trading Policies and Procedures and the guidelines specified in Rule 10b-18 of the Securities Exchange Act of 1934, as amended, including certain price, market volume and timing constraints. The repurchase program was in place until the earlier of March 31, 2016 or until $12.0 million of our outstanding shares of common stock had been repurchased. As of March 31, 2016, the repurchase program has expired and has not been extended by the Board.</w:t>
      </w:r>
    </w:p>
    <w:p>
      <w:pPr>
        <w:spacing w:after="0" w:line="178" w:lineRule="exact"/>
        <w:rPr>
          <w:sz w:val="20"/>
          <w:szCs w:val="20"/>
          <w:color w:val="auto"/>
        </w:rPr>
      </w:pPr>
    </w:p>
    <w:p>
      <w:pPr>
        <w:ind w:right="40" w:firstLine="881"/>
        <w:spacing w:after="0" w:line="297" w:lineRule="auto"/>
        <w:rPr>
          <w:sz w:val="20"/>
          <w:szCs w:val="20"/>
          <w:color w:val="auto"/>
        </w:rPr>
      </w:pPr>
      <w:r>
        <w:rPr>
          <w:rFonts w:ascii="Arial" w:cs="Arial" w:eastAsia="Arial" w:hAnsi="Arial"/>
          <w:sz w:val="16"/>
          <w:szCs w:val="16"/>
          <w:color w:val="auto"/>
        </w:rPr>
        <w:t>During the three months ended March 31, 2016 and March 31, 2015, no shares were repurchased under the program. Since the approval of the repurchase program, we repurchased 774,858 shares of common stock in open market transactions for an aggregate cost (including transaction costs) of $12.0 million, utilizing the maximum amount available under the repurchase program. We are incorporated in Maryland and under the law of the state, shares repurchased are considered retired (repurchased shares become authorized but unissued shares) rather than treasury stock. As a result, the cost of the stock repurchased is recorded as a reduction to capital in excess of par value on the consolidated statements of changes in net assets.</w:t>
      </w:r>
    </w:p>
    <w:p>
      <w:pPr>
        <w:spacing w:after="0" w:line="158"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As of March 31, 2016, Fund II had $26.2 million in regulatory capital and $32.2 million in SBA-guaranteed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March 31, 2016, we had $14.3 million in cash and cash equivalents, and our net assets totaled $257.4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881"/>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ind w:left="880"/>
        <w:spacing w:after="0"/>
        <w:rPr>
          <w:sz w:val="20"/>
          <w:szCs w:val="20"/>
          <w:color w:val="auto"/>
        </w:rPr>
      </w:pPr>
      <w:r>
        <w:rPr>
          <w:rFonts w:ascii="Arial" w:cs="Arial" w:eastAsia="Arial" w:hAnsi="Arial"/>
          <w:sz w:val="18"/>
          <w:szCs w:val="18"/>
          <w:color w:val="auto"/>
        </w:rPr>
        <w:t>A summary of our significant contractual payment obligations as of March 31, 2016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8"/>
                <w:szCs w:val="18"/>
                <w:b w:val="1"/>
                <w:bCs w:val="1"/>
                <w:color w:val="auto"/>
                <w:w w:val="90"/>
              </w:rPr>
              <w:t>Contractual Obligations Payments Due by Period</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Less Than</w:t>
            </w:r>
          </w:p>
        </w:tc>
        <w:tc>
          <w:tcPr>
            <w:tcW w:w="100" w:type="dxa"/>
            <w:vAlign w:val="bottom"/>
          </w:tcPr>
          <w:p>
            <w:pPr>
              <w:spacing w:after="0"/>
              <w:rPr>
                <w:sz w:val="16"/>
                <w:szCs w:val="16"/>
                <w:color w:val="auto"/>
              </w:rPr>
            </w:pPr>
          </w:p>
        </w:tc>
        <w:tc>
          <w:tcPr>
            <w:tcW w:w="13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1 – 3</w:t>
            </w:r>
          </w:p>
        </w:tc>
        <w:tc>
          <w:tcPr>
            <w:tcW w:w="220" w:type="dxa"/>
            <w:vAlign w:val="bottom"/>
          </w:tcPr>
          <w:p>
            <w:pPr>
              <w:spacing w:after="0"/>
              <w:rPr>
                <w:sz w:val="16"/>
                <w:szCs w:val="16"/>
                <w:color w:val="auto"/>
              </w:rPr>
            </w:pPr>
          </w:p>
        </w:tc>
        <w:tc>
          <w:tcPr>
            <w:tcW w:w="11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3 – 5</w:t>
            </w:r>
          </w:p>
        </w:tc>
        <w:tc>
          <w:tcPr>
            <w:tcW w:w="120" w:type="dxa"/>
            <w:vAlign w:val="bottom"/>
          </w:tcPr>
          <w:p>
            <w:pPr>
              <w:spacing w:after="0"/>
              <w:rPr>
                <w:sz w:val="16"/>
                <w:szCs w:val="16"/>
                <w:color w:val="auto"/>
              </w:rPr>
            </w:pPr>
          </w:p>
        </w:tc>
        <w:tc>
          <w:tcPr>
            <w:tcW w:w="128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6"/>
              </w:rPr>
              <w:t>More Than</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1 Year</w:t>
            </w: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 Years</w:t>
            </w:r>
          </w:p>
        </w:tc>
        <w:tc>
          <w:tcPr>
            <w:tcW w:w="240" w:type="dxa"/>
            <w:vAlign w:val="bottom"/>
          </w:tcPr>
          <w:p>
            <w:pPr>
              <w:spacing w:after="0"/>
              <w:rPr>
                <w:sz w:val="20"/>
                <w:szCs w:val="20"/>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113,438</w:t>
            </w:r>
          </w:p>
        </w:tc>
        <w:tc>
          <w:tcPr>
            <w:tcW w:w="2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113,438</w:t>
            </w: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73,000</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73,000</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78,000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198,438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60" w:firstLine="881"/>
        <w:spacing w:after="0" w:line="271" w:lineRule="auto"/>
        <w:rPr>
          <w:sz w:val="20"/>
          <w:szCs w:val="20"/>
          <w:color w:val="auto"/>
        </w:rPr>
      </w:pPr>
      <w:r>
        <w:rPr>
          <w:rFonts w:ascii="Arial" w:cs="Arial" w:eastAsia="Arial" w:hAnsi="Arial"/>
          <w:sz w:val="17"/>
          <w:szCs w:val="17"/>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17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7"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ind w:right="40" w:firstLine="881"/>
        <w:spacing w:after="0" w:line="297" w:lineRule="auto"/>
        <w:rPr>
          <w:sz w:val="20"/>
          <w:szCs w:val="20"/>
          <w:color w:val="auto"/>
        </w:rPr>
      </w:pPr>
      <w:r>
        <w:rPr>
          <w:rFonts w:ascii="Arial" w:cs="Arial" w:eastAsia="Arial" w:hAnsi="Arial"/>
          <w:sz w:val="16"/>
          <w:szCs w:val="16"/>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distributions declared since the IPO through March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Amount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480" w:type="dxa"/>
            <w:vAlign w:val="bottom"/>
          </w:tcPr>
          <w:p>
            <w:pPr>
              <w:spacing w:after="0"/>
              <w:rPr>
                <w:sz w:val="20"/>
                <w:szCs w:val="20"/>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Per Share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22, 2016</w:t>
            </w:r>
          </w:p>
        </w:tc>
        <w:tc>
          <w:tcPr>
            <w:tcW w:w="1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30, 2016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19, 2016</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26, 2016</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22, 2016</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28, 2016</w:t>
            </w:r>
          </w:p>
        </w:tc>
        <w:tc>
          <w:tcPr>
            <w:tcW w:w="4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560"/>
              <w:spacing w:after="0"/>
              <w:rPr>
                <w:sz w:val="20"/>
                <w:szCs w:val="20"/>
                <w:color w:val="auto"/>
              </w:rPr>
            </w:pPr>
            <w:r>
              <w:rPr>
                <w:rFonts w:ascii="Arial" w:cs="Arial" w:eastAsia="Arial" w:hAnsi="Arial"/>
                <w:sz w:val="18"/>
                <w:szCs w:val="18"/>
                <w:color w:val="auto"/>
                <w:w w:val="95"/>
              </w:rPr>
              <w:t>Total Distributions Declared</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vMerge w:val="restart"/>
          </w:tcPr>
          <w:p>
            <w:pPr>
              <w:jc w:val="right"/>
              <w:ind w:right="22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480" w:type="dxa"/>
            <w:vAlign w:val="bottom"/>
          </w:tcPr>
          <w:p>
            <w:pPr>
              <w:spacing w:after="0"/>
              <w:rPr>
                <w:sz w:val="20"/>
                <w:szCs w:val="20"/>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2015</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22, 2015</w:t>
            </w:r>
          </w:p>
        </w:tc>
        <w:tc>
          <w:tcPr>
            <w:tcW w:w="1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30, 2015</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20,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27, 2015</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23,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29, 2015</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23,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29, 2015</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21,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28, 2015</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July 23,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July 30, 2015</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22,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29, 2015</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21,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28, 2015</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April 23,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April 29, 2015</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22,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30, 2015</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20,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27, 2015</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23,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29, 2015</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23,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29, 2015</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21,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28, 2015</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23,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30, 2015</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22,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29, 2015</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21,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28, 2015</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23,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29, 2015</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23,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30, 2015</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23,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30, 2015</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20, 2015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26, 2015</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22, 2015</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29, 2015</w:t>
            </w:r>
          </w:p>
        </w:tc>
        <w:tc>
          <w:tcPr>
            <w:tcW w:w="480" w:type="dxa"/>
            <w:vAlign w:val="bottom"/>
          </w:tcPr>
          <w:p>
            <w:pPr>
              <w:spacing w:after="0"/>
              <w:rPr>
                <w:sz w:val="19"/>
                <w:szCs w:val="19"/>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23"/>
        </w:trPr>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w w:val="95"/>
              </w:rPr>
              <w:t>Total Distributions Declared</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480" w:type="dxa"/>
            <w:vAlign w:val="bottom"/>
          </w:tcPr>
          <w:p>
            <w:pPr>
              <w:spacing w:after="0"/>
              <w:rPr>
                <w:sz w:val="20"/>
                <w:szCs w:val="20"/>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 2014</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19, 2014</w:t>
            </w:r>
          </w:p>
        </w:tc>
        <w:tc>
          <w:tcPr>
            <w:tcW w:w="1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30, 2014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October 2, 2014</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21, 2014</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28, 2014</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2014</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22, 2014</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30, 2014</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August 7, 2014</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12, 2014</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26, 2014</w:t>
            </w:r>
          </w:p>
        </w:tc>
        <w:tc>
          <w:tcPr>
            <w:tcW w:w="48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8, 2014</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June 9, 2014</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26, 2014</w:t>
            </w:r>
          </w:p>
        </w:tc>
        <w:tc>
          <w:tcPr>
            <w:tcW w:w="4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February 27, 2014</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14, 2014</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26, 2014</w:t>
            </w:r>
          </w:p>
        </w:tc>
        <w:tc>
          <w:tcPr>
            <w:tcW w:w="480" w:type="dxa"/>
            <w:vAlign w:val="bottom"/>
          </w:tcPr>
          <w:p>
            <w:pPr>
              <w:spacing w:after="0"/>
              <w:rPr>
                <w:sz w:val="19"/>
                <w:szCs w:val="19"/>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r>
      <w:tr>
        <w:trPr>
          <w:trHeight w:val="223"/>
        </w:trPr>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w w:val="95"/>
              </w:rPr>
              <w:t>Total Distributions Declared</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480" w:type="dxa"/>
            <w:vAlign w:val="bottom"/>
          </w:tcPr>
          <w:p>
            <w:pPr>
              <w:spacing w:after="0"/>
              <w:rPr>
                <w:sz w:val="20"/>
                <w:szCs w:val="20"/>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11, 2013</w:t>
            </w:r>
          </w:p>
        </w:tc>
        <w:tc>
          <w:tcPr>
            <w:tcW w:w="12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10, 2013</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30, 2013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560"/>
              <w:spacing w:after="0"/>
              <w:rPr>
                <w:sz w:val="20"/>
                <w:szCs w:val="20"/>
                <w:color w:val="auto"/>
              </w:rPr>
            </w:pPr>
            <w:r>
              <w:rPr>
                <w:rFonts w:ascii="Arial" w:cs="Arial" w:eastAsia="Arial" w:hAnsi="Arial"/>
                <w:sz w:val="18"/>
                <w:szCs w:val="18"/>
                <w:color w:val="auto"/>
                <w:w w:val="95"/>
              </w:rPr>
              <w:t>Total Distributions Declared</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Related Parties</w:t>
            </w: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40" w:type="dxa"/>
            <w:vAlign w:val="bottom"/>
            <w:gridSpan w:val="2"/>
            <w:vMerge w:val="continue"/>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firstLine="881"/>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Mr. Alala, our chief executive officer, president and chairman of our Board, is the managing partner and chief investment officer of the Investment Advisor, and Mr. Broyhill, a member of our Board, has an indirect controlling interest in the Investment Advisor.</w:t>
      </w:r>
    </w:p>
    <w:p>
      <w:pPr>
        <w:spacing w:after="0" w:line="181"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In addition, the Investment Advisor’s investment team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had the opportunity to co-invest with Fund IV in portfolio investments. The Investment Advisor and its affiliates may also manage other funds in the future that may have investment mandates that are similar, in whole and in part, with ours.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54" w:name="page55"/>
    <w:bookmarkEnd w:id="54"/>
    <w:p>
      <w:pPr>
        <w:ind w:right="220" w:firstLine="881"/>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is the chief executive officer, president and a director of our Administrator.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360" w:firstLine="881"/>
        <w:spacing w:after="0" w:line="264" w:lineRule="auto"/>
        <w:rPr>
          <w:sz w:val="20"/>
          <w:szCs w:val="20"/>
          <w:color w:val="auto"/>
        </w:rPr>
      </w:pPr>
      <w:r>
        <w:rPr>
          <w:rFonts w:ascii="Arial" w:cs="Arial" w:eastAsia="Arial" w:hAnsi="Arial"/>
          <w:sz w:val="18"/>
          <w:szCs w:val="18"/>
          <w:color w:val="auto"/>
        </w:rPr>
        <w:t>As of March 31, 2016 and December 31, 2015, the Company had outstanding unfunded commitments related to debt investments in existing portfolio companies of $1.6 million and $4.4 million, respectively. Based on current cash balance and availability under our Credit Facility, the Company believes it has sufficient liquidity to fund our unfunded commitments as of March 31, 2016.</w:t>
      </w:r>
    </w:p>
    <w:p>
      <w:pPr>
        <w:spacing w:after="0" w:line="181" w:lineRule="exact"/>
        <w:rPr>
          <w:sz w:val="20"/>
          <w:szCs w:val="20"/>
          <w:color w:val="auto"/>
        </w:rPr>
      </w:pPr>
    </w:p>
    <w:p>
      <w:pPr>
        <w:ind w:right="220" w:firstLine="881"/>
        <w:spacing w:after="0" w:line="308" w:lineRule="auto"/>
        <w:rPr>
          <w:sz w:val="20"/>
          <w:szCs w:val="20"/>
          <w:color w:val="auto"/>
        </w:rPr>
      </w:pPr>
      <w:r>
        <w:rPr>
          <w:rFonts w:ascii="Arial" w:cs="Arial" w:eastAsia="Arial" w:hAnsi="Arial"/>
          <w:sz w:val="17"/>
          <w:szCs w:val="17"/>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April 1, 2016, the Company’s Board of Directors declared normal monthly distributions for April, May, and June of 2016 as set forth below:</w:t>
      </w: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840" w:type="dxa"/>
            <w:vAlign w:val="bottom"/>
            <w:gridSpan w:val="2"/>
          </w:tcPr>
          <w:p>
            <w:pPr>
              <w:ind w:left="820"/>
              <w:spacing w:after="0"/>
              <w:rPr>
                <w:sz w:val="20"/>
                <w:szCs w:val="20"/>
                <w:color w:val="auto"/>
              </w:rPr>
            </w:pPr>
            <w:r>
              <w:rPr>
                <w:rFonts w:ascii="Arial" w:cs="Arial" w:eastAsia="Arial" w:hAnsi="Arial"/>
                <w:sz w:val="18"/>
                <w:szCs w:val="18"/>
                <w:b w:val="1"/>
                <w:bCs w:val="1"/>
                <w:color w:val="auto"/>
              </w:rPr>
              <w:t>Date Declared</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Record Date</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2"/>
              </w:rPr>
              <w:t>Payment Date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ind w:left="120"/>
              <w:spacing w:after="0"/>
              <w:rPr>
                <w:sz w:val="20"/>
                <w:szCs w:val="20"/>
                <w:color w:val="auto"/>
              </w:rPr>
            </w:pPr>
            <w:r>
              <w:rPr>
                <w:rFonts w:ascii="Arial" w:cs="Arial" w:eastAsia="Arial" w:hAnsi="Arial"/>
                <w:sz w:val="18"/>
                <w:szCs w:val="18"/>
                <w:b w:val="1"/>
                <w:bCs w:val="1"/>
                <w:color w:val="auto"/>
              </w:rPr>
              <w:t>Distributions per Share</w:t>
            </w:r>
          </w:p>
        </w:tc>
      </w:tr>
      <w:tr>
        <w:trPr>
          <w:trHeight w:val="210"/>
        </w:trPr>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2016</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2016</w:t>
            </w:r>
          </w:p>
        </w:tc>
        <w:tc>
          <w:tcPr>
            <w:tcW w:w="1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28, 2016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23, 2016</w:t>
            </w:r>
          </w:p>
        </w:tc>
        <w:tc>
          <w:tcPr>
            <w:tcW w:w="2600" w:type="dxa"/>
            <w:vAlign w:val="bottom"/>
          </w:tcPr>
          <w:p>
            <w:pPr>
              <w:jc w:val="center"/>
              <w:spacing w:after="0"/>
              <w:rPr>
                <w:sz w:val="20"/>
                <w:szCs w:val="20"/>
                <w:color w:val="auto"/>
              </w:rPr>
            </w:pPr>
            <w:r>
              <w:rPr>
                <w:rFonts w:ascii="Arial" w:cs="Arial" w:eastAsia="Arial" w:hAnsi="Arial"/>
                <w:sz w:val="18"/>
                <w:szCs w:val="18"/>
                <w:color w:val="auto"/>
                <w:w w:val="93"/>
              </w:rPr>
              <w:t>May 30, 2016</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June 21, 2016</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29, 2016</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Our investment income will generally not be affected by changes in various interest rates, including LIBOR, as assets and liabilities are fixed as of March 31, 2016. We may hedge against interest rate fluctuations by using standard hedging instruments such as futures, options and forward contracts subject to the requirements of the 1940 Act. For the three months ended March 31, 2016, we did not engage in hedging activities.</w:t>
      </w:r>
    </w:p>
    <w:p>
      <w:pPr>
        <w:spacing w:after="0" w:line="188"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As of March 31, 2016, we held 20 securities bearing a variable rate of interest. Our variable rate investments represent approximately 39.3% of the fair market value of total interest earning investments. All variable rate securities are London Interbank Offered Rate (“LIBOR”) based and are subject to interest rate floors, with the exception of a $2.0 million investment that does not have a floor. As of March 31, 2016, all variable rate securities were yielding interest at a rate equal to the established interest rate floor, with the exception of a $2.0 million investment that does not have a floor and a $24.0 million investment that is yielding above its existing floor. As of March 31, 2016, we had $73.0 million outstanding on our Credit Facility which has a variable rate of interest at LIBOR + 300. As of March 31, 2016, all of our other interest paying liabilities, consisting of $182.2 million in SBA-guaranteed debentures and $113.4 million in notes payable, were bearing interest at a fixed rate.</w:t>
      </w:r>
    </w:p>
    <w:p>
      <w:pPr>
        <w:spacing w:after="0" w:line="178" w:lineRule="exact"/>
        <w:rPr>
          <w:sz w:val="20"/>
          <w:szCs w:val="20"/>
          <w:color w:val="auto"/>
        </w:rPr>
      </w:pPr>
    </w:p>
    <w:p>
      <w:pPr>
        <w:ind w:right="220" w:firstLine="881"/>
        <w:spacing w:after="0" w:line="259"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187" w:lineRule="exact"/>
        <w:rPr>
          <w:sz w:val="20"/>
          <w:szCs w:val="20"/>
          <w:color w:val="auto"/>
        </w:rPr>
      </w:pPr>
    </w:p>
    <w:p>
      <w:pPr>
        <w:jc w:val="both"/>
        <w:ind w:right="620" w:firstLine="881"/>
        <w:spacing w:after="0" w:line="264" w:lineRule="auto"/>
        <w:rPr>
          <w:sz w:val="20"/>
          <w:szCs w:val="20"/>
          <w:color w:val="auto"/>
        </w:rPr>
      </w:pPr>
      <w:r>
        <w:rPr>
          <w:rFonts w:ascii="Arial" w:cs="Arial" w:eastAsia="Arial" w:hAnsi="Arial"/>
          <w:sz w:val="18"/>
          <w:szCs w:val="18"/>
          <w:color w:val="auto"/>
        </w:rPr>
        <w:t>Based on our March 31, 2016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Increase (decrease)</w:t>
            </w:r>
          </w:p>
        </w:tc>
        <w:tc>
          <w:tcPr>
            <w:tcW w:w="80" w:type="dxa"/>
            <w:vAlign w:val="bottom"/>
          </w:tcPr>
          <w:p>
            <w:pPr>
              <w:spacing w:after="0"/>
              <w:rPr>
                <w:sz w:val="18"/>
                <w:szCs w:val="18"/>
                <w:color w:val="auto"/>
              </w:rPr>
            </w:pPr>
          </w:p>
        </w:tc>
        <w:tc>
          <w:tcPr>
            <w:tcW w:w="18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7"/>
              </w:rPr>
              <w:t>Increase (decrease)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Increase (decrease)</w:t>
            </w: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Arial" w:cs="Arial" w:eastAsia="Arial" w:hAnsi="Arial"/>
                <w:sz w:val="18"/>
                <w:szCs w:val="18"/>
                <w:b w:val="1"/>
                <w:bCs w:val="1"/>
                <w:color w:val="auto"/>
                <w:w w:val="88"/>
              </w:rPr>
              <w:t>Basis Point Change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in interest 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interest expense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 net income</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Up 300 basis points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89"/>
              </w:rPr>
              <w:t>Up 200 basis points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3,049</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1,779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Up 100 basis points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1"/>
              </w:rPr>
              <w:t>Down 100 basis points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Down 200 basis points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1"/>
              </w:rPr>
              <w:t>Down 300 basis points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r>
      <w:tr>
        <w:trPr>
          <w:trHeight w:val="634"/>
        </w:trPr>
        <w:tc>
          <w:tcPr>
            <w:tcW w:w="3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920" w:hanging="588"/>
        <w:spacing w:after="0"/>
        <w:tabs>
          <w:tab w:leader="none" w:pos="9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As of March 31, 2016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920" w:hanging="588"/>
        <w:spacing w:after="0"/>
        <w:tabs>
          <w:tab w:leader="none" w:pos="9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300" w:firstLine="881"/>
        <w:spacing w:after="0" w:line="308" w:lineRule="auto"/>
        <w:rPr>
          <w:sz w:val="20"/>
          <w:szCs w:val="20"/>
          <w:color w:val="auto"/>
        </w:rPr>
      </w:pPr>
      <w:r>
        <w:rPr>
          <w:rFonts w:ascii="Arial" w:cs="Arial" w:eastAsia="Arial" w:hAnsi="Arial"/>
          <w:sz w:val="17"/>
          <w:szCs w:val="17"/>
          <w:color w:val="auto"/>
        </w:rPr>
        <w:t>Management has not identified any change in the Company’s internal control over financing reporting that occurred during the first quarter of 2016 that has materially affected, or is reasonably likely to materially affect, the Company’s internal control over financial reporting.</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6" w:name="page57"/>
    <w:bookmarkEnd w:id="56"/>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881"/>
        <w:spacing w:after="0" w:line="297" w:lineRule="auto"/>
        <w:rPr>
          <w:sz w:val="20"/>
          <w:szCs w:val="20"/>
          <w:color w:val="auto"/>
        </w:rPr>
      </w:pPr>
      <w:r>
        <w:rPr>
          <w:rFonts w:ascii="Arial" w:cs="Arial" w:eastAsia="Arial" w:hAnsi="Arial"/>
          <w:sz w:val="16"/>
          <w:szCs w:val="16"/>
          <w:color w:val="auto"/>
        </w:rPr>
        <w:t>None of us, our Investment Advisor or Administrator or any of the Legacy Funds, are currently subject to any material legal proceedings, nor, to our knowledge, is any material legal proceeding threatened against us, or against our Investment Advisor or Administrator.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December 31, 2015, which could materially affect our business, financial condition and/or operating results. The risks described in our Annual Report on Form 10-K are not the only risks we face. Additional risks and uncertainties are not currently known to us or that we currently deem to be immaterial also may materially adversely affect our business, financial condition and/or operating results. There have been no material changes from the risk factors set forth in our Annual Report on Form 10-K for the year ended December 31,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0" w:firstLine="891"/>
        <w:spacing w:after="0" w:line="279" w:lineRule="auto"/>
        <w:rPr>
          <w:sz w:val="20"/>
          <w:szCs w:val="20"/>
          <w:color w:val="auto"/>
        </w:rPr>
      </w:pPr>
      <w:r>
        <w:rPr>
          <w:rFonts w:ascii="Arial" w:cs="Arial" w:eastAsia="Arial" w:hAnsi="Arial"/>
          <w:sz w:val="17"/>
          <w:szCs w:val="17"/>
          <w:color w:val="auto"/>
        </w:rPr>
        <w:t>During the quarter ended March 31, 2016, we issued 22,290 shares of common stock under our dividend reinvestment plan. The issuances were not subject to the registration requirements under the Securities Act of 1933, as amended. The cash paid for shares of common stock issued under our dividend reinvestment plan during the quarter ended March 31, 2016 was approximately $0.2 million. Other than the shares issued under our dividend reinvestment plan during the quarter ended March 31, 2016, we did not sell any unregistered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460"/>
          </w:cols>
          <w:pgMar w:left="240" w:top="905" w:right="199" w:bottom="184" w:gutter="0" w:footer="0" w:header="0"/>
        </w:sect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Number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94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3.6</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4.2</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1144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441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Articles of Amendment and Restatement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Certificate of Limited Partnership of CapitalSouth Partners Fund II Limited Partnership </w:t>
      </w:r>
      <w:r>
        <w:rPr>
          <w:rFonts w:ascii="Arial" w:cs="Arial" w:eastAsia="Arial" w:hAnsi="Arial"/>
          <w:sz w:val="30"/>
          <w:szCs w:val="30"/>
          <w:color w:val="auto"/>
          <w:vertAlign w:val="superscript"/>
        </w:rPr>
        <w:t>(2)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Certificate of Limited Partnership of CapitalSouth Partners SBIC Fund III, L.P. </w:t>
      </w:r>
      <w:r>
        <w:rPr>
          <w:rFonts w:ascii="Arial" w:cs="Arial" w:eastAsia="Arial" w:hAnsi="Arial"/>
          <w:sz w:val="30"/>
          <w:szCs w:val="30"/>
          <w:color w:val="auto"/>
          <w:vertAlign w:val="superscript"/>
        </w:rPr>
        <w:t>(2)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Bylaws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Form of Amended and Restated Limited Partnership Agreement of CapitalSouth Partners Fund II Limited Partnership </w:t>
      </w:r>
      <w:r>
        <w:rPr>
          <w:rFonts w:ascii="Arial" w:cs="Arial" w:eastAsia="Arial" w:hAnsi="Arial"/>
          <w:sz w:val="26"/>
          <w:szCs w:val="26"/>
          <w:color w:val="auto"/>
          <w:vertAlign w:val="superscript"/>
        </w:rPr>
        <w:t>(3)</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Form of Amended and Restated Agreement of Limited Partnership of CapitalSouth Partners SBIC Fund III, L.P. </w:t>
      </w:r>
      <w:r>
        <w:rPr>
          <w:rFonts w:ascii="Arial" w:cs="Arial" w:eastAsia="Arial" w:hAnsi="Arial"/>
          <w:sz w:val="28"/>
          <w:szCs w:val="28"/>
          <w:color w:val="auto"/>
          <w:vertAlign w:val="superscript"/>
        </w:rPr>
        <w:t>(3)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Common Stock Certificate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Base Indenture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First Supplemental Indenture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Global Note (included as Exhibit A to the Form of First Supplemental Indenture) </w:t>
      </w:r>
      <w:r>
        <w:rPr>
          <w:rFonts w:ascii="Arial" w:cs="Arial" w:eastAsia="Arial" w:hAnsi="Arial"/>
          <w:sz w:val="30"/>
          <w:szCs w:val="30"/>
          <w:color w:val="auto"/>
          <w:vertAlign w:val="superscript"/>
        </w:rPr>
        <w:t>(4)</w:t>
      </w:r>
    </w:p>
    <w:p>
      <w:pPr>
        <w:spacing w:after="0" w:line="124" w:lineRule="exact"/>
        <w:rPr>
          <w:sz w:val="20"/>
          <w:szCs w:val="20"/>
          <w:color w:val="auto"/>
        </w:rPr>
      </w:pPr>
    </w:p>
    <w:p>
      <w:pPr>
        <w:sectPr>
          <w:pgSz w:w="11900" w:h="16838" w:orient="portrait"/>
          <w:cols w:equalWidth="0" w:num="2">
            <w:col w:w="1300" w:space="560"/>
            <w:col w:w="9600"/>
          </w:cols>
          <w:pgMar w:left="240" w:top="905" w:right="199" w:bottom="184" w:gutter="0" w:footer="0" w:header="0"/>
          <w:type w:val="continuous"/>
        </w:sectPr>
      </w:pPr>
    </w:p>
    <w:tbl>
      <w:tblPr>
        <w:tblLayout w:type="fixed"/>
        <w:tblInd w:w="0" w:type="dxa"/>
        <w:tblCellMar>
          <w:top w:w="0" w:type="dxa"/>
          <w:left w:w="0" w:type="dxa"/>
          <w:bottom w:w="0" w:type="dxa"/>
          <w:right w:w="0" w:type="dxa"/>
        </w:tblCellMar>
      </w:tblPr>
      <w:tr>
        <w:trPr>
          <w:trHeight w:val="394"/>
        </w:trPr>
        <w:tc>
          <w:tcPr>
            <w:tcW w:w="1460" w:type="dxa"/>
            <w:vAlign w:val="bottom"/>
          </w:tcPr>
          <w:p>
            <w:pPr>
              <w:ind w:left="660"/>
              <w:spacing w:after="0"/>
              <w:rPr>
                <w:sz w:val="20"/>
                <w:szCs w:val="20"/>
                <w:color w:val="auto"/>
              </w:rPr>
            </w:pPr>
            <w:r>
              <w:rPr>
                <w:rFonts w:ascii="Arial" w:cs="Arial" w:eastAsia="Arial" w:hAnsi="Arial"/>
                <w:sz w:val="18"/>
                <w:szCs w:val="18"/>
                <w:color w:val="auto"/>
              </w:rPr>
              <w:t>10.1</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 xml:space="preserve">Form of Dividend Reinvestment Plan </w:t>
            </w:r>
            <w:r>
              <w:rPr>
                <w:rFonts w:ascii="Arial" w:cs="Arial" w:eastAsia="Arial" w:hAnsi="Arial"/>
                <w:sz w:val="30"/>
                <w:szCs w:val="30"/>
                <w:color w:val="auto"/>
                <w:vertAlign w:val="superscript"/>
              </w:rPr>
              <w:t>(1)</w:t>
            </w:r>
          </w:p>
        </w:tc>
      </w:tr>
      <w:tr>
        <w:trPr>
          <w:trHeight w:val="473"/>
        </w:trPr>
        <w:tc>
          <w:tcPr>
            <w:tcW w:w="1460" w:type="dxa"/>
            <w:vAlign w:val="bottom"/>
          </w:tcPr>
          <w:p>
            <w:pPr>
              <w:ind w:left="660"/>
              <w:spacing w:after="0"/>
              <w:rPr>
                <w:sz w:val="20"/>
                <w:szCs w:val="20"/>
                <w:color w:val="auto"/>
              </w:rPr>
            </w:pPr>
            <w:r>
              <w:rPr>
                <w:rFonts w:ascii="Arial" w:cs="Arial" w:eastAsia="Arial" w:hAnsi="Arial"/>
                <w:sz w:val="18"/>
                <w:szCs w:val="18"/>
                <w:color w:val="auto"/>
              </w:rPr>
              <w:t>10.2</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 xml:space="preserve">Form of Investment Advisory Agreement by and between Registrant and Capitala Investment Advisors, LLC </w:t>
            </w:r>
            <w:r>
              <w:rPr>
                <w:rFonts w:ascii="Arial" w:cs="Arial" w:eastAsia="Arial" w:hAnsi="Arial"/>
                <w:sz w:val="30"/>
                <w:szCs w:val="30"/>
                <w:color w:val="auto"/>
                <w:vertAlign w:val="superscript"/>
              </w:rPr>
              <w:t>(1)</w:t>
            </w:r>
          </w:p>
        </w:tc>
      </w:tr>
      <w:tr>
        <w:trPr>
          <w:trHeight w:val="473"/>
        </w:trPr>
        <w:tc>
          <w:tcPr>
            <w:tcW w:w="1460" w:type="dxa"/>
            <w:vAlign w:val="bottom"/>
          </w:tcPr>
          <w:p>
            <w:pPr>
              <w:ind w:left="660"/>
              <w:spacing w:after="0"/>
              <w:rPr>
                <w:sz w:val="20"/>
                <w:szCs w:val="20"/>
                <w:color w:val="auto"/>
              </w:rPr>
            </w:pPr>
            <w:r>
              <w:rPr>
                <w:rFonts w:ascii="Arial" w:cs="Arial" w:eastAsia="Arial" w:hAnsi="Arial"/>
                <w:sz w:val="18"/>
                <w:szCs w:val="18"/>
                <w:color w:val="auto"/>
              </w:rPr>
              <w:t>10.3</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 xml:space="preserve">Form of Custodian Agreement </w:t>
            </w:r>
            <w:r>
              <w:rPr>
                <w:rFonts w:ascii="Arial" w:cs="Arial" w:eastAsia="Arial" w:hAnsi="Arial"/>
                <w:sz w:val="30"/>
                <w:szCs w:val="30"/>
                <w:color w:val="auto"/>
                <w:vertAlign w:val="superscript"/>
              </w:rPr>
              <w:t>(1)</w:t>
            </w:r>
          </w:p>
        </w:tc>
      </w:tr>
      <w:tr>
        <w:trPr>
          <w:trHeight w:val="473"/>
        </w:trPr>
        <w:tc>
          <w:tcPr>
            <w:tcW w:w="1460" w:type="dxa"/>
            <w:vAlign w:val="bottom"/>
          </w:tcPr>
          <w:p>
            <w:pPr>
              <w:ind w:left="660"/>
              <w:spacing w:after="0"/>
              <w:rPr>
                <w:sz w:val="20"/>
                <w:szCs w:val="20"/>
                <w:color w:val="auto"/>
              </w:rPr>
            </w:pPr>
            <w:r>
              <w:rPr>
                <w:rFonts w:ascii="Arial" w:cs="Arial" w:eastAsia="Arial" w:hAnsi="Arial"/>
                <w:sz w:val="18"/>
                <w:szCs w:val="18"/>
                <w:color w:val="auto"/>
              </w:rPr>
              <w:t>10.4</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 xml:space="preserve">Form of Administration Agreement by and between Registrant and Capitala Advisors Corp. </w:t>
            </w:r>
            <w:r>
              <w:rPr>
                <w:rFonts w:ascii="Arial" w:cs="Arial" w:eastAsia="Arial" w:hAnsi="Arial"/>
                <w:sz w:val="30"/>
                <w:szCs w:val="30"/>
                <w:color w:val="auto"/>
                <w:vertAlign w:val="superscript"/>
              </w:rPr>
              <w:t>(1)</w:t>
            </w:r>
          </w:p>
        </w:tc>
      </w:tr>
      <w:tr>
        <w:trPr>
          <w:trHeight w:val="473"/>
        </w:trPr>
        <w:tc>
          <w:tcPr>
            <w:tcW w:w="1460" w:type="dxa"/>
            <w:vAlign w:val="bottom"/>
          </w:tcPr>
          <w:p>
            <w:pPr>
              <w:ind w:left="660"/>
              <w:spacing w:after="0"/>
              <w:rPr>
                <w:sz w:val="20"/>
                <w:szCs w:val="20"/>
                <w:color w:val="auto"/>
              </w:rPr>
            </w:pPr>
            <w:r>
              <w:rPr>
                <w:rFonts w:ascii="Arial" w:cs="Arial" w:eastAsia="Arial" w:hAnsi="Arial"/>
                <w:sz w:val="18"/>
                <w:szCs w:val="18"/>
                <w:color w:val="auto"/>
              </w:rPr>
              <w:t>10.5</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 xml:space="preserve">Form of Indemnification Agreement by and between Registrant and each of its directors </w:t>
            </w:r>
            <w:r>
              <w:rPr>
                <w:rFonts w:ascii="Arial" w:cs="Arial" w:eastAsia="Arial" w:hAnsi="Arial"/>
                <w:sz w:val="30"/>
                <w:szCs w:val="30"/>
                <w:color w:val="auto"/>
                <w:vertAlign w:val="superscript"/>
              </w:rPr>
              <w:t>(1)</w:t>
            </w:r>
          </w:p>
        </w:tc>
      </w:tr>
      <w:tr>
        <w:trPr>
          <w:trHeight w:val="473"/>
        </w:trPr>
        <w:tc>
          <w:tcPr>
            <w:tcW w:w="1460" w:type="dxa"/>
            <w:vAlign w:val="bottom"/>
          </w:tcPr>
          <w:p>
            <w:pPr>
              <w:ind w:left="660"/>
              <w:spacing w:after="0"/>
              <w:rPr>
                <w:sz w:val="20"/>
                <w:szCs w:val="20"/>
                <w:color w:val="auto"/>
              </w:rPr>
            </w:pPr>
            <w:r>
              <w:rPr>
                <w:rFonts w:ascii="Arial" w:cs="Arial" w:eastAsia="Arial" w:hAnsi="Arial"/>
                <w:sz w:val="18"/>
                <w:szCs w:val="18"/>
                <w:color w:val="auto"/>
              </w:rPr>
              <w:t>10.6</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 xml:space="preserve">Form of Trademark License Agreement by and between Registrant and Capitala Investment Advisors, LLC </w:t>
            </w:r>
            <w:r>
              <w:rPr>
                <w:rFonts w:ascii="Arial" w:cs="Arial" w:eastAsia="Arial" w:hAnsi="Arial"/>
                <w:sz w:val="30"/>
                <w:szCs w:val="30"/>
                <w:color w:val="auto"/>
                <w:vertAlign w:val="superscript"/>
              </w:rPr>
              <w:t>(1)</w:t>
            </w:r>
          </w:p>
        </w:tc>
      </w:tr>
      <w:tr>
        <w:trPr>
          <w:trHeight w:val="299"/>
        </w:trPr>
        <w:tc>
          <w:tcPr>
            <w:tcW w:w="1460" w:type="dxa"/>
            <w:vAlign w:val="bottom"/>
          </w:tcPr>
          <w:p>
            <w:pPr>
              <w:ind w:left="660"/>
              <w:spacing w:after="0"/>
              <w:rPr>
                <w:sz w:val="20"/>
                <w:szCs w:val="20"/>
                <w:color w:val="auto"/>
              </w:rPr>
            </w:pPr>
            <w:r>
              <w:rPr>
                <w:rFonts w:ascii="Arial" w:cs="Arial" w:eastAsia="Arial" w:hAnsi="Arial"/>
                <w:sz w:val="18"/>
                <w:szCs w:val="18"/>
                <w:color w:val="auto"/>
              </w:rPr>
              <w:t>10.7</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w w:val="94"/>
              </w:rPr>
              <w:t>Form of Senior Secured Revolving Credit Agreement dated October 17, 2014, among Capitala Finance Corp., as Borrower, the</w:t>
            </w:r>
          </w:p>
        </w:tc>
      </w:tr>
      <w:tr>
        <w:trPr>
          <w:trHeight w:val="390"/>
        </w:trPr>
        <w:tc>
          <w:tcPr>
            <w:tcW w:w="1460" w:type="dxa"/>
            <w:vAlign w:val="bottom"/>
          </w:tcPr>
          <w:p>
            <w:pPr>
              <w:spacing w:after="0"/>
              <w:rPr>
                <w:sz w:val="24"/>
                <w:szCs w:val="24"/>
                <w:color w:val="auto"/>
              </w:rPr>
            </w:pP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 xml:space="preserve">lenders party thereto, and ING Capital LLC, as Administrative Agent, Arranger and Bookrunner </w:t>
            </w:r>
            <w:r>
              <w:rPr>
                <w:rFonts w:ascii="Arial" w:cs="Arial" w:eastAsia="Arial" w:hAnsi="Arial"/>
                <w:sz w:val="30"/>
                <w:szCs w:val="30"/>
                <w:color w:val="auto"/>
                <w:vertAlign w:val="superscript"/>
              </w:rPr>
              <w:t>(5)</w:t>
            </w:r>
          </w:p>
        </w:tc>
      </w:tr>
      <w:tr>
        <w:trPr>
          <w:trHeight w:val="295"/>
        </w:trPr>
        <w:tc>
          <w:tcPr>
            <w:tcW w:w="1460" w:type="dxa"/>
            <w:vAlign w:val="bottom"/>
          </w:tcPr>
          <w:p>
            <w:pPr>
              <w:ind w:left="660"/>
              <w:spacing w:after="0"/>
              <w:rPr>
                <w:sz w:val="20"/>
                <w:szCs w:val="20"/>
                <w:color w:val="auto"/>
              </w:rPr>
            </w:pPr>
            <w:r>
              <w:rPr>
                <w:rFonts w:ascii="Arial" w:cs="Arial" w:eastAsia="Arial" w:hAnsi="Arial"/>
                <w:sz w:val="18"/>
                <w:szCs w:val="18"/>
                <w:color w:val="auto"/>
              </w:rPr>
              <w:t>10.8</w:t>
            </w: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w w:val="94"/>
              </w:rPr>
              <w:t>Form of Guarantee, Pledge and Security Agreement dated October 17, 2014, among Capitala Finance Corp., as Borrower, the</w:t>
            </w:r>
          </w:p>
        </w:tc>
      </w:tr>
      <w:tr>
        <w:trPr>
          <w:trHeight w:val="220"/>
        </w:trPr>
        <w:tc>
          <w:tcPr>
            <w:tcW w:w="1460" w:type="dxa"/>
            <w:vAlign w:val="bottom"/>
          </w:tcPr>
          <w:p>
            <w:pPr>
              <w:spacing w:after="0"/>
              <w:rPr>
                <w:sz w:val="19"/>
                <w:szCs w:val="19"/>
                <w:color w:val="auto"/>
              </w:rPr>
            </w:pP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w w:val="98"/>
              </w:rPr>
              <w:t>subsidiary guarantors party thereto, ING Capital LLC, as Revolving Administrative Agent for the Revolving Lenders and as</w:t>
            </w:r>
          </w:p>
        </w:tc>
      </w:tr>
      <w:tr>
        <w:trPr>
          <w:trHeight w:val="390"/>
        </w:trPr>
        <w:tc>
          <w:tcPr>
            <w:tcW w:w="1460" w:type="dxa"/>
            <w:vAlign w:val="bottom"/>
          </w:tcPr>
          <w:p>
            <w:pPr>
              <w:spacing w:after="0"/>
              <w:rPr>
                <w:sz w:val="24"/>
                <w:szCs w:val="24"/>
                <w:color w:val="auto"/>
              </w:rPr>
            </w:pP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 xml:space="preserve">Collateral Agent, and each Financing Agent and Designated Indebtedness Holder party thereto </w:t>
            </w:r>
            <w:r>
              <w:rPr>
                <w:rFonts w:ascii="Arial" w:cs="Arial" w:eastAsia="Arial" w:hAnsi="Arial"/>
                <w:sz w:val="30"/>
                <w:szCs w:val="30"/>
                <w:color w:val="auto"/>
                <w:vertAlign w:val="superscript"/>
              </w:rPr>
              <w:t>(5)</w:t>
            </w:r>
          </w:p>
        </w:tc>
      </w:tr>
      <w:tr>
        <w:trPr>
          <w:trHeight w:val="295"/>
        </w:trPr>
        <w:tc>
          <w:tcPr>
            <w:tcW w:w="1460" w:type="dxa"/>
            <w:vAlign w:val="bottom"/>
          </w:tcPr>
          <w:p>
            <w:pPr>
              <w:ind w:left="660"/>
              <w:spacing w:after="0"/>
              <w:rPr>
                <w:sz w:val="20"/>
                <w:szCs w:val="20"/>
                <w:color w:val="auto"/>
              </w:rPr>
            </w:pPr>
            <w:r>
              <w:rPr>
                <w:rFonts w:ascii="Arial" w:cs="Arial" w:eastAsia="Arial" w:hAnsi="Arial"/>
                <w:sz w:val="18"/>
                <w:szCs w:val="18"/>
                <w:color w:val="auto"/>
              </w:rPr>
              <w:t>10.9</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w w:val="93"/>
              </w:rPr>
              <w:t>Form of Incremental Assumption Agreement, dated January 6, 2015, relating to the Senior Secured Revolving Credit Agreement,</w:t>
            </w:r>
          </w:p>
        </w:tc>
      </w:tr>
      <w:tr>
        <w:trPr>
          <w:trHeight w:val="220"/>
        </w:trPr>
        <w:tc>
          <w:tcPr>
            <w:tcW w:w="1460" w:type="dxa"/>
            <w:vAlign w:val="bottom"/>
          </w:tcPr>
          <w:p>
            <w:pPr>
              <w:spacing w:after="0"/>
              <w:rPr>
                <w:sz w:val="19"/>
                <w:szCs w:val="19"/>
                <w:color w:val="auto"/>
              </w:rPr>
            </w:pP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w w:val="94"/>
              </w:rPr>
              <w:t>dated as of October 17, 2014, among Capitala Finance Corp., as borrower, the lenders from time to time party thereto, and ING</w:t>
            </w:r>
          </w:p>
        </w:tc>
      </w:tr>
      <w:tr>
        <w:trPr>
          <w:trHeight w:val="390"/>
        </w:trPr>
        <w:tc>
          <w:tcPr>
            <w:tcW w:w="1460" w:type="dxa"/>
            <w:vAlign w:val="bottom"/>
          </w:tcPr>
          <w:p>
            <w:pPr>
              <w:spacing w:after="0"/>
              <w:rPr>
                <w:sz w:val="24"/>
                <w:szCs w:val="24"/>
                <w:color w:val="auto"/>
              </w:rPr>
            </w:pP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 xml:space="preserve">Capital LLC, as administrative agent, arranger and bookrunner </w:t>
            </w:r>
            <w:r>
              <w:rPr>
                <w:rFonts w:ascii="Arial" w:cs="Arial" w:eastAsia="Arial" w:hAnsi="Arial"/>
                <w:sz w:val="30"/>
                <w:szCs w:val="30"/>
                <w:color w:val="auto"/>
                <w:vertAlign w:val="superscript"/>
              </w:rPr>
              <w:t>(6)</w:t>
            </w:r>
          </w:p>
        </w:tc>
      </w:tr>
      <w:tr>
        <w:trPr>
          <w:trHeight w:val="299"/>
        </w:trPr>
        <w:tc>
          <w:tcPr>
            <w:tcW w:w="1460" w:type="dxa"/>
            <w:vAlign w:val="bottom"/>
          </w:tcPr>
          <w:p>
            <w:pPr>
              <w:ind w:left="660"/>
              <w:spacing w:after="0"/>
              <w:rPr>
                <w:sz w:val="20"/>
                <w:szCs w:val="20"/>
                <w:color w:val="auto"/>
              </w:rPr>
            </w:pPr>
            <w:r>
              <w:rPr>
                <w:rFonts w:ascii="Arial" w:cs="Arial" w:eastAsia="Arial" w:hAnsi="Arial"/>
                <w:sz w:val="18"/>
                <w:szCs w:val="18"/>
                <w:color w:val="auto"/>
              </w:rPr>
              <w:t>10.10</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w w:val="94"/>
              </w:rPr>
              <w:t>First Amended and Restated Limited Liability Company Agreement of Capitala Senior Liquid Loan Fund I, LLC, dated March 24,</w:t>
            </w:r>
          </w:p>
        </w:tc>
      </w:tr>
      <w:tr>
        <w:trPr>
          <w:trHeight w:val="390"/>
        </w:trPr>
        <w:tc>
          <w:tcPr>
            <w:tcW w:w="1460" w:type="dxa"/>
            <w:vAlign w:val="bottom"/>
          </w:tcPr>
          <w:p>
            <w:pPr>
              <w:spacing w:after="0"/>
              <w:rPr>
                <w:sz w:val="24"/>
                <w:szCs w:val="24"/>
                <w:color w:val="auto"/>
              </w:rPr>
            </w:pPr>
          </w:p>
        </w:tc>
        <w:tc>
          <w:tcPr>
            <w:tcW w:w="9960" w:type="dxa"/>
            <w:vAlign w:val="bottom"/>
          </w:tcPr>
          <w:p>
            <w:pPr>
              <w:ind w:left="400"/>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30"/>
                <w:szCs w:val="30"/>
                <w:color w:val="auto"/>
                <w:vertAlign w:val="superscript"/>
              </w:rPr>
              <w:t>(7)</w:t>
            </w:r>
          </w:p>
        </w:tc>
        <w:tc>
          <w:tcPr>
            <w:tcW w:w="40" w:type="dxa"/>
            <w:vAlign w:val="bottom"/>
          </w:tcPr>
          <w:p>
            <w:pPr>
              <w:spacing w:after="0"/>
              <w:rPr>
                <w:sz w:val="24"/>
                <w:szCs w:val="24"/>
                <w:color w:val="auto"/>
              </w:rPr>
            </w:pPr>
          </w:p>
        </w:tc>
      </w:tr>
      <w:tr>
        <w:trPr>
          <w:trHeight w:val="295"/>
        </w:trPr>
        <w:tc>
          <w:tcPr>
            <w:tcW w:w="1460" w:type="dxa"/>
            <w:vAlign w:val="bottom"/>
          </w:tcPr>
          <w:p>
            <w:pPr>
              <w:ind w:left="660"/>
              <w:spacing w:after="0"/>
              <w:rPr>
                <w:sz w:val="20"/>
                <w:szCs w:val="20"/>
                <w:color w:val="auto"/>
              </w:rPr>
            </w:pPr>
            <w:r>
              <w:rPr>
                <w:rFonts w:ascii="Arial" w:cs="Arial" w:eastAsia="Arial" w:hAnsi="Arial"/>
                <w:sz w:val="18"/>
                <w:szCs w:val="18"/>
                <w:color w:val="auto"/>
              </w:rPr>
              <w:t>10.11</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w w:val="93"/>
              </w:rPr>
              <w:t>Form of Incremental Assumption Agreement, dated August 19, 2015, relating to the Senior Secured Revolving Credit Agreement,</w:t>
            </w:r>
          </w:p>
        </w:tc>
      </w:tr>
      <w:tr>
        <w:trPr>
          <w:trHeight w:val="220"/>
        </w:trPr>
        <w:tc>
          <w:tcPr>
            <w:tcW w:w="1460" w:type="dxa"/>
            <w:vAlign w:val="bottom"/>
          </w:tcPr>
          <w:p>
            <w:pPr>
              <w:spacing w:after="0"/>
              <w:rPr>
                <w:sz w:val="19"/>
                <w:szCs w:val="19"/>
                <w:color w:val="auto"/>
              </w:rPr>
            </w:pP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w w:val="90"/>
              </w:rPr>
              <w:t>dated as of October 17, 2014, among Capitala Finance Corp., as borrower, the lenders from time party thereto, and ING Capital LLC,</w:t>
            </w:r>
          </w:p>
        </w:tc>
      </w:tr>
      <w:tr>
        <w:trPr>
          <w:trHeight w:val="390"/>
        </w:trPr>
        <w:tc>
          <w:tcPr>
            <w:tcW w:w="1460" w:type="dxa"/>
            <w:vAlign w:val="bottom"/>
          </w:tcPr>
          <w:p>
            <w:pPr>
              <w:spacing w:after="0"/>
              <w:rPr>
                <w:sz w:val="24"/>
                <w:szCs w:val="24"/>
                <w:color w:val="auto"/>
              </w:rPr>
            </w:pP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 xml:space="preserve">as administrative agent, arranger, and bookrunner </w:t>
            </w:r>
            <w:r>
              <w:rPr>
                <w:rFonts w:ascii="Arial" w:cs="Arial" w:eastAsia="Arial" w:hAnsi="Arial"/>
                <w:sz w:val="30"/>
                <w:szCs w:val="30"/>
                <w:color w:val="auto"/>
                <w:vertAlign w:val="superscript"/>
              </w:rPr>
              <w:t>(8)</w:t>
            </w:r>
          </w:p>
        </w:tc>
      </w:tr>
      <w:tr>
        <w:trPr>
          <w:trHeight w:val="309"/>
        </w:trPr>
        <w:tc>
          <w:tcPr>
            <w:tcW w:w="1460" w:type="dxa"/>
            <w:vAlign w:val="bottom"/>
          </w:tcPr>
          <w:p>
            <w:pPr>
              <w:ind w:left="660"/>
              <w:spacing w:after="0"/>
              <w:rPr>
                <w:sz w:val="20"/>
                <w:szCs w:val="20"/>
                <w:color w:val="auto"/>
              </w:rPr>
            </w:pPr>
            <w:r>
              <w:rPr>
                <w:rFonts w:ascii="Arial" w:cs="Arial" w:eastAsia="Arial" w:hAnsi="Arial"/>
                <w:sz w:val="18"/>
                <w:szCs w:val="18"/>
                <w:color w:val="auto"/>
              </w:rPr>
              <w:t>11.1</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w w:val="98"/>
              </w:rPr>
              <w:t>Computation of Per Share Earnings (included in the notes to the consolidated financial statements contained in this report)</w:t>
            </w:r>
          </w:p>
        </w:tc>
      </w:tr>
      <w:tr>
        <w:trPr>
          <w:trHeight w:val="418"/>
        </w:trPr>
        <w:tc>
          <w:tcPr>
            <w:tcW w:w="1460" w:type="dxa"/>
            <w:vAlign w:val="bottom"/>
          </w:tcPr>
          <w:p>
            <w:pPr>
              <w:ind w:left="660"/>
              <w:spacing w:after="0"/>
              <w:rPr>
                <w:sz w:val="20"/>
                <w:szCs w:val="20"/>
                <w:color w:val="auto"/>
              </w:rPr>
            </w:pPr>
            <w:r>
              <w:rPr>
                <w:rFonts w:ascii="Arial" w:cs="Arial" w:eastAsia="Arial" w:hAnsi="Arial"/>
                <w:sz w:val="18"/>
                <w:szCs w:val="18"/>
                <w:color w:val="auto"/>
              </w:rPr>
              <w:t>31.1</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w w:val="94"/>
              </w:rPr>
              <w:t>Certification of Chief Executive Officer pursuant to Rule 13a-14 of the Securities Exchange Act of 1934, as adopted pursuant to</w:t>
            </w:r>
          </w:p>
        </w:tc>
      </w:tr>
      <w:tr>
        <w:trPr>
          <w:trHeight w:val="230"/>
        </w:trPr>
        <w:tc>
          <w:tcPr>
            <w:tcW w:w="1460" w:type="dxa"/>
            <w:vAlign w:val="bottom"/>
          </w:tcPr>
          <w:p>
            <w:pPr>
              <w:spacing w:after="0"/>
              <w:rPr>
                <w:sz w:val="20"/>
                <w:szCs w:val="20"/>
                <w:color w:val="auto"/>
              </w:rPr>
            </w:pP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418"/>
        </w:trPr>
        <w:tc>
          <w:tcPr>
            <w:tcW w:w="1460" w:type="dxa"/>
            <w:vAlign w:val="bottom"/>
          </w:tcPr>
          <w:p>
            <w:pPr>
              <w:ind w:left="660"/>
              <w:spacing w:after="0"/>
              <w:rPr>
                <w:sz w:val="20"/>
                <w:szCs w:val="20"/>
                <w:color w:val="auto"/>
              </w:rPr>
            </w:pPr>
            <w:r>
              <w:rPr>
                <w:rFonts w:ascii="Arial" w:cs="Arial" w:eastAsia="Arial" w:hAnsi="Arial"/>
                <w:sz w:val="18"/>
                <w:szCs w:val="18"/>
                <w:color w:val="auto"/>
              </w:rPr>
              <w:t>31.2</w:t>
            </w: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w w:val="95"/>
              </w:rPr>
              <w:t>Certification of Chief Financial Officer pursuant to Rule 13a-14 of the Securities Exchange Act of 1934, as adopted pursuant to</w:t>
            </w:r>
          </w:p>
        </w:tc>
      </w:tr>
      <w:tr>
        <w:trPr>
          <w:trHeight w:val="230"/>
        </w:trPr>
        <w:tc>
          <w:tcPr>
            <w:tcW w:w="1460" w:type="dxa"/>
            <w:vAlign w:val="bottom"/>
          </w:tcPr>
          <w:p>
            <w:pPr>
              <w:spacing w:after="0"/>
              <w:rPr>
                <w:sz w:val="20"/>
                <w:szCs w:val="20"/>
                <w:color w:val="auto"/>
              </w:rPr>
            </w:pPr>
          </w:p>
        </w:tc>
        <w:tc>
          <w:tcPr>
            <w:tcW w:w="10000" w:type="dxa"/>
            <w:vAlign w:val="bottom"/>
            <w:gridSpan w:val="2"/>
          </w:tcPr>
          <w:p>
            <w:pPr>
              <w:ind w:left="40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675"/>
        </w:trPr>
        <w:tc>
          <w:tcPr>
            <w:tcW w:w="146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ind w:left="418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905" w:right="199" w:bottom="184" w:gutter="0" w:footer="0" w:header="0"/>
          <w:type w:val="continuous"/>
        </w:sectPr>
      </w:pPr>
    </w:p>
    <w:bookmarkStart w:id="58" w:name="page59"/>
    <w:bookmarkEnd w:id="58"/>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32.1</w:t>
            </w:r>
          </w:p>
        </w:tc>
        <w:tc>
          <w:tcPr>
            <w:tcW w:w="9780" w:type="dxa"/>
            <w:vAlign w:val="bottom"/>
          </w:tcPr>
          <w:p>
            <w:pPr>
              <w:ind w:left="440"/>
              <w:spacing w:after="0"/>
              <w:rPr>
                <w:sz w:val="20"/>
                <w:szCs w:val="20"/>
                <w:color w:val="auto"/>
              </w:rPr>
            </w:pPr>
            <w:r>
              <w:rPr>
                <w:rFonts w:ascii="Arial" w:cs="Arial" w:eastAsia="Arial" w:hAnsi="Arial"/>
                <w:sz w:val="18"/>
                <w:szCs w:val="18"/>
                <w:color w:val="auto"/>
                <w:w w:val="91"/>
              </w:rPr>
              <w:t>Certification of Chief Executive Officer 18 U.S.C. Section 1350, as adopted pursuant to section 906 of the Sarbanes-Oxley Act of</w:t>
            </w:r>
          </w:p>
        </w:tc>
      </w:tr>
      <w:tr>
        <w:trPr>
          <w:trHeight w:val="230"/>
        </w:trPr>
        <w:tc>
          <w:tcPr>
            <w:tcW w:w="760" w:type="dxa"/>
            <w:vAlign w:val="bottom"/>
          </w:tcPr>
          <w:p>
            <w:pPr>
              <w:spacing w:after="0"/>
              <w:rPr>
                <w:sz w:val="20"/>
                <w:szCs w:val="20"/>
                <w:color w:val="auto"/>
              </w:rPr>
            </w:pPr>
          </w:p>
        </w:tc>
        <w:tc>
          <w:tcPr>
            <w:tcW w:w="9780" w:type="dxa"/>
            <w:vAlign w:val="bottom"/>
          </w:tcPr>
          <w:p>
            <w:pPr>
              <w:ind w:left="440"/>
              <w:spacing w:after="0"/>
              <w:rPr>
                <w:sz w:val="20"/>
                <w:szCs w:val="20"/>
                <w:color w:val="auto"/>
              </w:rPr>
            </w:pPr>
            <w:r>
              <w:rPr>
                <w:rFonts w:ascii="Arial" w:cs="Arial" w:eastAsia="Arial" w:hAnsi="Arial"/>
                <w:sz w:val="18"/>
                <w:szCs w:val="18"/>
                <w:color w:val="auto"/>
              </w:rPr>
              <w:t>2002 (filed herewith)</w:t>
            </w:r>
          </w:p>
        </w:tc>
      </w:tr>
      <w:tr>
        <w:trPr>
          <w:trHeight w:val="418"/>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32.2</w:t>
            </w:r>
          </w:p>
        </w:tc>
        <w:tc>
          <w:tcPr>
            <w:tcW w:w="9780" w:type="dxa"/>
            <w:vAlign w:val="bottom"/>
          </w:tcPr>
          <w:p>
            <w:pPr>
              <w:ind w:left="440"/>
              <w:spacing w:after="0"/>
              <w:rPr>
                <w:sz w:val="20"/>
                <w:szCs w:val="20"/>
                <w:color w:val="auto"/>
              </w:rPr>
            </w:pPr>
            <w:r>
              <w:rPr>
                <w:rFonts w:ascii="Arial" w:cs="Arial" w:eastAsia="Arial" w:hAnsi="Arial"/>
                <w:sz w:val="18"/>
                <w:szCs w:val="18"/>
                <w:color w:val="auto"/>
                <w:w w:val="91"/>
              </w:rPr>
              <w:t>Certification of Chief Financial Officer 18 U.S.C. Section 1350, as adopted pursuant to section 906 of the Sarbanes-Oxley Act of</w:t>
            </w:r>
          </w:p>
        </w:tc>
      </w:tr>
      <w:tr>
        <w:trPr>
          <w:trHeight w:val="230"/>
        </w:trPr>
        <w:tc>
          <w:tcPr>
            <w:tcW w:w="760" w:type="dxa"/>
            <w:vAlign w:val="bottom"/>
          </w:tcPr>
          <w:p>
            <w:pPr>
              <w:spacing w:after="0"/>
              <w:rPr>
                <w:sz w:val="20"/>
                <w:szCs w:val="20"/>
                <w:color w:val="auto"/>
              </w:rPr>
            </w:pPr>
          </w:p>
        </w:tc>
        <w:tc>
          <w:tcPr>
            <w:tcW w:w="9780" w:type="dxa"/>
            <w:vAlign w:val="bottom"/>
          </w:tcPr>
          <w:p>
            <w:pPr>
              <w:ind w:left="440"/>
              <w:spacing w:after="0"/>
              <w:rPr>
                <w:sz w:val="20"/>
                <w:szCs w:val="20"/>
                <w:color w:val="auto"/>
              </w:rPr>
            </w:pPr>
            <w:r>
              <w:rPr>
                <w:rFonts w:ascii="Arial" w:cs="Arial" w:eastAsia="Arial" w:hAnsi="Arial"/>
                <w:sz w:val="18"/>
                <w:szCs w:val="18"/>
                <w:color w:val="auto"/>
              </w:rPr>
              <w:t>2002 (filed herewith)</w:t>
            </w:r>
          </w:p>
        </w:tc>
      </w:tr>
    </w:tbl>
    <w:p>
      <w:pPr>
        <w:spacing w:after="0" w:line="202" w:lineRule="exact"/>
        <w:rPr>
          <w:sz w:val="20"/>
          <w:szCs w:val="20"/>
          <w:color w:val="auto"/>
        </w:rPr>
      </w:pPr>
    </w:p>
    <w:p>
      <w:pPr>
        <w:ind w:left="1204" w:right="60" w:hanging="1204"/>
        <w:spacing w:after="0" w:line="277" w:lineRule="auto"/>
        <w:tabs>
          <w:tab w:leader="none" w:pos="1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1204" w:hanging="1204"/>
        <w:spacing w:after="0" w:line="277" w:lineRule="auto"/>
        <w:tabs>
          <w:tab w:leader="none" w:pos="1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1204" w:hanging="1204"/>
        <w:spacing w:after="0" w:line="277" w:lineRule="auto"/>
        <w:tabs>
          <w:tab w:leader="none" w:pos="1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170" w:lineRule="exact"/>
        <w:rPr>
          <w:rFonts w:ascii="Arial" w:cs="Arial" w:eastAsia="Arial" w:hAnsi="Arial"/>
          <w:sz w:val="18"/>
          <w:szCs w:val="18"/>
          <w:color w:val="auto"/>
        </w:rPr>
      </w:pPr>
    </w:p>
    <w:p>
      <w:pPr>
        <w:ind w:left="1204" w:hanging="1204"/>
        <w:spacing w:after="0" w:line="277" w:lineRule="auto"/>
        <w:tabs>
          <w:tab w:leader="none" w:pos="1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170" w:lineRule="exact"/>
        <w:rPr>
          <w:rFonts w:ascii="Arial" w:cs="Arial" w:eastAsia="Arial" w:hAnsi="Arial"/>
          <w:sz w:val="18"/>
          <w:szCs w:val="18"/>
          <w:color w:val="auto"/>
        </w:rPr>
      </w:pPr>
    </w:p>
    <w:p>
      <w:pPr>
        <w:ind w:left="1204" w:hanging="1204"/>
        <w:spacing w:after="0"/>
        <w:tabs>
          <w:tab w:leader="none" w:pos="1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October 21, 2014.</w:t>
      </w:r>
    </w:p>
    <w:p>
      <w:pPr>
        <w:spacing w:after="0" w:line="225" w:lineRule="exact"/>
        <w:rPr>
          <w:rFonts w:ascii="Arial" w:cs="Arial" w:eastAsia="Arial" w:hAnsi="Arial"/>
          <w:sz w:val="18"/>
          <w:szCs w:val="18"/>
          <w:color w:val="auto"/>
        </w:rPr>
      </w:pPr>
    </w:p>
    <w:p>
      <w:pPr>
        <w:ind w:left="1204" w:hanging="1204"/>
        <w:spacing w:after="0"/>
        <w:tabs>
          <w:tab w:leader="none" w:pos="1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January 8, 2015.</w:t>
      </w:r>
    </w:p>
    <w:p>
      <w:pPr>
        <w:spacing w:after="0" w:line="225" w:lineRule="exact"/>
        <w:rPr>
          <w:rFonts w:ascii="Arial" w:cs="Arial" w:eastAsia="Arial" w:hAnsi="Arial"/>
          <w:sz w:val="18"/>
          <w:szCs w:val="18"/>
          <w:color w:val="auto"/>
        </w:rPr>
      </w:pPr>
    </w:p>
    <w:p>
      <w:pPr>
        <w:ind w:left="1204" w:hanging="1204"/>
        <w:spacing w:after="0"/>
        <w:tabs>
          <w:tab w:leader="none" w:pos="1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March 24, 2015.</w:t>
      </w:r>
    </w:p>
    <w:p>
      <w:pPr>
        <w:spacing w:after="0" w:line="225" w:lineRule="exact"/>
        <w:rPr>
          <w:rFonts w:ascii="Arial" w:cs="Arial" w:eastAsia="Arial" w:hAnsi="Arial"/>
          <w:sz w:val="18"/>
          <w:szCs w:val="18"/>
          <w:color w:val="auto"/>
        </w:rPr>
      </w:pPr>
    </w:p>
    <w:p>
      <w:pPr>
        <w:ind w:left="1204" w:hanging="1204"/>
        <w:spacing w:after="0"/>
        <w:tabs>
          <w:tab w:leader="none" w:pos="1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August 25, 2015.</w:t>
      </w:r>
    </w:p>
    <w:p>
      <w:pPr>
        <w:spacing w:after="0" w:line="200" w:lineRule="exact"/>
        <w:rPr>
          <w:sz w:val="20"/>
          <w:szCs w:val="20"/>
          <w:color w:val="auto"/>
        </w:rPr>
      </w:pPr>
    </w:p>
    <w:p>
      <w:pPr>
        <w:spacing w:after="0" w:line="24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4"/>
          </w:cols>
          <w:pgMar w:left="896" w:top="936" w:right="29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9, 2016</w:t>
            </w: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9, 2016</w:t>
            </w: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5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51</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00" w:hanging="652"/>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660" w:right="28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360" w:hanging="655"/>
        <w:spacing w:after="0" w:line="264"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960" w:right="400" w:hanging="655"/>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1"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960" w:right="80" w:hanging="655"/>
        <w:spacing w:after="0" w:line="342" w:lineRule="auto"/>
        <w:tabs>
          <w:tab w:leader="none" w:pos="1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00" w:hanging="652"/>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660" w:right="28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360" w:hanging="655"/>
        <w:spacing w:after="0" w:line="264"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960" w:right="400" w:hanging="655"/>
        <w:spacing w:after="0" w:line="286"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1"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960" w:right="80" w:hanging="655"/>
        <w:spacing w:after="0" w:line="342" w:lineRule="auto"/>
        <w:tabs>
          <w:tab w:leader="none" w:pos="19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March 31, 2016,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620" w:right="600" w:hanging="640"/>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620" w:right="640" w:hanging="640"/>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March 31, 2016,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620" w:right="600" w:hanging="640"/>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620" w:right="640" w:hanging="640"/>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2"/>
      <w:numFmt w:val="bullet"/>
      <w:start w:val="1"/>
    </w:lvl>
  </w:abstractNum>
  <w:abstractNum w:abstractNumId="21">
    <w:nsid w:val="189A769B"/>
    <w:multiLevelType w:val="hybridMultilevel"/>
    <w:lvl w:ilvl="0">
      <w:lvlJc w:val="left"/>
      <w:lvlText w:val="3"/>
      <w:numFmt w:val="bullet"/>
      <w:start w:val="1"/>
    </w:lvl>
  </w:abstractNum>
  <w:abstractNum w:abstractNumId="22">
    <w:nsid w:val="54E49EB4"/>
    <w:multiLevelType w:val="hybridMultilevel"/>
    <w:lvl w:ilvl="0">
      <w:lvlJc w:val="left"/>
      <w:lvlText w:val="4"/>
      <w:numFmt w:val="bullet"/>
      <w:start w:val="1"/>
    </w:lvl>
  </w:abstractNum>
  <w:abstractNum w:abstractNumId="23">
    <w:nsid w:val="71F32454"/>
    <w:multiLevelType w:val="hybridMultilevel"/>
    <w:lvl w:ilvl="0">
      <w:lvlJc w:val="left"/>
      <w:lvlText w:val="5"/>
      <w:numFmt w:val="bullet"/>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2019-12-29T11:39:16Z</dcterms:created>
  <dcterms:modified xsi:type="dcterms:W3CDTF">2019-12-29T11:39:16Z</dcterms:modified>
</cp:coreProperties>
</file>