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ectPr>
          <w:pgSz w:w="11900" w:h="16838" w:orient="portrait"/>
          <w:cols w:equalWidth="0" w:num="1">
            <w:col w:w="11400"/>
          </w:cols>
          <w:pgMar w:left="240" w:top="422" w:right="259" w:bottom="1440" w:gutter="0" w:footer="0" w:header="0"/>
        </w:sectPr>
      </w:pPr>
    </w:p>
    <w:p>
      <w:pPr>
        <w:spacing w:after="0" w:line="236"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For the Quarter Ended June 30, 2014</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Commission</w:t>
            </w:r>
          </w:p>
        </w:tc>
        <w:tc>
          <w:tcPr>
            <w:tcW w:w="7780" w:type="dxa"/>
            <w:vAlign w:val="bottom"/>
          </w:tcPr>
          <w:p>
            <w:pPr>
              <w:jc w:val="center"/>
              <w:ind w:left="47"/>
              <w:spacing w:after="0"/>
              <w:rPr>
                <w:sz w:val="20"/>
                <w:szCs w:val="20"/>
                <w:color w:val="auto"/>
              </w:rPr>
            </w:pPr>
            <w:r>
              <w:rPr>
                <w:rFonts w:ascii="Arial" w:cs="Arial" w:eastAsia="Arial" w:hAnsi="Arial"/>
                <w:sz w:val="14"/>
                <w:szCs w:val="14"/>
                <w:b w:val="1"/>
                <w:bCs w:val="1"/>
                <w:color w:val="auto"/>
                <w:w w:val="91"/>
              </w:rPr>
              <w:t>Exact name of registrants as specified in their charters, addresses of principal executive</w:t>
            </w:r>
          </w:p>
        </w:tc>
        <w:tc>
          <w:tcPr>
            <w:tcW w:w="0" w:type="dxa"/>
            <w:vAlign w:val="bottom"/>
          </w:tcPr>
          <w:p>
            <w:pPr>
              <w:spacing w:after="0"/>
              <w:rPr>
                <w:sz w:val="1"/>
                <w:szCs w:val="1"/>
                <w:color w:val="auto"/>
              </w:rPr>
            </w:pPr>
          </w:p>
        </w:tc>
      </w:tr>
      <w:tr>
        <w:trPr>
          <w:trHeight w:val="171"/>
        </w:trPr>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File Number</w:t>
            </w:r>
          </w:p>
        </w:tc>
        <w:tc>
          <w:tcPr>
            <w:tcW w:w="7780" w:type="dxa"/>
            <w:vAlign w:val="bottom"/>
          </w:tcPr>
          <w:p>
            <w:pPr>
              <w:jc w:val="center"/>
              <w:ind w:left="47"/>
              <w:spacing w:after="0"/>
              <w:rPr>
                <w:sz w:val="20"/>
                <w:szCs w:val="20"/>
                <w:color w:val="auto"/>
              </w:rPr>
            </w:pPr>
            <w:r>
              <w:rPr>
                <w:rFonts w:ascii="Arial" w:cs="Arial" w:eastAsia="Arial" w:hAnsi="Arial"/>
                <w:sz w:val="14"/>
                <w:szCs w:val="14"/>
                <w:b w:val="1"/>
                <w:bCs w:val="1"/>
                <w:color w:val="auto"/>
                <w:w w:val="91"/>
              </w:rPr>
              <w:t>offices, telephone numbers and states or other jurisdictions of incorporation or organization</w:t>
            </w:r>
          </w:p>
        </w:tc>
        <w:tc>
          <w:tcPr>
            <w:tcW w:w="0" w:type="dxa"/>
            <w:vAlign w:val="bottom"/>
          </w:tcPr>
          <w:p>
            <w:pPr>
              <w:spacing w:after="0"/>
              <w:rPr>
                <w:sz w:val="1"/>
                <w:szCs w:val="1"/>
                <w:color w:val="auto"/>
              </w:rPr>
            </w:pPr>
          </w:p>
        </w:tc>
      </w:tr>
      <w:tr>
        <w:trPr>
          <w:trHeight w:val="180"/>
        </w:trPr>
        <w:tc>
          <w:tcPr>
            <w:tcW w:w="17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814-01022</w:t>
            </w:r>
          </w:p>
        </w:tc>
        <w:tc>
          <w:tcPr>
            <w:tcW w:w="120" w:type="dxa"/>
            <w:vAlign w:val="bottom"/>
          </w:tcPr>
          <w:p>
            <w:pPr>
              <w:spacing w:after="0"/>
              <w:rPr>
                <w:sz w:val="15"/>
                <w:szCs w:val="15"/>
                <w:color w:val="auto"/>
              </w:rPr>
            </w:pPr>
          </w:p>
        </w:tc>
        <w:tc>
          <w:tcPr>
            <w:tcW w:w="7780" w:type="dxa"/>
            <w:vAlign w:val="bottom"/>
            <w:tcBorders>
              <w:top w:val="single" w:sz="8" w:color="auto"/>
            </w:tcBorders>
            <w:vMerge w:val="restart"/>
          </w:tcPr>
          <w:p>
            <w:pPr>
              <w:jc w:val="center"/>
              <w:spacing w:after="0" w:line="313" w:lineRule="exact"/>
              <w:rPr>
                <w:sz w:val="20"/>
                <w:szCs w:val="20"/>
                <w:color w:val="auto"/>
              </w:rPr>
            </w:pPr>
            <w:r>
              <w:rPr>
                <w:rFonts w:ascii="Arial" w:cs="Arial" w:eastAsia="Arial" w:hAnsi="Arial"/>
                <w:sz w:val="29"/>
                <w:szCs w:val="29"/>
                <w:b w:val="1"/>
                <w:bCs w:val="1"/>
                <w:color w:val="auto"/>
                <w:w w:val="92"/>
              </w:rPr>
              <w:t>Capitala Finance Corp.</w:t>
            </w:r>
          </w:p>
        </w:tc>
        <w:tc>
          <w:tcPr>
            <w:tcW w:w="0" w:type="dxa"/>
            <w:vAlign w:val="bottom"/>
          </w:tcPr>
          <w:p>
            <w:pPr>
              <w:spacing w:after="0"/>
              <w:rPr>
                <w:sz w:val="1"/>
                <w:szCs w:val="1"/>
                <w:color w:val="auto"/>
              </w:rPr>
            </w:pPr>
          </w:p>
        </w:tc>
      </w:tr>
      <w:tr>
        <w:trPr>
          <w:trHeight w:val="133"/>
        </w:trPr>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80" w:type="dxa"/>
            <w:vAlign w:val="bottom"/>
          </w:tcPr>
          <w:p>
            <w:pPr>
              <w:jc w:val="center"/>
              <w:spacing w:after="0"/>
              <w:rPr>
                <w:sz w:val="20"/>
                <w:szCs w:val="20"/>
                <w:color w:val="auto"/>
              </w:rPr>
            </w:pPr>
            <w:r>
              <w:rPr>
                <w:rFonts w:ascii="Arial" w:cs="Arial" w:eastAsia="Arial" w:hAnsi="Arial"/>
                <w:sz w:val="18"/>
                <w:szCs w:val="18"/>
                <w:b w:val="1"/>
                <w:bCs w:val="1"/>
                <w:color w:val="auto"/>
                <w:w w:val="88"/>
              </w:rPr>
              <w:t>4201 Congress St., Suite 360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80" w:type="dxa"/>
            <w:vAlign w:val="bottom"/>
          </w:tcPr>
          <w:p>
            <w:pPr>
              <w:jc w:val="center"/>
              <w:spacing w:after="0"/>
              <w:rPr>
                <w:sz w:val="20"/>
                <w:szCs w:val="20"/>
                <w:color w:val="auto"/>
              </w:rPr>
            </w:pPr>
            <w:r>
              <w:rPr>
                <w:rFonts w:ascii="Arial" w:cs="Arial" w:eastAsia="Arial" w:hAnsi="Arial"/>
                <w:sz w:val="18"/>
                <w:szCs w:val="18"/>
                <w:b w:val="1"/>
                <w:bCs w:val="1"/>
                <w:color w:val="auto"/>
                <w:w w:val="94"/>
              </w:rPr>
              <w:t>Charlotte, North Carolina</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80" w:type="dxa"/>
            <w:vAlign w:val="bottom"/>
          </w:tcPr>
          <w:p>
            <w:pPr>
              <w:jc w:val="center"/>
              <w:spacing w:after="0"/>
              <w:rPr>
                <w:sz w:val="20"/>
                <w:szCs w:val="20"/>
                <w:color w:val="auto"/>
              </w:rPr>
            </w:pPr>
            <w:r>
              <w:rPr>
                <w:rFonts w:ascii="Arial" w:cs="Arial" w:eastAsia="Arial" w:hAnsi="Arial"/>
                <w:sz w:val="18"/>
                <w:szCs w:val="18"/>
                <w:b w:val="1"/>
                <w:bCs w:val="1"/>
                <w:color w:val="auto"/>
                <w:w w:val="90"/>
              </w:rPr>
              <w:t>Telephone: (704) 376-5502</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80" w:type="dxa"/>
            <w:vAlign w:val="bottom"/>
          </w:tcPr>
          <w:p>
            <w:pPr>
              <w:jc w:val="center"/>
              <w:spacing w:after="0"/>
              <w:rPr>
                <w:sz w:val="20"/>
                <w:szCs w:val="20"/>
                <w:color w:val="auto"/>
              </w:rPr>
            </w:pPr>
            <w:r>
              <w:rPr>
                <w:rFonts w:ascii="Arial" w:cs="Arial" w:eastAsia="Arial" w:hAnsi="Arial"/>
                <w:sz w:val="18"/>
                <w:szCs w:val="18"/>
                <w:b w:val="1"/>
                <w:bCs w:val="1"/>
                <w:color w:val="auto"/>
                <w:w w:val="93"/>
              </w:rPr>
              <w:t>State of Incorporation: Maryland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80"/>
        <w:spacing w:after="0"/>
        <w:rPr>
          <w:sz w:val="20"/>
          <w:szCs w:val="20"/>
          <w:color w:val="auto"/>
        </w:rPr>
      </w:pPr>
      <w:r>
        <w:rPr>
          <w:rFonts w:ascii="Arial" w:cs="Arial" w:eastAsia="Arial" w:hAnsi="Arial"/>
          <w:sz w:val="13"/>
          <w:szCs w:val="13"/>
          <w:b w:val="1"/>
          <w:bCs w:val="1"/>
          <w:color w:val="auto"/>
        </w:rPr>
        <w:t>Identification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-140335</wp:posOffset>
            </wp:positionH>
            <wp:positionV relativeFrom="paragraph">
              <wp:posOffset>12065</wp:posOffset>
            </wp:positionV>
            <wp:extent cx="10807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 w:lineRule="exact"/>
        <w:rPr>
          <w:sz w:val="24"/>
          <w:szCs w:val="24"/>
          <w:color w:val="auto"/>
        </w:rPr>
      </w:pPr>
    </w:p>
    <w:p>
      <w:pPr>
        <w:ind w:left="280"/>
        <w:spacing w:after="0"/>
        <w:rPr>
          <w:sz w:val="20"/>
          <w:szCs w:val="20"/>
          <w:color w:val="auto"/>
        </w:rPr>
      </w:pPr>
      <w:r>
        <w:rPr>
          <w:rFonts w:ascii="Arial" w:cs="Arial" w:eastAsia="Arial" w:hAnsi="Arial"/>
          <w:sz w:val="14"/>
          <w:szCs w:val="14"/>
          <w:b w:val="1"/>
          <w:bCs w:val="1"/>
          <w:color w:val="auto"/>
        </w:rPr>
        <w:t>90-0945675</w:t>
      </w:r>
    </w:p>
    <w:p>
      <w:pPr>
        <w:spacing w:after="0" w:line="1252" w:lineRule="exact"/>
        <w:rPr>
          <w:sz w:val="24"/>
          <w:szCs w:val="24"/>
          <w:color w:val="auto"/>
        </w:rPr>
      </w:pPr>
    </w:p>
    <w:p>
      <w:pPr>
        <w:sectPr>
          <w:pgSz w:w="11900" w:h="16838" w:orient="portrait"/>
          <w:cols w:equalWidth="0" w:num="2">
            <w:col w:w="9620" w:space="320"/>
            <w:col w:w="1460"/>
          </w:cols>
          <w:pgMar w:left="240" w:top="422" w:right="259" w:bottom="1440" w:gutter="0" w:footer="0" w:header="0"/>
          <w:type w:val="continuous"/>
        </w:sectPr>
      </w:pPr>
    </w:p>
    <w:p>
      <w:pPr>
        <w:spacing w:after="0" w:line="2" w:lineRule="exact"/>
        <w:rPr>
          <w:sz w:val="24"/>
          <w:szCs w:val="24"/>
          <w:color w:val="auto"/>
        </w:rPr>
      </w:pPr>
    </w:p>
    <w:p>
      <w:pPr>
        <w:ind w:right="60" w:firstLine="881"/>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ind w:left="1300"/>
        <w:spacing w:after="0" w:line="207" w:lineRule="exact"/>
        <w:tabs>
          <w:tab w:leader="none" w:pos="6620" w:val="left"/>
          <w:tab w:leader="none" w:pos="7680" w:val="left"/>
        </w:tabs>
        <w:rPr>
          <w:sz w:val="20"/>
          <w:szCs w:val="20"/>
          <w:color w:val="auto"/>
        </w:rPr>
      </w:pPr>
      <w:r>
        <w:rPr>
          <w:rFonts w:ascii="Arial" w:cs="Arial" w:eastAsia="Arial" w:hAnsi="Arial"/>
          <w:sz w:val="18"/>
          <w:szCs w:val="18"/>
          <w:color w:val="auto"/>
        </w:rPr>
        <w:t>Capitala Finance Corp.</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jc w:val="both"/>
        <w:ind w:firstLine="881"/>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49" w:lineRule="exact"/>
        <w:rPr>
          <w:sz w:val="24"/>
          <w:szCs w:val="24"/>
          <w:color w:val="auto"/>
        </w:rPr>
      </w:pPr>
    </w:p>
    <w:p>
      <w:pPr>
        <w:ind w:left="1300"/>
        <w:spacing w:after="0" w:line="207" w:lineRule="exact"/>
        <w:tabs>
          <w:tab w:leader="none" w:pos="6620" w:val="left"/>
          <w:tab w:leader="none" w:pos="7680" w:val="left"/>
        </w:tabs>
        <w:rPr>
          <w:sz w:val="20"/>
          <w:szCs w:val="20"/>
          <w:color w:val="auto"/>
        </w:rPr>
      </w:pPr>
      <w:r>
        <w:rPr>
          <w:rFonts w:ascii="Arial" w:cs="Arial" w:eastAsia="Arial" w:hAnsi="Arial"/>
          <w:sz w:val="18"/>
          <w:szCs w:val="18"/>
          <w:color w:val="auto"/>
        </w:rPr>
        <w:t>Capitala Finance Corp.</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ind w:right="380" w:firstLine="88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9" w:lineRule="exact"/>
        <w:rPr>
          <w:sz w:val="24"/>
          <w:szCs w:val="24"/>
          <w:color w:val="auto"/>
        </w:rPr>
      </w:pPr>
    </w:p>
    <w:p>
      <w:pPr>
        <w:spacing w:after="0" w:line="207" w:lineRule="exact"/>
        <w:tabs>
          <w:tab w:leader="none" w:pos="3180" w:val="left"/>
          <w:tab w:leader="none" w:pos="6160" w:val="left"/>
          <w:tab w:leader="none" w:pos="6720" w:val="left"/>
          <w:tab w:leader="none" w:pos="10840" w:val="left"/>
        </w:tabs>
        <w:rPr>
          <w:sz w:val="20"/>
          <w:szCs w:val="20"/>
          <w:color w:val="auto"/>
        </w:rPr>
      </w:pPr>
      <w:r>
        <w:rPr>
          <w:rFonts w:ascii="Arial" w:cs="Arial" w:eastAsia="Arial" w:hAnsi="Arial"/>
          <w:sz w:val="18"/>
          <w:szCs w:val="18"/>
          <w:color w:val="auto"/>
        </w:rPr>
        <w:t>Capitala Finance Corp.</w:t>
      </w:r>
      <w:r>
        <w:rPr>
          <w:sz w:val="20"/>
          <w:szCs w:val="20"/>
          <w:color w:val="auto"/>
        </w:rPr>
        <w:tab/>
      </w: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225" w:lineRule="exact"/>
        <w:rPr>
          <w:sz w:val="24"/>
          <w:szCs w:val="24"/>
          <w:color w:val="auto"/>
        </w:rPr>
      </w:pPr>
    </w:p>
    <w:p>
      <w:pPr>
        <w:ind w:left="3200"/>
        <w:spacing w:after="0" w:line="207" w:lineRule="exact"/>
        <w:tabs>
          <w:tab w:leader="none" w:pos="6160" w:val="left"/>
          <w:tab w:leader="none" w:pos="6720" w:val="left"/>
          <w:tab w:leader="none" w:pos="1084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left="9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3" w:lineRule="exact"/>
        <w:rPr>
          <w:sz w:val="24"/>
          <w:szCs w:val="24"/>
          <w:color w:val="auto"/>
        </w:rPr>
      </w:pPr>
    </w:p>
    <w:p>
      <w:pPr>
        <w:ind w:left="1300"/>
        <w:spacing w:after="0" w:line="207" w:lineRule="exact"/>
        <w:tabs>
          <w:tab w:leader="none" w:pos="6620" w:val="left"/>
          <w:tab w:leader="none" w:pos="7680" w:val="left"/>
        </w:tabs>
        <w:rPr>
          <w:sz w:val="20"/>
          <w:szCs w:val="20"/>
          <w:color w:val="auto"/>
        </w:rPr>
      </w:pPr>
      <w:r>
        <w:rPr>
          <w:rFonts w:ascii="Arial" w:cs="Arial" w:eastAsia="Arial" w:hAnsi="Arial"/>
          <w:sz w:val="18"/>
          <w:szCs w:val="18"/>
          <w:color w:val="auto"/>
        </w:rPr>
        <w:t>Capitala Finance Corp.</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The number of shares of Capitala Finance Corp.’s common stock, $0.01 par value, outstanding as of August 11, 2014 was 12,974,420.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598170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80" w:type="dxa"/>
            <w:vAlign w:val="bottom"/>
            <w:gridSpan w:val="10"/>
          </w:tcPr>
          <w:p>
            <w:pPr>
              <w:ind w:left="122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w:t>
            </w:r>
          </w:p>
        </w:tc>
        <w:tc>
          <w:tcPr>
            <w:tcW w:w="9360" w:type="dxa"/>
            <w:vAlign w:val="bottom"/>
            <w:gridSpan w:val="21"/>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360" w:type="dxa"/>
            <w:vAlign w:val="bottom"/>
            <w:gridSpan w:val="21"/>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21"/>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Assets and Liabilities as of June 30, 2014 (unaudited) and December 31, 2013</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360" w:type="dxa"/>
            <w:vAlign w:val="bottom"/>
            <w:gridSpan w:val="21"/>
            <w:shd w:val="clear" w:color="auto" w:fill="CCEEFF"/>
          </w:tcPr>
          <w:p>
            <w:pPr>
              <w:spacing w:after="0" w:line="176"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Consolidated Statements of Operations for the three and six months ended June 30, 2014 (unaudited) and June 30, 2013</w:t>
              </w:r>
            </w:hyperlink>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620" w:type="dxa"/>
            <w:vAlign w:val="bottom"/>
            <w:tcBorders>
              <w:top w:val="single" w:sz="8" w:color="0000EE"/>
            </w:tcBorders>
            <w:gridSpan w:val="18"/>
            <w:shd w:val="clear" w:color="auto" w:fill="CCEEFF"/>
          </w:tcPr>
          <w:p>
            <w:pPr>
              <w:ind w:left="2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740" w:type="dxa"/>
            <w:vAlign w:val="bottom"/>
            <w:tcBorders>
              <w:top w:val="single" w:sz="8" w:color="CCEEFF"/>
            </w:tcBorders>
            <w:gridSpan w:val="3"/>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360" w:type="dxa"/>
            <w:vAlign w:val="bottom"/>
            <w:gridSpan w:val="21"/>
            <w:shd w:val="clear" w:color="auto" w:fill="CCEEFF"/>
          </w:tcPr>
          <w:p>
            <w:pPr>
              <w:spacing w:after="0" w:line="17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Consolidated Statements of Changes in Net Assets for the six months ended June 30, 2014 (unaudited) and June 30, 2013</w:t>
              </w:r>
            </w:hyperlink>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740" w:type="dxa"/>
            <w:vAlign w:val="bottom"/>
            <w:tcBorders>
              <w:top w:val="single" w:sz="8" w:color="0000EE"/>
            </w:tcBorders>
            <w:gridSpan w:val="19"/>
            <w:shd w:val="clear" w:color="auto" w:fill="CCEEFF"/>
          </w:tcPr>
          <w:p>
            <w:pPr>
              <w:ind w:left="2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620" w:type="dxa"/>
            <w:vAlign w:val="bottom"/>
            <w:tcBorders>
              <w:top w:val="single" w:sz="8" w:color="CCEEFF"/>
            </w:tcBorders>
            <w:gridSpan w:val="2"/>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21"/>
            <w:shd w:val="clear" w:color="auto" w:fill="CCEEFF"/>
          </w:tcPr>
          <w:p>
            <w:pPr>
              <w:spacing w:after="0" w:line="17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Consolidated Statements of Cash Flows for the six months ended June 30, 2014 (unaudited) and June 30, 2013 (unaudited)</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21"/>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Schedules of Investments as of June 30, 2014 (unaudited) and December 31, 2013</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21"/>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Notes to Consolidated Financial Statements as of June 30, 2014 (unaudited)</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21"/>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 and Results of Operations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360" w:type="dxa"/>
            <w:vAlign w:val="bottom"/>
            <w:gridSpan w:val="21"/>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360" w:type="dxa"/>
            <w:vAlign w:val="bottom"/>
            <w:gridSpan w:val="21"/>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Controls and Procedures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II</w:t>
            </w:r>
          </w:p>
        </w:tc>
        <w:tc>
          <w:tcPr>
            <w:tcW w:w="9360" w:type="dxa"/>
            <w:vAlign w:val="bottom"/>
            <w:gridSpan w:val="21"/>
            <w:shd w:val="clear" w:color="auto" w:fill="CCEEFF"/>
          </w:tcPr>
          <w:p>
            <w:pPr>
              <w:spacing w:after="0" w:line="176" w:lineRule="exact"/>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OTHER INFORMATION</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360" w:type="dxa"/>
            <w:vAlign w:val="bottom"/>
            <w:gridSpan w:val="21"/>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Legal Proceedings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360" w:type="dxa"/>
            <w:vAlign w:val="bottom"/>
            <w:gridSpan w:val="21"/>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Risk Factors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21"/>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Unregistered Sales of Equity Securities and Use of Proceeds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360" w:type="dxa"/>
            <w:vAlign w:val="bottom"/>
            <w:gridSpan w:val="21"/>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Defaults upon Senior Securities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360" w:type="dxa"/>
            <w:vAlign w:val="bottom"/>
            <w:gridSpan w:val="21"/>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Mine Safety Disclosures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360" w:type="dxa"/>
            <w:vAlign w:val="bottom"/>
            <w:gridSpan w:val="21"/>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Other Information</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360" w:type="dxa"/>
            <w:vAlign w:val="bottom"/>
            <w:gridSpan w:val="21"/>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Exhibits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Signatures</w:t>
              </w:r>
            </w:hyperlink>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5460" w:type="dxa"/>
            <w:vAlign w:val="bottom"/>
            <w:tcBorders>
              <w:top w:val="single" w:sz="8" w:color="CCEEFF"/>
              <w:bottom w:val="single" w:sz="8" w:color="auto"/>
            </w:tcBorders>
            <w:gridSpan w:val="14"/>
          </w:tcPr>
          <w:p>
            <w:pPr>
              <w:ind w:left="4500"/>
              <w:spacing w:after="0"/>
              <w:rPr>
                <w:sz w:val="20"/>
                <w:szCs w:val="20"/>
                <w:color w:val="auto"/>
              </w:rPr>
            </w:pPr>
            <w:r>
              <w:rPr>
                <w:rFonts w:ascii="Arial" w:cs="Arial" w:eastAsia="Arial" w:hAnsi="Arial"/>
                <w:sz w:val="18"/>
                <w:szCs w:val="18"/>
                <w:color w:val="auto"/>
              </w:rPr>
              <w:t>2</w:t>
            </w:r>
          </w:p>
        </w:tc>
        <w:tc>
          <w:tcPr>
            <w:tcW w:w="100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20" w:type="dxa"/>
            <w:vAlign w:val="bottom"/>
          </w:tcPr>
          <w:p>
            <w:pPr>
              <w:jc w:val="center"/>
              <w:ind w:left="3270"/>
              <w:spacing w:after="0"/>
              <w:rPr>
                <w:sz w:val="20"/>
                <w:szCs w:val="20"/>
                <w:color w:val="auto"/>
              </w:rPr>
            </w:pPr>
            <w:r>
              <w:rPr>
                <w:rFonts w:ascii="Arial" w:cs="Arial" w:eastAsia="Arial" w:hAnsi="Arial"/>
                <w:sz w:val="18"/>
                <w:szCs w:val="18"/>
                <w:b w:val="1"/>
                <w:bCs w:val="1"/>
                <w:color w:val="auto"/>
              </w:rPr>
              <w:t>PART I FINANCIAL INFORMATION</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20" w:type="dxa"/>
            <w:vAlign w:val="bottom"/>
          </w:tcPr>
          <w:p>
            <w:pPr>
              <w:jc w:val="center"/>
              <w:ind w:left="3290"/>
              <w:spacing w:after="0"/>
              <w:rPr>
                <w:sz w:val="20"/>
                <w:szCs w:val="20"/>
                <w:color w:val="auto"/>
              </w:rPr>
            </w:pPr>
            <w:r>
              <w:rPr>
                <w:rFonts w:ascii="Arial" w:cs="Arial" w:eastAsia="Arial" w:hAnsi="Arial"/>
                <w:sz w:val="18"/>
                <w:szCs w:val="18"/>
                <w:b w:val="1"/>
                <w:bCs w:val="1"/>
                <w:color w:val="auto"/>
                <w:w w:val="92"/>
              </w:rPr>
              <w:t>Capitala Finance Corp.</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20" w:type="dxa"/>
            <w:vAlign w:val="bottom"/>
          </w:tcPr>
          <w:p>
            <w:pPr>
              <w:jc w:val="center"/>
              <w:ind w:left="3270"/>
              <w:spacing w:after="0"/>
              <w:rPr>
                <w:sz w:val="20"/>
                <w:szCs w:val="20"/>
                <w:color w:val="auto"/>
              </w:rPr>
            </w:pPr>
            <w:r>
              <w:rPr>
                <w:rFonts w:ascii="Arial" w:cs="Arial" w:eastAsia="Arial" w:hAnsi="Arial"/>
                <w:sz w:val="18"/>
                <w:szCs w:val="18"/>
                <w:b w:val="1"/>
                <w:bCs w:val="1"/>
                <w:color w:val="auto"/>
                <w:w w:val="88"/>
              </w:rPr>
              <w:t>Consolidated Statements of Assets and Liabilities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jc w:val="center"/>
              <w:ind w:left="327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ind w:left="1240"/>
              <w:spacing w:after="0"/>
              <w:rPr>
                <w:sz w:val="20"/>
                <w:szCs w:val="20"/>
                <w:color w:val="auto"/>
              </w:rPr>
            </w:pPr>
            <w:r>
              <w:rPr>
                <w:rFonts w:ascii="Arial" w:cs="Arial" w:eastAsia="Arial" w:hAnsi="Arial"/>
                <w:sz w:val="18"/>
                <w:szCs w:val="18"/>
                <w:b w:val="1"/>
                <w:bCs w:val="1"/>
                <w:color w:val="auto"/>
              </w:rPr>
              <w:t>As of</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June 30, 2014</w:t>
            </w:r>
          </w:p>
        </w:tc>
        <w:tc>
          <w:tcPr>
            <w:tcW w:w="10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w w:val="90"/>
              </w:rPr>
              <w:t>December 31, 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Non-control/non-affiliate investments (amortized cost of $116,776 and $84,138, respectively)</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133,176</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Affiliate investments (amortized cost of $163,896 and $159,104, respectively)</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190,892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Control investments (amortized cost of $67,074 and $58,057, respectively)</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81,491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76,481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investments at fair value (amortized cost of $347,746 and $301,299, respectively)</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405,559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166,503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101,622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receivable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fees (net of accumulated amortization of $2,585 and $2,216, respectively)</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8,703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584,469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476,428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SBA debentures payable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192,200</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202,200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113,438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Due to related parties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Incentive fee payable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Interest payable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2,875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Trade settlement payable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9,959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320,565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w w:val="92"/>
              </w:rPr>
              <w:t>Common stock, par value $.01, 100,000,000 common shares authorized, 12,974,420 common shares issued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120"/>
              <w:spacing w:after="0"/>
              <w:rPr>
                <w:sz w:val="20"/>
                <w:szCs w:val="20"/>
                <w:color w:val="auto"/>
              </w:rPr>
            </w:pPr>
            <w:r>
              <w:rPr>
                <w:rFonts w:ascii="Arial" w:cs="Arial" w:eastAsia="Arial" w:hAnsi="Arial"/>
                <w:sz w:val="18"/>
                <w:szCs w:val="18"/>
                <w:color w:val="auto"/>
              </w:rPr>
              <w:t>and outstanding</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130</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188,408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Accumulated undistributed net investment income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15,919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Accumulated undistributed net realized gain (loss) from investments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Net unrealized appreciation on investments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57,813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63,420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net assets</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263,904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net assets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584,469</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20.34</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20" w:type="dxa"/>
            <w:vAlign w:val="bottom"/>
          </w:tcPr>
          <w:p>
            <w:pPr>
              <w:jc w:val="center"/>
              <w:ind w:left="329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020" w:type="dxa"/>
            <w:vAlign w:val="bottom"/>
            <w:tcBorders>
              <w:bottom w:val="single" w:sz="8" w:color="auto"/>
            </w:tcBorders>
          </w:tcPr>
          <w:p>
            <w:pPr>
              <w:jc w:val="center"/>
              <w:ind w:left="3270"/>
              <w:spacing w:after="0"/>
              <w:rPr>
                <w:sz w:val="20"/>
                <w:szCs w:val="20"/>
                <w:color w:val="auto"/>
              </w:rPr>
            </w:pPr>
            <w:r>
              <w:rPr>
                <w:rFonts w:ascii="Arial" w:cs="Arial" w:eastAsia="Arial" w:hAnsi="Arial"/>
                <w:sz w:val="18"/>
                <w:szCs w:val="18"/>
                <w:color w:val="auto"/>
                <w:w w:val="99"/>
              </w:rPr>
              <w:t>3</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640" w:type="dxa"/>
            <w:vAlign w:val="bottom"/>
            <w:gridSpan w:val="6"/>
          </w:tcPr>
          <w:p>
            <w:pPr>
              <w:spacing w:after="0"/>
              <w:rPr>
                <w:sz w:val="20"/>
                <w:szCs w:val="20"/>
                <w:color w:val="auto"/>
              </w:rPr>
            </w:pPr>
            <w:r>
              <w:rPr>
                <w:rFonts w:ascii="Arial" w:cs="Arial" w:eastAsia="Arial" w:hAnsi="Arial"/>
                <w:sz w:val="16"/>
                <w:szCs w:val="16"/>
                <w:b w:val="1"/>
                <w:bCs w:val="1"/>
                <w:color w:val="auto"/>
                <w:w w:val="93"/>
              </w:rPr>
              <w:t>For the three months ended June 30,</w:t>
            </w:r>
          </w:p>
        </w:tc>
        <w:tc>
          <w:tcPr>
            <w:tcW w:w="2520" w:type="dxa"/>
            <w:vAlign w:val="bottom"/>
            <w:gridSpan w:val="8"/>
          </w:tcPr>
          <w:p>
            <w:pPr>
              <w:ind w:left="80"/>
              <w:spacing w:after="0"/>
              <w:rPr>
                <w:sz w:val="20"/>
                <w:szCs w:val="20"/>
                <w:color w:val="auto"/>
              </w:rPr>
            </w:pPr>
            <w:r>
              <w:rPr>
                <w:rFonts w:ascii="Arial" w:cs="Arial" w:eastAsia="Arial" w:hAnsi="Arial"/>
                <w:sz w:val="16"/>
                <w:szCs w:val="16"/>
                <w:b w:val="1"/>
                <w:bCs w:val="1"/>
                <w:color w:val="auto"/>
                <w:w w:val="91"/>
              </w:rPr>
              <w:t>For the six months ended June 30,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2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2014</w:t>
            </w: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(combined)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(combined)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INVESTMENT INCOME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spacing w:after="0"/>
              <w:rPr>
                <w:sz w:val="20"/>
                <w:szCs w:val="20"/>
                <w:color w:val="auto"/>
              </w:rPr>
            </w:pPr>
            <w:r>
              <w:rPr>
                <w:rFonts w:ascii="Arial" w:cs="Arial" w:eastAsia="Arial" w:hAnsi="Arial"/>
                <w:sz w:val="16"/>
                <w:szCs w:val="16"/>
                <w:color w:val="auto"/>
              </w:rPr>
              <w:t>Interest and fee income: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Non-control/Non-affiliate investments</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2,314</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6,066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160"/>
              <w:spacing w:after="0"/>
              <w:rPr>
                <w:sz w:val="20"/>
                <w:szCs w:val="20"/>
                <w:color w:val="auto"/>
              </w:rPr>
            </w:pPr>
            <w:r>
              <w:rPr>
                <w:rFonts w:ascii="Arial" w:cs="Arial" w:eastAsia="Arial" w:hAnsi="Arial"/>
                <w:sz w:val="16"/>
                <w:szCs w:val="16"/>
                <w:color w:val="auto"/>
              </w:rPr>
              <w:t>Affiliate investments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3,884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3,385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7,625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5,829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Control investments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862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2,837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Total interest and fee income</w:t>
            </w: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8,513</w:t>
            </w:r>
          </w:p>
        </w:tc>
        <w:tc>
          <w:tcPr>
            <w:tcW w:w="2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6,561</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16,528</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11,865</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Payment-in-kind interest and dividend income: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160"/>
              <w:spacing w:after="0"/>
              <w:rPr>
                <w:sz w:val="20"/>
                <w:szCs w:val="20"/>
                <w:color w:val="auto"/>
              </w:rPr>
            </w:pPr>
            <w:r>
              <w:rPr>
                <w:rFonts w:ascii="Arial" w:cs="Arial" w:eastAsia="Arial" w:hAnsi="Arial"/>
                <w:sz w:val="16"/>
                <w:szCs w:val="16"/>
                <w:color w:val="auto"/>
              </w:rPr>
              <w:t>Non-control/Non-affiliate investments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Affiliate investments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623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6"/>
                <w:szCs w:val="16"/>
                <w:color w:val="auto"/>
              </w:rPr>
              <w:t>Control investments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2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payment-in-kind interest and dividend income</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1,334</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260" w:type="dxa"/>
            <w:vAlign w:val="bottom"/>
            <w:gridSpan w:val="2"/>
          </w:tcPr>
          <w:p>
            <w:pPr>
              <w:spacing w:after="0"/>
              <w:rPr>
                <w:sz w:val="20"/>
                <w:szCs w:val="20"/>
                <w:color w:val="auto"/>
              </w:rPr>
            </w:pPr>
            <w:r>
              <w:rPr>
                <w:rFonts w:ascii="Arial" w:cs="Arial" w:eastAsia="Arial" w:hAnsi="Arial"/>
                <w:sz w:val="16"/>
                <w:szCs w:val="16"/>
                <w:color w:val="auto"/>
              </w:rPr>
              <w:t>Dividend income:</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Non-control/Non-affiliate investments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1,514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160"/>
              <w:spacing w:after="0"/>
              <w:rPr>
                <w:sz w:val="20"/>
                <w:szCs w:val="20"/>
                <w:color w:val="auto"/>
              </w:rPr>
            </w:pPr>
            <w:r>
              <w:rPr>
                <w:rFonts w:ascii="Arial" w:cs="Arial" w:eastAsia="Arial" w:hAnsi="Arial"/>
                <w:sz w:val="16"/>
                <w:szCs w:val="16"/>
                <w:color w:val="auto"/>
              </w:rPr>
              <w:t>Affiliate investments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Control investments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4,795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Total dividend income</w:t>
            </w: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3,263</w:t>
            </w:r>
          </w:p>
        </w:tc>
        <w:tc>
          <w:tcPr>
            <w:tcW w:w="2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443</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7,025</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Other income</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Interest income from cash and cash equivalents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investment income</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12,526</w:t>
            </w: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24,901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EXPENSES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spacing w:after="0"/>
              <w:rPr>
                <w:sz w:val="20"/>
                <w:szCs w:val="20"/>
                <w:color w:val="auto"/>
              </w:rPr>
            </w:pPr>
            <w:r>
              <w:rPr>
                <w:rFonts w:ascii="Arial" w:cs="Arial" w:eastAsia="Arial" w:hAnsi="Arial"/>
                <w:sz w:val="16"/>
                <w:szCs w:val="16"/>
                <w:color w:val="auto"/>
              </w:rPr>
              <w:t>Interest expense and amortization of deferred financing fees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2,401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2,226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4,601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4,291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Management fees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1,230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4,294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spacing w:after="0"/>
              <w:rPr>
                <w:sz w:val="20"/>
                <w:szCs w:val="20"/>
                <w:color w:val="auto"/>
              </w:rPr>
            </w:pPr>
            <w:r>
              <w:rPr>
                <w:rFonts w:ascii="Arial" w:cs="Arial" w:eastAsia="Arial" w:hAnsi="Arial"/>
                <w:sz w:val="16"/>
                <w:szCs w:val="16"/>
                <w:color w:val="auto"/>
              </w:rPr>
              <w:t>Incentive fees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1,408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2,838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2,013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tcPr>
          <w:p>
            <w:pPr>
              <w:ind w:left="160"/>
              <w:spacing w:after="0"/>
              <w:rPr>
                <w:sz w:val="20"/>
                <w:szCs w:val="20"/>
                <w:color w:val="auto"/>
              </w:rPr>
            </w:pPr>
            <w:r>
              <w:rPr>
                <w:rFonts w:ascii="Arial" w:cs="Arial" w:eastAsia="Arial" w:hAnsi="Arial"/>
                <w:sz w:val="16"/>
                <w:szCs w:val="16"/>
                <w:color w:val="auto"/>
              </w:rPr>
              <w:t>Expenses before management fee waiver</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6,968</w:t>
            </w: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3,558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13,746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Management fee waiver (See Note 5)</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Total expenses net of management fee waiver</w:t>
            </w: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6,892</w:t>
            </w:r>
          </w:p>
        </w:tc>
        <w:tc>
          <w:tcPr>
            <w:tcW w:w="2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3,558</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13,546</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6,539</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6"/>
                <w:szCs w:val="16"/>
                <w:color w:val="auto"/>
              </w:rPr>
              <w:t>NET INVESTMENT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5,634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4,658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11,355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7,948</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tcPr>
          <w:p>
            <w:pPr>
              <w:spacing w:after="0"/>
              <w:rPr>
                <w:sz w:val="20"/>
                <w:szCs w:val="20"/>
                <w:color w:val="auto"/>
              </w:rPr>
            </w:pPr>
            <w:r>
              <w:rPr>
                <w:rFonts w:ascii="Arial" w:cs="Arial" w:eastAsia="Arial" w:hAnsi="Arial"/>
                <w:sz w:val="16"/>
                <w:szCs w:val="16"/>
                <w:color w:val="auto"/>
              </w:rPr>
              <w:t>REALIZED AND UNREALIZED GAIN (LOSS) ON INVESTMENTS: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Net realized gain from investments: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160"/>
              <w:spacing w:after="0"/>
              <w:rPr>
                <w:sz w:val="20"/>
                <w:szCs w:val="20"/>
                <w:color w:val="auto"/>
              </w:rPr>
            </w:pPr>
            <w:r>
              <w:rPr>
                <w:rFonts w:ascii="Arial" w:cs="Arial" w:eastAsia="Arial" w:hAnsi="Arial"/>
                <w:sz w:val="16"/>
                <w:szCs w:val="16"/>
                <w:color w:val="auto"/>
              </w:rPr>
              <w:t>Non-control/Non-affiliate investments</w:t>
            </w:r>
          </w:p>
        </w:tc>
        <w:tc>
          <w:tcPr>
            <w:tcW w:w="24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1,158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Affiliate investments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6"/>
                <w:szCs w:val="16"/>
                <w:color w:val="auto"/>
              </w:rPr>
              <w:t>Control investments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2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realized gain from investments</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1,682</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6"/>
                <w:szCs w:val="16"/>
                <w:color w:val="auto"/>
              </w:rPr>
              <w:t>Net unrealized appreciation (depreciation) on investments</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6,560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9"/>
              <w:spacing w:after="0"/>
              <w:rPr>
                <w:sz w:val="20"/>
                <w:szCs w:val="20"/>
                <w:color w:val="auto"/>
              </w:rPr>
            </w:pPr>
            <w:r>
              <w:rPr>
                <w:rFonts w:ascii="Arial" w:cs="Arial" w:eastAsia="Arial" w:hAnsi="Arial"/>
                <w:sz w:val="16"/>
                <w:szCs w:val="16"/>
                <w:color w:val="auto"/>
              </w:rPr>
              <w:t>(5,607)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5,839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2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gain/(loss) on investments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6,925</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(3,925</w:t>
            </w:r>
          </w:p>
        </w:tc>
        <w:tc>
          <w:tcPr>
            <w:tcW w:w="16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NET INCREASE IN NET ASSETS RESULTING FROM OPERATIONS</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6,212</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11,583</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7,430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6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NET INCREASE IN NET ASSETS PER SHARE RESULTING FROM OPERATIONS –</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BASIC AND DILUTED</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N/A</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0.57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COMMON STOCK OUTSTANDING - BASIC AND DILUTED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12,974,420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N/A</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12,974,420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Borders>
              <w:bottom w:val="single" w:sz="8" w:color="auto"/>
            </w:tcBorders>
            <w:gridSpan w:val="3"/>
          </w:tcPr>
          <w:p>
            <w:pPr>
              <w:jc w:val="right"/>
              <w:ind w:right="187"/>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0"/>
              </w:rPr>
              <w:t>Accumulated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4"/>
                <w:szCs w:val="1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90"/>
              </w:rPr>
              <w:t>Net Unrealized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ind w:left="40"/>
              <w:spacing w:after="0" w:line="124" w:lineRule="exact"/>
              <w:rPr>
                <w:sz w:val="20"/>
                <w:szCs w:val="20"/>
                <w:color w:val="auto"/>
              </w:rPr>
            </w:pPr>
            <w:r>
              <w:rPr>
                <w:rFonts w:ascii="Arial" w:cs="Arial" w:eastAsia="Arial" w:hAnsi="Arial"/>
                <w:sz w:val="13"/>
                <w:szCs w:val="13"/>
                <w:b w:val="1"/>
                <w:bCs w:val="1"/>
                <w:color w:val="auto"/>
              </w:rPr>
              <w:t>General</w:t>
            </w:r>
          </w:p>
        </w:tc>
        <w:tc>
          <w:tcPr>
            <w:tcW w:w="100" w:type="dxa"/>
            <w:vAlign w:val="bottom"/>
          </w:tcPr>
          <w:p>
            <w:pPr>
              <w:spacing w:after="0"/>
              <w:rPr>
                <w:sz w:val="10"/>
                <w:szCs w:val="10"/>
                <w:color w:val="auto"/>
              </w:rPr>
            </w:pPr>
          </w:p>
        </w:tc>
        <w:tc>
          <w:tcPr>
            <w:tcW w:w="880" w:type="dxa"/>
            <w:vAlign w:val="bottom"/>
            <w:gridSpan w:val="2"/>
          </w:tcPr>
          <w:p>
            <w:pPr>
              <w:jc w:val="right"/>
              <w:ind w:right="380"/>
              <w:spacing w:after="0" w:line="124" w:lineRule="exact"/>
              <w:rPr>
                <w:sz w:val="20"/>
                <w:szCs w:val="20"/>
                <w:color w:val="auto"/>
              </w:rPr>
            </w:pPr>
            <w:r>
              <w:rPr>
                <w:rFonts w:ascii="Arial" w:cs="Arial" w:eastAsia="Arial" w:hAnsi="Arial"/>
                <w:sz w:val="13"/>
                <w:szCs w:val="13"/>
                <w:b w:val="1"/>
                <w:bCs w:val="1"/>
                <w:color w:val="auto"/>
              </w:rPr>
              <w:t>Limited</w:t>
            </w:r>
          </w:p>
        </w:tc>
        <w:tc>
          <w:tcPr>
            <w:tcW w:w="1000" w:type="dxa"/>
            <w:vAlign w:val="bottom"/>
            <w:gridSpan w:val="2"/>
          </w:tcPr>
          <w:p>
            <w:pPr>
              <w:jc w:val="right"/>
              <w:ind w:right="320"/>
              <w:spacing w:after="0" w:line="124" w:lineRule="exact"/>
              <w:rPr>
                <w:sz w:val="20"/>
                <w:szCs w:val="20"/>
                <w:color w:val="auto"/>
              </w:rPr>
            </w:pPr>
            <w:r>
              <w:rPr>
                <w:rFonts w:ascii="Arial" w:cs="Arial" w:eastAsia="Arial" w:hAnsi="Arial"/>
                <w:sz w:val="13"/>
                <w:szCs w:val="13"/>
                <w:b w:val="1"/>
                <w:bCs w:val="1"/>
                <w:color w:val="auto"/>
              </w:rPr>
              <w:t>Number of</w:t>
            </w:r>
          </w:p>
        </w:tc>
        <w:tc>
          <w:tcPr>
            <w:tcW w:w="540" w:type="dxa"/>
            <w:vAlign w:val="bottom"/>
          </w:tcPr>
          <w:p>
            <w:pPr>
              <w:jc w:val="right"/>
              <w:ind w:right="7"/>
              <w:spacing w:after="0" w:line="124" w:lineRule="exact"/>
              <w:rPr>
                <w:sz w:val="20"/>
                <w:szCs w:val="20"/>
                <w:color w:val="auto"/>
              </w:rPr>
            </w:pPr>
            <w:r>
              <w:rPr>
                <w:rFonts w:ascii="Arial" w:cs="Arial" w:eastAsia="Arial" w:hAnsi="Arial"/>
                <w:sz w:val="13"/>
                <w:szCs w:val="13"/>
                <w:b w:val="1"/>
                <w:bCs w:val="1"/>
                <w:color w:val="auto"/>
              </w:rPr>
              <w:t>Par</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200"/>
              <w:spacing w:after="0" w:line="124" w:lineRule="exact"/>
              <w:rPr>
                <w:sz w:val="20"/>
                <w:szCs w:val="20"/>
                <w:color w:val="auto"/>
              </w:rPr>
            </w:pPr>
            <w:r>
              <w:rPr>
                <w:rFonts w:ascii="Arial" w:cs="Arial" w:eastAsia="Arial" w:hAnsi="Arial"/>
                <w:sz w:val="13"/>
                <w:szCs w:val="13"/>
                <w:b w:val="1"/>
                <w:bCs w:val="1"/>
                <w:color w:val="auto"/>
                <w:w w:val="89"/>
              </w:rPr>
              <w:t>Paid in</w:t>
            </w:r>
          </w:p>
        </w:tc>
        <w:tc>
          <w:tcPr>
            <w:tcW w:w="120" w:type="dxa"/>
            <w:vAlign w:val="bottom"/>
          </w:tcPr>
          <w:p>
            <w:pPr>
              <w:spacing w:after="0"/>
              <w:rPr>
                <w:sz w:val="10"/>
                <w:szCs w:val="10"/>
                <w:color w:val="auto"/>
              </w:rPr>
            </w:pPr>
          </w:p>
        </w:tc>
        <w:tc>
          <w:tcPr>
            <w:tcW w:w="1160" w:type="dxa"/>
            <w:vAlign w:val="bottom"/>
            <w:gridSpan w:val="3"/>
          </w:tcPr>
          <w:p>
            <w:pPr>
              <w:ind w:left="20"/>
              <w:spacing w:after="0" w:line="124" w:lineRule="exact"/>
              <w:rPr>
                <w:sz w:val="20"/>
                <w:szCs w:val="20"/>
                <w:color w:val="auto"/>
              </w:rPr>
            </w:pPr>
            <w:r>
              <w:rPr>
                <w:rFonts w:ascii="Arial" w:cs="Arial" w:eastAsia="Arial" w:hAnsi="Arial"/>
                <w:sz w:val="13"/>
                <w:szCs w:val="13"/>
                <w:b w:val="1"/>
                <w:bCs w:val="1"/>
                <w:color w:val="auto"/>
              </w:rPr>
              <w:t>Undistributed Net</w:t>
            </w:r>
          </w:p>
        </w:tc>
        <w:tc>
          <w:tcPr>
            <w:tcW w:w="1200" w:type="dxa"/>
            <w:vAlign w:val="bottom"/>
            <w:gridSpan w:val="4"/>
          </w:tcPr>
          <w:p>
            <w:pPr>
              <w:jc w:val="center"/>
              <w:ind w:right="40"/>
              <w:spacing w:after="0" w:line="124" w:lineRule="exact"/>
              <w:rPr>
                <w:sz w:val="20"/>
                <w:szCs w:val="20"/>
                <w:color w:val="auto"/>
              </w:rPr>
            </w:pPr>
            <w:r>
              <w:rPr>
                <w:rFonts w:ascii="Arial" w:cs="Arial" w:eastAsia="Arial" w:hAnsi="Arial"/>
                <w:sz w:val="13"/>
                <w:szCs w:val="13"/>
                <w:b w:val="1"/>
                <w:bCs w:val="1"/>
                <w:color w:val="auto"/>
                <w:w w:val="87"/>
              </w:rPr>
              <w:t>Undistributed Net</w:t>
            </w:r>
          </w:p>
        </w:tc>
        <w:tc>
          <w:tcPr>
            <w:tcW w:w="1160" w:type="dxa"/>
            <w:vAlign w:val="bottom"/>
            <w:gridSpan w:val="4"/>
          </w:tcPr>
          <w:p>
            <w:pPr>
              <w:ind w:left="80"/>
              <w:spacing w:after="0" w:line="124" w:lineRule="exact"/>
              <w:rPr>
                <w:sz w:val="20"/>
                <w:szCs w:val="20"/>
                <w:color w:val="auto"/>
              </w:rPr>
            </w:pPr>
            <w:r>
              <w:rPr>
                <w:rFonts w:ascii="Arial" w:cs="Arial" w:eastAsia="Arial" w:hAnsi="Arial"/>
                <w:sz w:val="13"/>
                <w:szCs w:val="13"/>
                <w:b w:val="1"/>
                <w:bCs w:val="1"/>
                <w:color w:val="auto"/>
              </w:rPr>
              <w:t>Appreciation on</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Partner</w:t>
            </w:r>
          </w:p>
        </w:tc>
        <w:tc>
          <w:tcPr>
            <w:tcW w:w="10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4"/>
              </w:rPr>
              <w:t>Partners</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Shares</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Value</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Arial" w:cs="Arial" w:eastAsia="Arial" w:hAnsi="Arial"/>
                <w:sz w:val="13"/>
                <w:szCs w:val="13"/>
                <w:b w:val="1"/>
                <w:bCs w:val="1"/>
                <w:color w:val="auto"/>
                <w:w w:val="96"/>
              </w:rPr>
              <w:t>Investment Income</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Realized Gains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86"/>
              </w:rPr>
              <w:t>Investments</w:t>
            </w:r>
          </w:p>
        </w:tc>
        <w:tc>
          <w:tcPr>
            <w:tcW w:w="16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0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December 31, 2012</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282</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77,358</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427"/>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8,560</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56,233</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142,433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tcPr>
          <w:p>
            <w:pPr>
              <w:ind w:left="160"/>
              <w:spacing w:after="0" w:line="135" w:lineRule="exact"/>
              <w:rPr>
                <w:sz w:val="20"/>
                <w:szCs w:val="20"/>
                <w:color w:val="auto"/>
              </w:rPr>
            </w:pPr>
            <w:r>
              <w:rPr>
                <w:rFonts w:ascii="Arial" w:cs="Arial" w:eastAsia="Arial" w:hAnsi="Arial"/>
                <w:sz w:val="13"/>
                <w:szCs w:val="13"/>
                <w:color w:val="auto"/>
              </w:rPr>
              <w:t>Partners' capital contributions</w:t>
            </w:r>
          </w:p>
        </w:tc>
        <w:tc>
          <w:tcPr>
            <w:tcW w:w="12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24,852</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spacing w:after="0"/>
              <w:rPr>
                <w:sz w:val="11"/>
                <w:szCs w:val="11"/>
                <w:color w:val="auto"/>
              </w:rPr>
            </w:pPr>
          </w:p>
        </w:tc>
        <w:tc>
          <w:tcPr>
            <w:tcW w:w="4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24,852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Net investment income</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7,948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7,948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tcPr>
          <w:p>
            <w:pPr>
              <w:ind w:left="160"/>
              <w:spacing w:after="0" w:line="121" w:lineRule="exact"/>
              <w:rPr>
                <w:sz w:val="20"/>
                <w:szCs w:val="20"/>
                <w:color w:val="auto"/>
              </w:rPr>
            </w:pPr>
            <w:r>
              <w:rPr>
                <w:rFonts w:ascii="Arial" w:cs="Arial" w:eastAsia="Arial" w:hAnsi="Arial"/>
                <w:sz w:val="13"/>
                <w:szCs w:val="13"/>
                <w:color w:val="auto"/>
              </w:rPr>
              <w:t>Net realized gain on portfolio</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160"/>
              <w:spacing w:after="0"/>
              <w:rPr>
                <w:sz w:val="20"/>
                <w:szCs w:val="20"/>
                <w:color w:val="auto"/>
              </w:rPr>
            </w:pPr>
            <w:r>
              <w:rPr>
                <w:rFonts w:ascii="Arial" w:cs="Arial" w:eastAsia="Arial" w:hAnsi="Arial"/>
                <w:sz w:val="13"/>
                <w:szCs w:val="13"/>
                <w:color w:val="auto"/>
              </w:rPr>
              <w:t>investments</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365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365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shd w:val="clear" w:color="auto" w:fill="CCEEFF"/>
          </w:tcPr>
          <w:p>
            <w:pPr>
              <w:ind w:left="160"/>
              <w:spacing w:after="0" w:line="121" w:lineRule="exact"/>
              <w:rPr>
                <w:sz w:val="20"/>
                <w:szCs w:val="20"/>
                <w:color w:val="auto"/>
              </w:rPr>
            </w:pPr>
            <w:r>
              <w:rPr>
                <w:rFonts w:ascii="Arial" w:cs="Arial" w:eastAsia="Arial" w:hAnsi="Arial"/>
                <w:sz w:val="13"/>
                <w:szCs w:val="13"/>
                <w:color w:val="auto"/>
              </w:rPr>
              <w:t>Net change in unrealized</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appreciation on portfolio</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investments</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5,839</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5,839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80" w:type="dxa"/>
            <w:vAlign w:val="bottom"/>
            <w:tcBorders>
              <w:bottom w:val="single" w:sz="8" w:color="CCEEFF"/>
            </w:tcBorders>
          </w:tcPr>
          <w:p>
            <w:pPr>
              <w:spacing w:after="0" w:line="141" w:lineRule="exact"/>
              <w:rPr>
                <w:sz w:val="20"/>
                <w:szCs w:val="20"/>
                <w:color w:val="auto"/>
              </w:rPr>
            </w:pPr>
            <w:r>
              <w:rPr>
                <w:rFonts w:ascii="Arial" w:cs="Arial" w:eastAsia="Arial" w:hAnsi="Arial"/>
                <w:sz w:val="13"/>
                <w:szCs w:val="13"/>
                <w:color w:val="auto"/>
              </w:rPr>
              <w:t>BALANCE, June 30, 2013</w:t>
            </w: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282</w:t>
            </w:r>
          </w:p>
        </w:tc>
        <w:tc>
          <w:tcPr>
            <w:tcW w:w="2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102,210</w:t>
            </w:r>
          </w:p>
        </w:tc>
        <w:tc>
          <w:tcPr>
            <w:tcW w:w="22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tcPr>
          <w:p>
            <w:pPr>
              <w:spacing w:after="0"/>
              <w:rPr>
                <w:sz w:val="15"/>
                <w:szCs w:val="15"/>
                <w:color w:val="auto"/>
              </w:rPr>
            </w:pPr>
          </w:p>
        </w:tc>
        <w:tc>
          <w:tcPr>
            <w:tcW w:w="54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9"/>
                <w:szCs w:val="9"/>
                <w:color w:val="auto"/>
                <w:w w:val="78"/>
              </w:rPr>
              <w:t>$</w:t>
            </w:r>
          </w:p>
        </w:tc>
        <w:tc>
          <w:tcPr>
            <w:tcW w:w="2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16,508</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365</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62,072</w:t>
            </w:r>
          </w:p>
        </w:tc>
        <w:tc>
          <w:tcPr>
            <w:tcW w:w="2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181,437</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80" w:type="dxa"/>
            <w:vAlign w:val="bottom"/>
          </w:tcPr>
          <w:p>
            <w:pPr>
              <w:spacing w:after="0" w:line="135" w:lineRule="exact"/>
              <w:rPr>
                <w:sz w:val="20"/>
                <w:szCs w:val="20"/>
                <w:color w:val="auto"/>
              </w:rPr>
            </w:pPr>
            <w:r>
              <w:rPr>
                <w:rFonts w:ascii="Arial" w:cs="Arial" w:eastAsia="Arial" w:hAnsi="Arial"/>
                <w:sz w:val="13"/>
                <w:szCs w:val="13"/>
                <w:color w:val="auto"/>
              </w:rPr>
              <w:t>BALANCE, December 31, 2013</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12,974,420</w:t>
            </w:r>
          </w:p>
        </w:tc>
        <w:tc>
          <w:tcPr>
            <w:tcW w:w="540" w:type="dxa"/>
            <w:vAlign w:val="bottom"/>
          </w:tcPr>
          <w:p>
            <w:pPr>
              <w:jc w:val="right"/>
              <w:ind w:right="427"/>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2"/>
              </w:rPr>
              <w:t>130</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188,408</w:t>
            </w:r>
          </w:p>
        </w:tc>
        <w:tc>
          <w:tcPr>
            <w:tcW w:w="24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16,760</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(48)</w:t>
            </w:r>
          </w:p>
        </w:tc>
        <w:tc>
          <w:tcPr>
            <w:tcW w:w="16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63,420</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268,670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Net investment income</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11,355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11,355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tcPr>
          <w:p>
            <w:pPr>
              <w:ind w:left="160"/>
              <w:spacing w:after="0" w:line="121" w:lineRule="exact"/>
              <w:rPr>
                <w:sz w:val="20"/>
                <w:szCs w:val="20"/>
                <w:color w:val="auto"/>
              </w:rPr>
            </w:pPr>
            <w:r>
              <w:rPr>
                <w:rFonts w:ascii="Arial" w:cs="Arial" w:eastAsia="Arial" w:hAnsi="Arial"/>
                <w:sz w:val="13"/>
                <w:szCs w:val="13"/>
                <w:color w:val="auto"/>
              </w:rPr>
              <w:t>Net realized gain on portfolio</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160"/>
              <w:spacing w:after="0"/>
              <w:rPr>
                <w:sz w:val="20"/>
                <w:szCs w:val="20"/>
                <w:color w:val="auto"/>
              </w:rPr>
            </w:pPr>
            <w:r>
              <w:rPr>
                <w:rFonts w:ascii="Arial" w:cs="Arial" w:eastAsia="Arial" w:hAnsi="Arial"/>
                <w:sz w:val="13"/>
                <w:szCs w:val="13"/>
                <w:color w:val="auto"/>
              </w:rPr>
              <w:t>investments</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1,682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1,682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shd w:val="clear" w:color="auto" w:fill="CCEEFF"/>
          </w:tcPr>
          <w:p>
            <w:pPr>
              <w:ind w:left="160"/>
              <w:spacing w:after="0" w:line="121" w:lineRule="exact"/>
              <w:rPr>
                <w:sz w:val="20"/>
                <w:szCs w:val="20"/>
                <w:color w:val="auto"/>
              </w:rPr>
            </w:pPr>
            <w:r>
              <w:rPr>
                <w:rFonts w:ascii="Arial" w:cs="Arial" w:eastAsia="Arial" w:hAnsi="Arial"/>
                <w:sz w:val="13"/>
                <w:szCs w:val="13"/>
                <w:color w:val="auto"/>
              </w:rPr>
              <w:t>Net change in unrealized</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appreciation on portfolio</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investments</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(5,607)</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(5,607)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ind w:left="160"/>
              <w:spacing w:after="0"/>
              <w:rPr>
                <w:sz w:val="20"/>
                <w:szCs w:val="20"/>
                <w:color w:val="auto"/>
              </w:rPr>
            </w:pPr>
            <w:r>
              <w:rPr>
                <w:rFonts w:ascii="Arial" w:cs="Arial" w:eastAsia="Arial" w:hAnsi="Arial"/>
                <w:sz w:val="13"/>
                <w:szCs w:val="13"/>
                <w:color w:val="auto"/>
              </w:rPr>
              <w:t>Dividends declared and paid</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(12,196)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(12,196)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80" w:type="dxa"/>
            <w:vAlign w:val="bottom"/>
            <w:tcBorders>
              <w:top w:val="single" w:sz="8" w:color="CCEEFF"/>
              <w:bottom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BALANCE, June 30, 2014</w:t>
            </w: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12,974,420</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ind w:right="427"/>
              <w:spacing w:after="0"/>
              <w:rPr>
                <w:sz w:val="20"/>
                <w:szCs w:val="20"/>
                <w:color w:val="auto"/>
              </w:rPr>
            </w:pPr>
            <w:r>
              <w:rPr>
                <w:rFonts w:ascii="Arial" w:cs="Arial" w:eastAsia="Arial" w:hAnsi="Arial"/>
                <w:sz w:val="9"/>
                <w:szCs w:val="9"/>
                <w:color w:val="auto"/>
                <w:w w:val="78"/>
              </w:rPr>
              <w:t>$</w:t>
            </w:r>
          </w:p>
        </w:tc>
        <w:tc>
          <w:tcPr>
            <w:tcW w:w="2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92"/>
              </w:rPr>
              <w:t>130</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188,408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15,919</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1,634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57,813</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263,904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720" w:type="dxa"/>
            <w:vAlign w:val="bottom"/>
          </w:tcPr>
          <w:p>
            <w:pPr>
              <w:jc w:val="center"/>
              <w:ind w:left="2590"/>
              <w:spacing w:after="0"/>
              <w:rPr>
                <w:sz w:val="20"/>
                <w:szCs w:val="20"/>
                <w:color w:val="auto"/>
              </w:rPr>
            </w:pPr>
            <w:r>
              <w:rPr>
                <w:rFonts w:ascii="Arial" w:cs="Arial" w:eastAsia="Arial" w:hAnsi="Arial"/>
                <w:sz w:val="18"/>
                <w:szCs w:val="18"/>
                <w:b w:val="1"/>
                <w:bCs w:val="1"/>
                <w:color w:val="auto"/>
                <w:w w:val="92"/>
              </w:rPr>
              <w:t>Capitala Finance Corp.</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720" w:type="dxa"/>
            <w:vAlign w:val="bottom"/>
          </w:tcPr>
          <w:p>
            <w:pPr>
              <w:jc w:val="center"/>
              <w:ind w:left="257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jc w:val="center"/>
              <w:ind w:left="2570"/>
              <w:spacing w:after="0"/>
              <w:rPr>
                <w:sz w:val="20"/>
                <w:szCs w:val="20"/>
                <w:color w:val="auto"/>
              </w:rPr>
            </w:pPr>
            <w:r>
              <w:rPr>
                <w:rFonts w:ascii="Arial" w:cs="Arial" w:eastAsia="Arial" w:hAnsi="Arial"/>
                <w:sz w:val="18"/>
                <w:szCs w:val="18"/>
                <w:b w:val="1"/>
                <w:bCs w:val="1"/>
                <w:color w:val="auto"/>
                <w:w w:val="88"/>
              </w:rPr>
              <w:t>(in thousands)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720" w:type="dxa"/>
            <w:vAlign w:val="bottom"/>
          </w:tcPr>
          <w:p>
            <w:pPr>
              <w:jc w:val="center"/>
              <w:ind w:left="257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2680" w:type="dxa"/>
            <w:vAlign w:val="bottom"/>
            <w:gridSpan w:val="6"/>
          </w:tcPr>
          <w:p>
            <w:pPr>
              <w:jc w:val="right"/>
              <w:spacing w:after="0"/>
              <w:rPr>
                <w:sz w:val="20"/>
                <w:szCs w:val="20"/>
                <w:color w:val="auto"/>
              </w:rPr>
            </w:pPr>
            <w:r>
              <w:rPr>
                <w:rFonts w:ascii="Arial" w:cs="Arial" w:eastAsia="Arial" w:hAnsi="Arial"/>
                <w:sz w:val="18"/>
                <w:szCs w:val="18"/>
                <w:b w:val="1"/>
                <w:bCs w:val="1"/>
                <w:color w:val="auto"/>
                <w:w w:val="88"/>
              </w:rPr>
              <w:t>For the 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(combined)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Net increase in net assets resulting from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7,430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Adjustments to reconcile net increase in net assets resulting from operations to net cash used in operating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20"/>
              <w:spacing w:after="0"/>
              <w:rPr>
                <w:sz w:val="20"/>
                <w:szCs w:val="20"/>
                <w:color w:val="auto"/>
              </w:rPr>
            </w:pPr>
            <w:r>
              <w:rPr>
                <w:rFonts w:ascii="Arial" w:cs="Arial" w:eastAsia="Arial" w:hAnsi="Arial"/>
                <w:sz w:val="18"/>
                <w:szCs w:val="18"/>
                <w:color w:val="auto"/>
              </w:rPr>
              <w:t>Purchase of portfolio investments</w:t>
            </w: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(63,584)</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Repayments of portfolio investments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20,160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20"/>
              <w:spacing w:after="0"/>
              <w:rPr>
                <w:sz w:val="20"/>
                <w:szCs w:val="20"/>
                <w:color w:val="auto"/>
              </w:rPr>
            </w:pPr>
            <w:r>
              <w:rPr>
                <w:rFonts w:ascii="Arial" w:cs="Arial" w:eastAsia="Arial" w:hAnsi="Arial"/>
                <w:sz w:val="18"/>
                <w:szCs w:val="18"/>
                <w:color w:val="auto"/>
              </w:rPr>
              <w:t>Net realized gain on portfolio investments</w:t>
            </w: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(1,682)</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Decrease in net unrealized appreciation on portfolio investments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5,607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20"/>
              <w:spacing w:after="0"/>
              <w:rPr>
                <w:sz w:val="20"/>
                <w:szCs w:val="20"/>
                <w:color w:val="auto"/>
              </w:rPr>
            </w:pPr>
            <w:r>
              <w:rPr>
                <w:rFonts w:ascii="Arial" w:cs="Arial" w:eastAsia="Arial" w:hAnsi="Arial"/>
                <w:sz w:val="18"/>
                <w:szCs w:val="18"/>
                <w:color w:val="auto"/>
              </w:rPr>
              <w:t>Payment-in-kind interest accrued, net of payments received</w:t>
            </w: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(1,334)</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Accretion of original issue discount on portfolio investments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20"/>
              <w:spacing w:after="0"/>
              <w:rPr>
                <w:sz w:val="20"/>
                <w:szCs w:val="20"/>
                <w:color w:val="auto"/>
              </w:rPr>
            </w:pPr>
            <w:r>
              <w:rPr>
                <w:rFonts w:ascii="Arial" w:cs="Arial" w:eastAsia="Arial" w:hAnsi="Arial"/>
                <w:sz w:val="18"/>
                <w:szCs w:val="18"/>
                <w:color w:val="auto"/>
              </w:rPr>
              <w:t>Amortization of deferred financing fees</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80"/>
              <w:spacing w:after="0"/>
              <w:rPr>
                <w:sz w:val="20"/>
                <w:szCs w:val="20"/>
                <w:color w:val="auto"/>
              </w:rPr>
            </w:pPr>
            <w:r>
              <w:rPr>
                <w:rFonts w:ascii="Arial" w:cs="Arial" w:eastAsia="Arial" w:hAnsi="Arial"/>
                <w:sz w:val="18"/>
                <w:szCs w:val="18"/>
                <w:color w:val="auto"/>
              </w:rPr>
              <w:t>Interest and dividend receivable</w:t>
            </w: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Due from related parties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80"/>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Due to related parties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80"/>
              <w:spacing w:after="0"/>
              <w:rPr>
                <w:sz w:val="20"/>
                <w:szCs w:val="20"/>
                <w:color w:val="auto"/>
              </w:rPr>
            </w:pPr>
            <w:r>
              <w:rPr>
                <w:rFonts w:ascii="Arial" w:cs="Arial" w:eastAsia="Arial" w:hAnsi="Arial"/>
                <w:sz w:val="18"/>
                <w:szCs w:val="18"/>
                <w:color w:val="auto"/>
              </w:rPr>
              <w:t>Incentive fee payable</w:t>
            </w: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payable</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80"/>
              <w:spacing w:after="0"/>
              <w:rPr>
                <w:sz w:val="20"/>
                <w:szCs w:val="20"/>
                <w:color w:val="auto"/>
              </w:rPr>
            </w:pPr>
            <w:r>
              <w:rPr>
                <w:rFonts w:ascii="Arial" w:cs="Arial" w:eastAsia="Arial" w:hAnsi="Arial"/>
                <w:sz w:val="18"/>
                <w:szCs w:val="18"/>
                <w:color w:val="auto"/>
              </w:rPr>
              <w:t>Trade settlement payable</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9,959</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(22,160</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SBA-guaranteed debentures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Partners' capital contributions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Paydowns on SBA-guaranteed debentures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Issuance of notes</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113,438</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declared and paid</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(12,196)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20" w:type="dxa"/>
            <w:vAlign w:val="bottom"/>
          </w:tcPr>
          <w:p>
            <w:pPr>
              <w:ind w:left="160"/>
              <w:spacing w:after="0"/>
              <w:rPr>
                <w:sz w:val="20"/>
                <w:szCs w:val="20"/>
                <w:color w:val="auto"/>
              </w:rPr>
            </w:pPr>
            <w:r>
              <w:rPr>
                <w:rFonts w:ascii="Arial" w:cs="Arial" w:eastAsia="Arial" w:hAnsi="Arial"/>
                <w:sz w:val="18"/>
                <w:szCs w:val="18"/>
                <w:color w:val="auto"/>
              </w:rPr>
              <w:t>Deferred financing fees paid</w:t>
            </w:r>
          </w:p>
        </w:tc>
        <w:tc>
          <w:tcPr>
            <w:tcW w:w="2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(4,201)</w:t>
            </w:r>
          </w:p>
        </w:tc>
        <w:tc>
          <w:tcPr>
            <w:tcW w:w="1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87,041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 beginning of period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64,881</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43,642</w:t>
            </w:r>
          </w:p>
        </w:tc>
      </w:tr>
      <w:tr>
        <w:trPr>
          <w:trHeight w:val="230"/>
        </w:trPr>
        <w:tc>
          <w:tcPr>
            <w:tcW w:w="3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101,622</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30,467</w:t>
            </w:r>
          </w:p>
        </w:tc>
      </w:tr>
      <w:tr>
        <w:trPr>
          <w:trHeight w:val="223"/>
        </w:trPr>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166,503</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74,109</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20" w:space="720"/>
            <w:col w:w="2680"/>
          </w:cols>
          <w:pgMar w:left="240" w:top="877" w:right="2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2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696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22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4,075</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6" w:name="page7"/>
    <w:bookmarkEnd w:id="6"/>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3"/>
                <w:szCs w:val="23"/>
                <w:b w:val="1"/>
                <w:bCs w:val="1"/>
                <w:color w:val="auto"/>
                <w:vertAlign w:val="superscript"/>
              </w:rPr>
              <w:t>(4, 5)</w:t>
            </w:r>
          </w:p>
        </w:tc>
        <w:tc>
          <w:tcPr>
            <w:tcW w:w="120" w:type="dxa"/>
            <w:vAlign w:val="bottom"/>
          </w:tcPr>
          <w:p>
            <w:pPr>
              <w:spacing w:after="0"/>
              <w:rPr>
                <w:sz w:val="14"/>
                <w:szCs w:val="14"/>
                <w:color w:val="auto"/>
              </w:rPr>
            </w:pPr>
          </w:p>
        </w:tc>
        <w:tc>
          <w:tcPr>
            <w:tcW w:w="214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Industry</w:t>
            </w:r>
          </w:p>
        </w:tc>
        <w:tc>
          <w:tcPr>
            <w:tcW w:w="2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Interest Rate / Maturity</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2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Non-control/Non-affiliated investments - 50.7%</w:t>
            </w: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AAE Acquisition, LLC</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Industrial Equipment Rental</w:t>
            </w:r>
          </w:p>
        </w:tc>
        <w:tc>
          <w:tcPr>
            <w:tcW w:w="2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Term Debt (12%</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Due 5/6/15)</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1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10,996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AAE Acquisition, LLC</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Industrial Equipment Rental</w:t>
            </w:r>
          </w:p>
        </w:tc>
        <w:tc>
          <w:tcPr>
            <w:tcW w:w="2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Membership Units (14% fully</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diluted)</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2,333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11,013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13,333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4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American Exteriors, LLC </w:t>
            </w:r>
            <w:r>
              <w:rPr>
                <w:rFonts w:ascii="Arial" w:cs="Arial" w:eastAsia="Arial" w:hAnsi="Arial"/>
                <w:sz w:val="18"/>
                <w:szCs w:val="18"/>
                <w:color w:val="auto"/>
                <w:vertAlign w:val="superscript"/>
              </w:rPr>
              <w:t>(1)</w:t>
            </w: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Replacement Window</w:t>
            </w:r>
          </w:p>
        </w:tc>
        <w:tc>
          <w:tcPr>
            <w:tcW w:w="2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Secured Debt (14.0% Cash,</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4,404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3,204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4,404</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4"/>
                <w:szCs w:val="14"/>
                <w:color w:val="auto"/>
              </w:rPr>
              <w:t>Manufacturer</w:t>
            </w:r>
          </w:p>
        </w:tc>
        <w:tc>
          <w:tcPr>
            <w:tcW w:w="232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Due 6/30/15)</w:t>
            </w:r>
          </w:p>
        </w:tc>
        <w:tc>
          <w:tcPr>
            <w:tcW w:w="12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4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American Exteriors, LLC </w:t>
            </w:r>
            <w:r>
              <w:rPr>
                <w:rFonts w:ascii="Arial" w:cs="Arial" w:eastAsia="Arial" w:hAnsi="Arial"/>
                <w:sz w:val="18"/>
                <w:szCs w:val="18"/>
                <w:color w:val="auto"/>
                <w:vertAlign w:val="superscript"/>
              </w:rPr>
              <w:t>(1)</w:t>
            </w: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Replacement Window</w:t>
            </w:r>
          </w:p>
        </w:tc>
        <w:tc>
          <w:tcPr>
            <w:tcW w:w="2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Jr. Convertible Note (10.0% Cash,</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416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638</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4"/>
                <w:szCs w:val="14"/>
                <w:color w:val="auto"/>
              </w:rPr>
              <w:t>Manufacturer</w:t>
            </w:r>
          </w:p>
        </w:tc>
        <w:tc>
          <w:tcPr>
            <w:tcW w:w="232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Due 6/30/16)</w:t>
            </w:r>
          </w:p>
        </w:tc>
        <w:tc>
          <w:tcPr>
            <w:tcW w:w="120" w:type="dxa"/>
            <w:vAlign w:val="bottom"/>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4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American Exteriors, LLC </w:t>
            </w:r>
            <w:r>
              <w:rPr>
                <w:rFonts w:ascii="Arial" w:cs="Arial" w:eastAsia="Arial" w:hAnsi="Arial"/>
                <w:sz w:val="18"/>
                <w:szCs w:val="18"/>
                <w:color w:val="auto"/>
                <w:vertAlign w:val="superscript"/>
              </w:rPr>
              <w:t>(8)</w:t>
            </w: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Replacement Window</w:t>
            </w:r>
          </w:p>
        </w:tc>
        <w:tc>
          <w:tcPr>
            <w:tcW w:w="2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 Warrants (15% fully</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Manufacturer</w:t>
            </w:r>
          </w:p>
        </w:tc>
        <w:tc>
          <w:tcPr>
            <w:tcW w:w="2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12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3,620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5,042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Boot Barn Holding Corporation</w:t>
            </w: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Western Wear Retail</w:t>
            </w:r>
          </w:p>
        </w:tc>
        <w:tc>
          <w:tcPr>
            <w:tcW w:w="2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 (2,400 shares)</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7,177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7,177</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ectPr>
          <w:pgSz w:w="11900" w:h="16897" w:orient="portrait"/>
          <w:cols w:equalWidth="0" w:num="1">
            <w:col w:w="11420"/>
          </w:cols>
          <w:pgMar w:left="240" w:top="877" w:right="239" w:bottom="0" w:gutter="0" w:footer="0" w:header="0"/>
        </w:sectPr>
      </w:pPr>
    </w:p>
    <w:p>
      <w:pPr>
        <w:ind w:right="880"/>
        <w:spacing w:after="0" w:line="529" w:lineRule="auto"/>
        <w:rPr>
          <w:sz w:val="20"/>
          <w:szCs w:val="20"/>
          <w:color w:val="auto"/>
        </w:rPr>
      </w:pPr>
      <w:r>
        <w:rPr>
          <w:rFonts w:ascii="Arial" w:cs="Arial" w:eastAsia="Arial" w:hAnsi="Arial"/>
          <w:sz w:val="12"/>
          <w:szCs w:val="12"/>
          <w:color w:val="auto"/>
        </w:rPr>
        <w:t xml:space="preserve">Caregiver Services, Inc. Caregiver Services, Inc. </w:t>
      </w:r>
      <w:r>
        <w:rPr>
          <w:rFonts w:ascii="Arial" w:cs="Arial" w:eastAsia="Arial" w:hAnsi="Arial"/>
          <w:sz w:val="19"/>
          <w:szCs w:val="19"/>
          <w:color w:val="auto"/>
          <w:vertAlign w:val="superscript"/>
        </w:rPr>
        <w:t>(8)</w:t>
      </w: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Crowley Holdings, Inc. </w:t>
      </w:r>
      <w:r>
        <w:rPr>
          <w:rFonts w:ascii="Arial" w:cs="Arial" w:eastAsia="Arial" w:hAnsi="Arial"/>
          <w:sz w:val="23"/>
          <w:szCs w:val="23"/>
          <w:color w:val="auto"/>
          <w:vertAlign w:val="superscript"/>
        </w:rPr>
        <w:t>(6)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3"/>
          <w:szCs w:val="13"/>
          <w:color w:val="auto"/>
        </w:rPr>
        <w:t>Immersive Media Tactical Solutions, LLC</w:t>
      </w:r>
    </w:p>
    <w:p>
      <w:pPr>
        <w:spacing w:after="0" w:line="296" w:lineRule="exact"/>
        <w:rPr>
          <w:sz w:val="20"/>
          <w:szCs w:val="20"/>
          <w:color w:val="auto"/>
        </w:rPr>
      </w:pPr>
    </w:p>
    <w:p>
      <w:pPr>
        <w:spacing w:after="0"/>
        <w:rPr>
          <w:sz w:val="20"/>
          <w:szCs w:val="20"/>
          <w:color w:val="auto"/>
        </w:rPr>
      </w:pPr>
      <w:r>
        <w:rPr>
          <w:rFonts w:ascii="Arial" w:cs="Arial" w:eastAsia="Arial" w:hAnsi="Arial"/>
          <w:sz w:val="13"/>
          <w:szCs w:val="13"/>
          <w:color w:val="auto"/>
        </w:rPr>
        <w:t>Immersive Media Tactical Solutions, LLC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Kelle's Transport Service, LLC</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Kelle's Transport Service, LLC </w:t>
      </w:r>
      <w:r>
        <w:rPr>
          <w:rFonts w:ascii="Arial" w:cs="Arial" w:eastAsia="Arial" w:hAnsi="Arial"/>
          <w:sz w:val="23"/>
          <w:szCs w:val="23"/>
          <w:color w:val="auto"/>
          <w:vertAlign w:val="superscript"/>
        </w:rPr>
        <w:t>(6)</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Kelle's Transport Service, LLC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Medical Depot, Inc. </w:t>
      </w:r>
      <w:r>
        <w:rPr>
          <w:rFonts w:ascii="Arial" w:cs="Arial" w:eastAsia="Arial" w:hAnsi="Arial"/>
          <w:sz w:val="23"/>
          <w:szCs w:val="23"/>
          <w:color w:val="auto"/>
          <w:vertAlign w:val="superscript"/>
        </w:rPr>
        <w:t>(1)</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Medical Depot,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Naples Lumber &amp; Supply Co </w:t>
      </w:r>
      <w:r>
        <w:rPr>
          <w:rFonts w:ascii="Arial" w:cs="Arial" w:eastAsia="Arial" w:hAnsi="Arial"/>
          <w:sz w:val="23"/>
          <w:szCs w:val="23"/>
          <w:color w:val="auto"/>
          <w:vertAlign w:val="superscript"/>
        </w:rPr>
        <w:t>(1)</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Naples Lumber &amp; Supply Co</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Pickaway Plains Ambulance Services,</w:t>
      </w:r>
    </w:p>
    <w:p>
      <w:pPr>
        <w:spacing w:after="0" w:line="182" w:lineRule="auto"/>
        <w:rPr>
          <w:sz w:val="20"/>
          <w:szCs w:val="20"/>
          <w:color w:val="auto"/>
        </w:rPr>
      </w:pPr>
      <w:r>
        <w:rPr>
          <w:rFonts w:ascii="Arial" w:cs="Arial" w:eastAsia="Arial" w:hAnsi="Arial"/>
          <w:sz w:val="24"/>
          <w:szCs w:val="24"/>
          <w:color w:val="auto"/>
          <w:vertAlign w:val="subscript"/>
        </w:rPr>
        <w:t>Inc.</w:t>
      </w:r>
      <w:r>
        <w:rPr>
          <w:rFonts w:ascii="Arial" w:cs="Arial" w:eastAsia="Arial" w:hAnsi="Arial"/>
          <w:sz w:val="11"/>
          <w:szCs w:val="11"/>
          <w:color w:val="auto"/>
        </w:rPr>
        <w:t xml:space="preserve"> (1) (2)</w:t>
      </w:r>
    </w:p>
    <w:p>
      <w:pPr>
        <w:spacing w:after="0" w:line="116" w:lineRule="exact"/>
        <w:rPr>
          <w:sz w:val="20"/>
          <w:szCs w:val="20"/>
          <w:color w:val="auto"/>
        </w:rPr>
      </w:pPr>
    </w:p>
    <w:p>
      <w:pPr>
        <w:ind w:right="220"/>
        <w:spacing w:after="0" w:line="253" w:lineRule="auto"/>
        <w:rPr>
          <w:sz w:val="20"/>
          <w:szCs w:val="20"/>
          <w:color w:val="auto"/>
        </w:rPr>
      </w:pPr>
      <w:r>
        <w:rPr>
          <w:rFonts w:ascii="Arial" w:cs="Arial" w:eastAsia="Arial" w:hAnsi="Arial"/>
          <w:sz w:val="14"/>
          <w:szCs w:val="14"/>
          <w:color w:val="auto"/>
        </w:rPr>
        <w:t>Pickaway Plains Ambulance Services, Inc.</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Precision Manufacturing, LLC</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Precision Manufacturing, LLC </w:t>
      </w:r>
      <w:r>
        <w:rPr>
          <w:rFonts w:ascii="Arial" w:cs="Arial" w:eastAsia="Arial" w:hAnsi="Arial"/>
          <w:sz w:val="23"/>
          <w:szCs w:val="23"/>
          <w:color w:val="auto"/>
          <w:vertAlign w:val="superscript"/>
        </w:rPr>
        <w:t>(3)</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Precision Manufacturing, LLC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000" w:type="dxa"/>
            <w:vAlign w:val="bottom"/>
          </w:tcPr>
          <w:p>
            <w:pPr>
              <w:spacing w:after="0"/>
              <w:rPr>
                <w:sz w:val="20"/>
                <w:szCs w:val="20"/>
                <w:color w:val="auto"/>
              </w:rPr>
            </w:pPr>
            <w:r>
              <w:rPr>
                <w:rFonts w:ascii="Arial" w:cs="Arial" w:eastAsia="Arial" w:hAnsi="Arial"/>
                <w:sz w:val="14"/>
                <w:szCs w:val="14"/>
                <w:color w:val="auto"/>
              </w:rPr>
              <w:t>In-Home Healthcare Services</w:t>
            </w:r>
          </w:p>
        </w:tc>
        <w:tc>
          <w:tcPr>
            <w:tcW w:w="2640" w:type="dxa"/>
            <w:vAlign w:val="bottom"/>
          </w:tcPr>
          <w:p>
            <w:pPr>
              <w:ind w:left="140"/>
              <w:spacing w:after="0"/>
              <w:rPr>
                <w:sz w:val="20"/>
                <w:szCs w:val="20"/>
                <w:color w:val="auto"/>
              </w:rPr>
            </w:pPr>
            <w:r>
              <w:rPr>
                <w:rFonts w:ascii="Arial" w:cs="Arial" w:eastAsia="Arial" w:hAnsi="Arial"/>
                <w:sz w:val="14"/>
                <w:szCs w:val="14"/>
                <w:color w:val="auto"/>
              </w:rPr>
              <w:t>Common Stock (293,186 shares)</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258</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188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0.1%</w:t>
            </w:r>
          </w:p>
        </w:tc>
      </w:tr>
      <w:tr>
        <w:trPr>
          <w:trHeight w:val="263"/>
        </w:trPr>
        <w:tc>
          <w:tcPr>
            <w:tcW w:w="2000" w:type="dxa"/>
            <w:vAlign w:val="bottom"/>
          </w:tcPr>
          <w:p>
            <w:pPr>
              <w:spacing w:after="0"/>
              <w:rPr>
                <w:sz w:val="20"/>
                <w:szCs w:val="20"/>
                <w:color w:val="auto"/>
              </w:rPr>
            </w:pPr>
            <w:r>
              <w:rPr>
                <w:rFonts w:ascii="Arial" w:cs="Arial" w:eastAsia="Arial" w:hAnsi="Arial"/>
                <w:sz w:val="14"/>
                <w:szCs w:val="14"/>
                <w:color w:val="auto"/>
              </w:rPr>
              <w:t>In-Home Healthcare Services</w:t>
            </w:r>
          </w:p>
        </w:tc>
        <w:tc>
          <w:tcPr>
            <w:tcW w:w="2640" w:type="dxa"/>
            <w:vAlign w:val="bottom"/>
          </w:tcPr>
          <w:p>
            <w:pPr>
              <w:ind w:left="140"/>
              <w:spacing w:after="0"/>
              <w:rPr>
                <w:sz w:val="20"/>
                <w:szCs w:val="20"/>
                <w:color w:val="auto"/>
              </w:rPr>
            </w:pPr>
            <w:r>
              <w:rPr>
                <w:rFonts w:ascii="Arial" w:cs="Arial" w:eastAsia="Arial" w:hAnsi="Arial"/>
                <w:sz w:val="14"/>
                <w:szCs w:val="14"/>
                <w:color w:val="auto"/>
              </w:rPr>
              <w:t>Common Stock Warrants (655,908</w:t>
            </w:r>
          </w:p>
        </w:tc>
        <w:tc>
          <w:tcPr>
            <w:tcW w:w="9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81"/>
        </w:trPr>
        <w:tc>
          <w:tcPr>
            <w:tcW w:w="2000" w:type="dxa"/>
            <w:vAlign w:val="bottom"/>
          </w:tcPr>
          <w:p>
            <w:pPr>
              <w:spacing w:after="0"/>
              <w:rPr>
                <w:sz w:val="15"/>
                <w:szCs w:val="15"/>
                <w:color w:val="auto"/>
              </w:rPr>
            </w:pPr>
          </w:p>
        </w:tc>
        <w:tc>
          <w:tcPr>
            <w:tcW w:w="2640" w:type="dxa"/>
            <w:vAlign w:val="bottom"/>
          </w:tcPr>
          <w:p>
            <w:pPr>
              <w:ind w:left="140"/>
              <w:spacing w:after="0"/>
              <w:rPr>
                <w:sz w:val="20"/>
                <w:szCs w:val="20"/>
                <w:color w:val="auto"/>
              </w:rPr>
            </w:pPr>
            <w:r>
              <w:rPr>
                <w:rFonts w:ascii="Arial" w:cs="Arial" w:eastAsia="Arial" w:hAnsi="Arial"/>
                <w:sz w:val="14"/>
                <w:szCs w:val="14"/>
                <w:color w:val="auto"/>
              </w:rPr>
              <w:t>units)</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264</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421</w:t>
            </w:r>
          </w:p>
        </w:tc>
        <w:tc>
          <w:tcPr>
            <w:tcW w:w="2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0.1%</w:t>
            </w:r>
          </w:p>
        </w:tc>
      </w:tr>
      <w:tr>
        <w:trPr>
          <w:trHeight w:val="20"/>
        </w:trPr>
        <w:tc>
          <w:tcPr>
            <w:tcW w:w="20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2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522</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609</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0.2%</w:t>
            </w:r>
          </w:p>
        </w:tc>
      </w:tr>
      <w:tr>
        <w:trPr>
          <w:trHeight w:val="272"/>
        </w:trPr>
        <w:tc>
          <w:tcPr>
            <w:tcW w:w="2000" w:type="dxa"/>
            <w:vAlign w:val="bottom"/>
          </w:tcPr>
          <w:p>
            <w:pPr>
              <w:spacing w:after="0"/>
              <w:rPr>
                <w:sz w:val="20"/>
                <w:szCs w:val="20"/>
                <w:color w:val="auto"/>
              </w:rPr>
            </w:pPr>
            <w:r>
              <w:rPr>
                <w:rFonts w:ascii="Arial" w:cs="Arial" w:eastAsia="Arial" w:hAnsi="Arial"/>
                <w:sz w:val="14"/>
                <w:szCs w:val="14"/>
                <w:color w:val="auto"/>
              </w:rPr>
              <w:t>Transportation</w:t>
            </w:r>
          </w:p>
        </w:tc>
        <w:tc>
          <w:tcPr>
            <w:tcW w:w="2640" w:type="dxa"/>
            <w:vAlign w:val="bottom"/>
          </w:tcPr>
          <w:p>
            <w:pPr>
              <w:ind w:left="140"/>
              <w:spacing w:after="0"/>
              <w:rPr>
                <w:sz w:val="20"/>
                <w:szCs w:val="20"/>
                <w:color w:val="auto"/>
              </w:rPr>
            </w:pPr>
            <w:r>
              <w:rPr>
                <w:rFonts w:ascii="Arial" w:cs="Arial" w:eastAsia="Arial" w:hAnsi="Arial"/>
                <w:sz w:val="14"/>
                <w:szCs w:val="14"/>
                <w:color w:val="auto"/>
              </w:rPr>
              <w:t>Series A Income Preferred Shares</w:t>
            </w:r>
          </w:p>
        </w:tc>
        <w:tc>
          <w:tcPr>
            <w:tcW w:w="94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149"/>
        </w:trPr>
        <w:tc>
          <w:tcPr>
            <w:tcW w:w="2000" w:type="dxa"/>
            <w:vAlign w:val="bottom"/>
          </w:tcPr>
          <w:p>
            <w:pPr>
              <w:spacing w:after="0"/>
              <w:rPr>
                <w:sz w:val="12"/>
                <w:szCs w:val="12"/>
                <w:color w:val="auto"/>
              </w:rPr>
            </w:pPr>
          </w:p>
        </w:tc>
        <w:tc>
          <w:tcPr>
            <w:tcW w:w="2640" w:type="dxa"/>
            <w:vAlign w:val="bottom"/>
          </w:tcPr>
          <w:p>
            <w:pPr>
              <w:ind w:left="140"/>
              <w:spacing w:after="0" w:line="149" w:lineRule="exact"/>
              <w:rPr>
                <w:sz w:val="20"/>
                <w:szCs w:val="20"/>
                <w:color w:val="auto"/>
              </w:rPr>
            </w:pPr>
            <w:r>
              <w:rPr>
                <w:rFonts w:ascii="Arial" w:cs="Arial" w:eastAsia="Arial" w:hAnsi="Arial"/>
                <w:sz w:val="14"/>
                <w:szCs w:val="14"/>
                <w:color w:val="auto"/>
              </w:rPr>
              <w:t>(6,000 shares, 10% cash, 2% PIK</w:t>
            </w: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1"/>
        </w:trPr>
        <w:tc>
          <w:tcPr>
            <w:tcW w:w="2000" w:type="dxa"/>
            <w:vAlign w:val="bottom"/>
          </w:tcPr>
          <w:p>
            <w:pPr>
              <w:spacing w:after="0"/>
              <w:rPr>
                <w:sz w:val="15"/>
                <w:szCs w:val="15"/>
                <w:color w:val="auto"/>
              </w:rPr>
            </w:pPr>
          </w:p>
        </w:tc>
        <w:tc>
          <w:tcPr>
            <w:tcW w:w="2640" w:type="dxa"/>
            <w:vAlign w:val="bottom"/>
          </w:tcPr>
          <w:p>
            <w:pPr>
              <w:ind w:left="140"/>
              <w:spacing w:after="0"/>
              <w:rPr>
                <w:sz w:val="20"/>
                <w:szCs w:val="20"/>
                <w:color w:val="auto"/>
              </w:rPr>
            </w:pPr>
            <w:r>
              <w:rPr>
                <w:rFonts w:ascii="Arial" w:cs="Arial" w:eastAsia="Arial" w:hAnsi="Arial"/>
                <w:sz w:val="14"/>
                <w:szCs w:val="14"/>
                <w:color w:val="auto"/>
              </w:rPr>
              <w:t>dividend)</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6,082</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6,082</w:t>
            </w:r>
          </w:p>
        </w:tc>
        <w:tc>
          <w:tcPr>
            <w:tcW w:w="2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2.3%</w:t>
            </w:r>
          </w:p>
        </w:tc>
      </w:tr>
      <w:tr>
        <w:trPr>
          <w:trHeight w:val="20"/>
        </w:trPr>
        <w:tc>
          <w:tcPr>
            <w:tcW w:w="20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2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6,082</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6,082</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2.3%</w:t>
            </w:r>
          </w:p>
        </w:tc>
      </w:tr>
      <w:tr>
        <w:trPr>
          <w:trHeight w:val="272"/>
        </w:trPr>
        <w:tc>
          <w:tcPr>
            <w:tcW w:w="2000" w:type="dxa"/>
            <w:vAlign w:val="bottom"/>
          </w:tcPr>
          <w:p>
            <w:pPr>
              <w:spacing w:after="0"/>
              <w:rPr>
                <w:sz w:val="20"/>
                <w:szCs w:val="20"/>
                <w:color w:val="auto"/>
              </w:rPr>
            </w:pPr>
            <w:r>
              <w:rPr>
                <w:rFonts w:ascii="Arial" w:cs="Arial" w:eastAsia="Arial" w:hAnsi="Arial"/>
                <w:sz w:val="14"/>
                <w:szCs w:val="14"/>
                <w:color w:val="auto"/>
              </w:rPr>
              <w:t>Specialty Defense Contractor</w:t>
            </w:r>
          </w:p>
        </w:tc>
        <w:tc>
          <w:tcPr>
            <w:tcW w:w="2640" w:type="dxa"/>
            <w:vAlign w:val="bottom"/>
          </w:tcPr>
          <w:p>
            <w:pPr>
              <w:ind w:left="140"/>
              <w:spacing w:after="0"/>
              <w:rPr>
                <w:sz w:val="20"/>
                <w:szCs w:val="20"/>
                <w:color w:val="auto"/>
              </w:rPr>
            </w:pPr>
            <w:r>
              <w:rPr>
                <w:rFonts w:ascii="Arial" w:cs="Arial" w:eastAsia="Arial" w:hAnsi="Arial"/>
                <w:sz w:val="14"/>
                <w:szCs w:val="14"/>
                <w:color w:val="auto"/>
              </w:rPr>
              <w:t>Senior Secured Term Debt (13%</w:t>
            </w:r>
          </w:p>
        </w:tc>
        <w:tc>
          <w:tcPr>
            <w:tcW w:w="94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182"/>
        </w:trPr>
        <w:tc>
          <w:tcPr>
            <w:tcW w:w="2000" w:type="dxa"/>
            <w:vAlign w:val="bottom"/>
          </w:tcPr>
          <w:p>
            <w:pPr>
              <w:spacing w:after="0"/>
              <w:rPr>
                <w:sz w:val="15"/>
                <w:szCs w:val="15"/>
                <w:color w:val="auto"/>
              </w:rPr>
            </w:pPr>
          </w:p>
        </w:tc>
        <w:tc>
          <w:tcPr>
            <w:tcW w:w="2640" w:type="dxa"/>
            <w:vAlign w:val="bottom"/>
          </w:tcPr>
          <w:p>
            <w:pPr>
              <w:ind w:left="140"/>
              <w:spacing w:after="0"/>
              <w:rPr>
                <w:sz w:val="20"/>
                <w:szCs w:val="20"/>
                <w:color w:val="auto"/>
              </w:rPr>
            </w:pPr>
            <w:r>
              <w:rPr>
                <w:rFonts w:ascii="Arial" w:cs="Arial" w:eastAsia="Arial" w:hAnsi="Arial"/>
                <w:sz w:val="14"/>
                <w:szCs w:val="14"/>
                <w:color w:val="auto"/>
              </w:rPr>
              <w:t>Cash, Due 10/6/16)</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2,000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0.8%</w:t>
            </w:r>
          </w:p>
        </w:tc>
      </w:tr>
      <w:tr>
        <w:trPr>
          <w:trHeight w:val="263"/>
        </w:trPr>
        <w:tc>
          <w:tcPr>
            <w:tcW w:w="2000" w:type="dxa"/>
            <w:vAlign w:val="bottom"/>
          </w:tcPr>
          <w:p>
            <w:pPr>
              <w:spacing w:after="0"/>
              <w:rPr>
                <w:sz w:val="20"/>
                <w:szCs w:val="20"/>
                <w:color w:val="auto"/>
              </w:rPr>
            </w:pPr>
            <w:r>
              <w:rPr>
                <w:rFonts w:ascii="Arial" w:cs="Arial" w:eastAsia="Arial" w:hAnsi="Arial"/>
                <w:sz w:val="14"/>
                <w:szCs w:val="14"/>
                <w:color w:val="auto"/>
              </w:rPr>
              <w:t>Specialty Defense Contractor</w:t>
            </w:r>
          </w:p>
        </w:tc>
        <w:tc>
          <w:tcPr>
            <w:tcW w:w="2640" w:type="dxa"/>
            <w:vAlign w:val="bottom"/>
          </w:tcPr>
          <w:p>
            <w:pPr>
              <w:ind w:left="140"/>
              <w:spacing w:after="0"/>
              <w:rPr>
                <w:sz w:val="20"/>
                <w:szCs w:val="20"/>
                <w:color w:val="auto"/>
              </w:rPr>
            </w:pPr>
            <w:r>
              <w:rPr>
                <w:rFonts w:ascii="Arial" w:cs="Arial" w:eastAsia="Arial" w:hAnsi="Arial"/>
                <w:sz w:val="14"/>
                <w:szCs w:val="14"/>
                <w:color w:val="auto"/>
              </w:rPr>
              <w:t>Common Unit Warrants (12% fully</w:t>
            </w:r>
          </w:p>
        </w:tc>
        <w:tc>
          <w:tcPr>
            <w:tcW w:w="9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81"/>
        </w:trPr>
        <w:tc>
          <w:tcPr>
            <w:tcW w:w="2000" w:type="dxa"/>
            <w:vAlign w:val="bottom"/>
          </w:tcPr>
          <w:p>
            <w:pPr>
              <w:spacing w:after="0"/>
              <w:rPr>
                <w:sz w:val="15"/>
                <w:szCs w:val="15"/>
                <w:color w:val="auto"/>
              </w:rPr>
            </w:pPr>
          </w:p>
        </w:tc>
        <w:tc>
          <w:tcPr>
            <w:tcW w:w="2640" w:type="dxa"/>
            <w:vAlign w:val="bottom"/>
          </w:tcPr>
          <w:p>
            <w:pPr>
              <w:ind w:left="140"/>
              <w:spacing w:after="0"/>
              <w:rPr>
                <w:sz w:val="20"/>
                <w:szCs w:val="20"/>
                <w:color w:val="auto"/>
              </w:rPr>
            </w:pPr>
            <w:r>
              <w:rPr>
                <w:rFonts w:ascii="Arial" w:cs="Arial" w:eastAsia="Arial" w:hAnsi="Arial"/>
                <w:sz w:val="14"/>
                <w:szCs w:val="14"/>
                <w:color w:val="auto"/>
              </w:rPr>
              <w:t>diluted)</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541</w:t>
            </w:r>
          </w:p>
        </w:tc>
        <w:tc>
          <w:tcPr>
            <w:tcW w:w="2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0.2%</w:t>
            </w:r>
          </w:p>
        </w:tc>
      </w:tr>
      <w:tr>
        <w:trPr>
          <w:trHeight w:val="20"/>
        </w:trPr>
        <w:tc>
          <w:tcPr>
            <w:tcW w:w="20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2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2,541</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w:t>
            </w:r>
          </w:p>
        </w:tc>
      </w:tr>
      <w:tr>
        <w:trPr>
          <w:trHeight w:val="272"/>
        </w:trPr>
        <w:tc>
          <w:tcPr>
            <w:tcW w:w="2000" w:type="dxa"/>
            <w:vAlign w:val="bottom"/>
          </w:tcPr>
          <w:p>
            <w:pPr>
              <w:spacing w:after="0"/>
              <w:rPr>
                <w:sz w:val="20"/>
                <w:szCs w:val="20"/>
                <w:color w:val="auto"/>
              </w:rPr>
            </w:pPr>
            <w:r>
              <w:rPr>
                <w:rFonts w:ascii="Arial" w:cs="Arial" w:eastAsia="Arial" w:hAnsi="Arial"/>
                <w:sz w:val="14"/>
                <w:szCs w:val="14"/>
                <w:color w:val="auto"/>
              </w:rPr>
              <w:t>Transportation</w:t>
            </w:r>
          </w:p>
        </w:tc>
        <w:tc>
          <w:tcPr>
            <w:tcW w:w="2640" w:type="dxa"/>
            <w:vAlign w:val="bottom"/>
          </w:tcPr>
          <w:p>
            <w:pPr>
              <w:ind w:left="140"/>
              <w:spacing w:after="0"/>
              <w:rPr>
                <w:sz w:val="20"/>
                <w:szCs w:val="20"/>
                <w:color w:val="auto"/>
              </w:rPr>
            </w:pPr>
            <w:r>
              <w:rPr>
                <w:rFonts w:ascii="Arial" w:cs="Arial" w:eastAsia="Arial" w:hAnsi="Arial"/>
                <w:sz w:val="14"/>
                <w:szCs w:val="14"/>
                <w:color w:val="auto"/>
              </w:rPr>
              <w:t>Senior Secured Debt (14% Cash, Due</w:t>
            </w:r>
          </w:p>
        </w:tc>
        <w:tc>
          <w:tcPr>
            <w:tcW w:w="94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182"/>
        </w:trPr>
        <w:tc>
          <w:tcPr>
            <w:tcW w:w="2000" w:type="dxa"/>
            <w:vAlign w:val="bottom"/>
          </w:tcPr>
          <w:p>
            <w:pPr>
              <w:spacing w:after="0"/>
              <w:rPr>
                <w:sz w:val="15"/>
                <w:szCs w:val="15"/>
                <w:color w:val="auto"/>
              </w:rPr>
            </w:pPr>
          </w:p>
        </w:tc>
        <w:tc>
          <w:tcPr>
            <w:tcW w:w="2640" w:type="dxa"/>
            <w:vAlign w:val="bottom"/>
          </w:tcPr>
          <w:p>
            <w:pPr>
              <w:ind w:left="140"/>
              <w:spacing w:after="0"/>
              <w:rPr>
                <w:sz w:val="20"/>
                <w:szCs w:val="20"/>
                <w:color w:val="auto"/>
              </w:rPr>
            </w:pPr>
            <w:r>
              <w:rPr>
                <w:rFonts w:ascii="Arial" w:cs="Arial" w:eastAsia="Arial" w:hAnsi="Arial"/>
                <w:sz w:val="14"/>
                <w:szCs w:val="14"/>
                <w:color w:val="auto"/>
              </w:rPr>
              <w:t>3/31/19)</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15,800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15,783</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15,800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6.0%</w:t>
            </w:r>
          </w:p>
        </w:tc>
      </w:tr>
      <w:tr>
        <w:trPr>
          <w:trHeight w:val="263"/>
        </w:trPr>
        <w:tc>
          <w:tcPr>
            <w:tcW w:w="2000" w:type="dxa"/>
            <w:vAlign w:val="bottom"/>
          </w:tcPr>
          <w:p>
            <w:pPr>
              <w:spacing w:after="0"/>
              <w:rPr>
                <w:sz w:val="20"/>
                <w:szCs w:val="20"/>
                <w:color w:val="auto"/>
              </w:rPr>
            </w:pPr>
            <w:r>
              <w:rPr>
                <w:rFonts w:ascii="Arial" w:cs="Arial" w:eastAsia="Arial" w:hAnsi="Arial"/>
                <w:sz w:val="14"/>
                <w:szCs w:val="14"/>
                <w:color w:val="auto"/>
              </w:rPr>
              <w:t>Transportation</w:t>
            </w:r>
          </w:p>
        </w:tc>
        <w:tc>
          <w:tcPr>
            <w:tcW w:w="2640" w:type="dxa"/>
            <w:vAlign w:val="bottom"/>
          </w:tcPr>
          <w:p>
            <w:pPr>
              <w:ind w:left="140"/>
              <w:spacing w:after="0"/>
              <w:rPr>
                <w:sz w:val="20"/>
                <w:szCs w:val="20"/>
                <w:color w:val="auto"/>
              </w:rPr>
            </w:pPr>
            <w:r>
              <w:rPr>
                <w:rFonts w:ascii="Arial" w:cs="Arial" w:eastAsia="Arial" w:hAnsi="Arial"/>
                <w:sz w:val="14"/>
                <w:szCs w:val="14"/>
                <w:color w:val="auto"/>
              </w:rPr>
              <w:t>Preferred Units (1,000 units, 10%</w:t>
            </w:r>
          </w:p>
        </w:tc>
        <w:tc>
          <w:tcPr>
            <w:tcW w:w="9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82"/>
        </w:trPr>
        <w:tc>
          <w:tcPr>
            <w:tcW w:w="2000" w:type="dxa"/>
            <w:vAlign w:val="bottom"/>
          </w:tcPr>
          <w:p>
            <w:pPr>
              <w:spacing w:after="0"/>
              <w:rPr>
                <w:sz w:val="15"/>
                <w:szCs w:val="15"/>
                <w:color w:val="auto"/>
              </w:rPr>
            </w:pPr>
          </w:p>
        </w:tc>
        <w:tc>
          <w:tcPr>
            <w:tcW w:w="2640" w:type="dxa"/>
            <w:vAlign w:val="bottom"/>
          </w:tcPr>
          <w:p>
            <w:pPr>
              <w:ind w:left="140"/>
              <w:spacing w:after="0"/>
              <w:rPr>
                <w:sz w:val="20"/>
                <w:szCs w:val="20"/>
                <w:color w:val="auto"/>
              </w:rPr>
            </w:pPr>
            <w:r>
              <w:rPr>
                <w:rFonts w:ascii="Arial" w:cs="Arial" w:eastAsia="Arial" w:hAnsi="Arial"/>
                <w:sz w:val="14"/>
                <w:szCs w:val="14"/>
                <w:color w:val="auto"/>
              </w:rPr>
              <w:t>PIK Dividend)</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2,663</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2,600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w:t>
            </w:r>
          </w:p>
        </w:tc>
      </w:tr>
      <w:tr>
        <w:trPr>
          <w:trHeight w:val="263"/>
        </w:trPr>
        <w:tc>
          <w:tcPr>
            <w:tcW w:w="2000" w:type="dxa"/>
            <w:vAlign w:val="bottom"/>
          </w:tcPr>
          <w:p>
            <w:pPr>
              <w:spacing w:after="0"/>
              <w:rPr>
                <w:sz w:val="20"/>
                <w:szCs w:val="20"/>
                <w:color w:val="auto"/>
              </w:rPr>
            </w:pPr>
            <w:r>
              <w:rPr>
                <w:rFonts w:ascii="Arial" w:cs="Arial" w:eastAsia="Arial" w:hAnsi="Arial"/>
                <w:sz w:val="14"/>
                <w:szCs w:val="14"/>
                <w:color w:val="auto"/>
              </w:rPr>
              <w:t>Transportation</w:t>
            </w:r>
          </w:p>
        </w:tc>
        <w:tc>
          <w:tcPr>
            <w:tcW w:w="2640" w:type="dxa"/>
            <w:vAlign w:val="bottom"/>
          </w:tcPr>
          <w:p>
            <w:pPr>
              <w:ind w:left="140"/>
              <w:spacing w:after="0"/>
              <w:rPr>
                <w:sz w:val="20"/>
                <w:szCs w:val="20"/>
                <w:color w:val="auto"/>
              </w:rPr>
            </w:pPr>
            <w:r>
              <w:rPr>
                <w:rFonts w:ascii="Arial" w:cs="Arial" w:eastAsia="Arial" w:hAnsi="Arial"/>
                <w:sz w:val="14"/>
                <w:szCs w:val="14"/>
                <w:color w:val="auto"/>
              </w:rPr>
              <w:t>Common Stock Warrants (15% fully</w:t>
            </w:r>
          </w:p>
        </w:tc>
        <w:tc>
          <w:tcPr>
            <w:tcW w:w="9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81"/>
        </w:trPr>
        <w:tc>
          <w:tcPr>
            <w:tcW w:w="2000" w:type="dxa"/>
            <w:vAlign w:val="bottom"/>
          </w:tcPr>
          <w:p>
            <w:pPr>
              <w:spacing w:after="0"/>
              <w:rPr>
                <w:sz w:val="15"/>
                <w:szCs w:val="15"/>
                <w:color w:val="auto"/>
              </w:rPr>
            </w:pPr>
          </w:p>
        </w:tc>
        <w:tc>
          <w:tcPr>
            <w:tcW w:w="2640" w:type="dxa"/>
            <w:vAlign w:val="bottom"/>
          </w:tcPr>
          <w:p>
            <w:pPr>
              <w:ind w:left="140"/>
              <w:spacing w:after="0"/>
              <w:rPr>
                <w:sz w:val="20"/>
                <w:szCs w:val="20"/>
                <w:color w:val="auto"/>
              </w:rPr>
            </w:pPr>
            <w:r>
              <w:rPr>
                <w:rFonts w:ascii="Arial" w:cs="Arial" w:eastAsia="Arial" w:hAnsi="Arial"/>
                <w:sz w:val="14"/>
                <w:szCs w:val="14"/>
                <w:color w:val="auto"/>
              </w:rPr>
              <w:t>diluted)</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22</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20"/>
        </w:trPr>
        <w:tc>
          <w:tcPr>
            <w:tcW w:w="20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2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18,468</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18,400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7.0%</w:t>
            </w:r>
          </w:p>
        </w:tc>
      </w:tr>
      <w:tr>
        <w:trPr>
          <w:trHeight w:val="272"/>
        </w:trPr>
        <w:tc>
          <w:tcPr>
            <w:tcW w:w="2000" w:type="dxa"/>
            <w:vAlign w:val="bottom"/>
          </w:tcPr>
          <w:p>
            <w:pPr>
              <w:spacing w:after="0"/>
              <w:rPr>
                <w:sz w:val="20"/>
                <w:szCs w:val="20"/>
                <w:color w:val="auto"/>
              </w:rPr>
            </w:pPr>
            <w:r>
              <w:rPr>
                <w:rFonts w:ascii="Arial" w:cs="Arial" w:eastAsia="Arial" w:hAnsi="Arial"/>
                <w:sz w:val="14"/>
                <w:szCs w:val="14"/>
                <w:color w:val="auto"/>
              </w:rPr>
              <w:t>Medical Device Distributor</w:t>
            </w:r>
          </w:p>
        </w:tc>
        <w:tc>
          <w:tcPr>
            <w:tcW w:w="2640" w:type="dxa"/>
            <w:vAlign w:val="bottom"/>
          </w:tcPr>
          <w:p>
            <w:pPr>
              <w:ind w:left="140"/>
              <w:spacing w:after="0"/>
              <w:rPr>
                <w:sz w:val="20"/>
                <w:szCs w:val="20"/>
                <w:color w:val="auto"/>
              </w:rPr>
            </w:pPr>
            <w:r>
              <w:rPr>
                <w:rFonts w:ascii="Arial" w:cs="Arial" w:eastAsia="Arial" w:hAnsi="Arial"/>
                <w:sz w:val="14"/>
                <w:szCs w:val="14"/>
                <w:color w:val="auto"/>
              </w:rPr>
              <w:t>Subordinated Debt (14% Cash, Due</w:t>
            </w:r>
          </w:p>
        </w:tc>
        <w:tc>
          <w:tcPr>
            <w:tcW w:w="94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182"/>
        </w:trPr>
        <w:tc>
          <w:tcPr>
            <w:tcW w:w="2000" w:type="dxa"/>
            <w:vAlign w:val="bottom"/>
          </w:tcPr>
          <w:p>
            <w:pPr>
              <w:spacing w:after="0"/>
              <w:rPr>
                <w:sz w:val="15"/>
                <w:szCs w:val="15"/>
                <w:color w:val="auto"/>
              </w:rPr>
            </w:pPr>
          </w:p>
        </w:tc>
        <w:tc>
          <w:tcPr>
            <w:tcW w:w="2640" w:type="dxa"/>
            <w:vAlign w:val="bottom"/>
          </w:tcPr>
          <w:p>
            <w:pPr>
              <w:ind w:left="140"/>
              <w:spacing w:after="0"/>
              <w:rPr>
                <w:sz w:val="20"/>
                <w:szCs w:val="20"/>
                <w:color w:val="auto"/>
              </w:rPr>
            </w:pPr>
            <w:r>
              <w:rPr>
                <w:rFonts w:ascii="Arial" w:cs="Arial" w:eastAsia="Arial" w:hAnsi="Arial"/>
                <w:sz w:val="14"/>
                <w:szCs w:val="14"/>
                <w:color w:val="auto"/>
              </w:rPr>
              <w:t>9/27/20)</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4,667</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4,667</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4,667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1.8%</w:t>
            </w:r>
          </w:p>
        </w:tc>
      </w:tr>
      <w:tr>
        <w:trPr>
          <w:trHeight w:val="263"/>
        </w:trPr>
        <w:tc>
          <w:tcPr>
            <w:tcW w:w="2000" w:type="dxa"/>
            <w:vAlign w:val="bottom"/>
          </w:tcPr>
          <w:p>
            <w:pPr>
              <w:spacing w:after="0"/>
              <w:rPr>
                <w:sz w:val="20"/>
                <w:szCs w:val="20"/>
                <w:color w:val="auto"/>
              </w:rPr>
            </w:pPr>
            <w:r>
              <w:rPr>
                <w:rFonts w:ascii="Arial" w:cs="Arial" w:eastAsia="Arial" w:hAnsi="Arial"/>
                <w:sz w:val="14"/>
                <w:szCs w:val="14"/>
                <w:color w:val="auto"/>
              </w:rPr>
              <w:t>Medical Device Distributor</w:t>
            </w:r>
          </w:p>
        </w:tc>
        <w:tc>
          <w:tcPr>
            <w:tcW w:w="2640" w:type="dxa"/>
            <w:vAlign w:val="bottom"/>
          </w:tcPr>
          <w:p>
            <w:pPr>
              <w:ind w:left="140"/>
              <w:spacing w:after="0"/>
              <w:rPr>
                <w:sz w:val="20"/>
                <w:szCs w:val="20"/>
                <w:color w:val="auto"/>
              </w:rPr>
            </w:pPr>
            <w:r>
              <w:rPr>
                <w:rFonts w:ascii="Arial" w:cs="Arial" w:eastAsia="Arial" w:hAnsi="Arial"/>
                <w:sz w:val="14"/>
                <w:szCs w:val="14"/>
                <w:color w:val="auto"/>
              </w:rPr>
              <w:t>Series C Convertible Preferred Stock</w:t>
            </w:r>
          </w:p>
        </w:tc>
        <w:tc>
          <w:tcPr>
            <w:tcW w:w="9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81"/>
        </w:trPr>
        <w:tc>
          <w:tcPr>
            <w:tcW w:w="2000" w:type="dxa"/>
            <w:vAlign w:val="bottom"/>
          </w:tcPr>
          <w:p>
            <w:pPr>
              <w:spacing w:after="0"/>
              <w:rPr>
                <w:sz w:val="15"/>
                <w:szCs w:val="15"/>
                <w:color w:val="auto"/>
              </w:rPr>
            </w:pPr>
          </w:p>
        </w:tc>
        <w:tc>
          <w:tcPr>
            <w:tcW w:w="2640" w:type="dxa"/>
            <w:vAlign w:val="bottom"/>
          </w:tcPr>
          <w:p>
            <w:pPr>
              <w:ind w:left="140"/>
              <w:spacing w:after="0"/>
              <w:rPr>
                <w:sz w:val="20"/>
                <w:szCs w:val="20"/>
                <w:color w:val="auto"/>
              </w:rPr>
            </w:pPr>
            <w:r>
              <w:rPr>
                <w:rFonts w:ascii="Arial" w:cs="Arial" w:eastAsia="Arial" w:hAnsi="Arial"/>
                <w:sz w:val="14"/>
                <w:szCs w:val="14"/>
                <w:color w:val="auto"/>
              </w:rPr>
              <w:t>(740 shares)</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1,333</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3,424</w:t>
            </w:r>
          </w:p>
        </w:tc>
        <w:tc>
          <w:tcPr>
            <w:tcW w:w="2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1.3%</w:t>
            </w:r>
          </w:p>
        </w:tc>
      </w:tr>
      <w:tr>
        <w:trPr>
          <w:trHeight w:val="20"/>
        </w:trPr>
        <w:tc>
          <w:tcPr>
            <w:tcW w:w="20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2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8,091</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3.1%</w:t>
            </w:r>
          </w:p>
        </w:tc>
      </w:tr>
      <w:tr>
        <w:trPr>
          <w:trHeight w:val="272"/>
        </w:trPr>
        <w:tc>
          <w:tcPr>
            <w:tcW w:w="2000" w:type="dxa"/>
            <w:vAlign w:val="bottom"/>
          </w:tcPr>
          <w:p>
            <w:pPr>
              <w:spacing w:after="0"/>
              <w:rPr>
                <w:sz w:val="20"/>
                <w:szCs w:val="20"/>
                <w:color w:val="auto"/>
              </w:rPr>
            </w:pPr>
            <w:r>
              <w:rPr>
                <w:rFonts w:ascii="Arial" w:cs="Arial" w:eastAsia="Arial" w:hAnsi="Arial"/>
                <w:sz w:val="14"/>
                <w:szCs w:val="14"/>
                <w:color w:val="auto"/>
              </w:rPr>
              <w:t>Building Supplies</w:t>
            </w:r>
          </w:p>
        </w:tc>
        <w:tc>
          <w:tcPr>
            <w:tcW w:w="2640" w:type="dxa"/>
            <w:vAlign w:val="bottom"/>
          </w:tcPr>
          <w:p>
            <w:pPr>
              <w:ind w:left="140"/>
              <w:spacing w:after="0"/>
              <w:rPr>
                <w:sz w:val="20"/>
                <w:szCs w:val="20"/>
                <w:color w:val="auto"/>
              </w:rPr>
            </w:pPr>
            <w:r>
              <w:rPr>
                <w:rFonts w:ascii="Arial" w:cs="Arial" w:eastAsia="Arial" w:hAnsi="Arial"/>
                <w:sz w:val="14"/>
                <w:szCs w:val="14"/>
                <w:color w:val="auto"/>
              </w:rPr>
              <w:t>Subordinated Debt (7% cash, Due</w:t>
            </w:r>
          </w:p>
        </w:tc>
        <w:tc>
          <w:tcPr>
            <w:tcW w:w="94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182"/>
        </w:trPr>
        <w:tc>
          <w:tcPr>
            <w:tcW w:w="2000" w:type="dxa"/>
            <w:vAlign w:val="bottom"/>
          </w:tcPr>
          <w:p>
            <w:pPr>
              <w:spacing w:after="0"/>
              <w:rPr>
                <w:sz w:val="15"/>
                <w:szCs w:val="15"/>
                <w:color w:val="auto"/>
              </w:rPr>
            </w:pPr>
          </w:p>
        </w:tc>
        <w:tc>
          <w:tcPr>
            <w:tcW w:w="2640" w:type="dxa"/>
            <w:vAlign w:val="bottom"/>
          </w:tcPr>
          <w:p>
            <w:pPr>
              <w:ind w:left="140"/>
              <w:spacing w:after="0"/>
              <w:rPr>
                <w:sz w:val="20"/>
                <w:szCs w:val="20"/>
                <w:color w:val="auto"/>
              </w:rPr>
            </w:pPr>
            <w:r>
              <w:rPr>
                <w:rFonts w:ascii="Arial" w:cs="Arial" w:eastAsia="Arial" w:hAnsi="Arial"/>
                <w:sz w:val="14"/>
                <w:szCs w:val="14"/>
                <w:color w:val="auto"/>
              </w:rPr>
              <w:t>6/30/15)</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2,109</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1,309</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2,109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0.8%</w:t>
            </w:r>
          </w:p>
        </w:tc>
      </w:tr>
      <w:tr>
        <w:trPr>
          <w:trHeight w:val="263"/>
        </w:trPr>
        <w:tc>
          <w:tcPr>
            <w:tcW w:w="2000" w:type="dxa"/>
            <w:vAlign w:val="bottom"/>
          </w:tcPr>
          <w:p>
            <w:pPr>
              <w:spacing w:after="0"/>
              <w:rPr>
                <w:sz w:val="20"/>
                <w:szCs w:val="20"/>
                <w:color w:val="auto"/>
              </w:rPr>
            </w:pPr>
            <w:r>
              <w:rPr>
                <w:rFonts w:ascii="Arial" w:cs="Arial" w:eastAsia="Arial" w:hAnsi="Arial"/>
                <w:sz w:val="14"/>
                <w:szCs w:val="14"/>
                <w:color w:val="auto"/>
              </w:rPr>
              <w:t>Building Supplies</w:t>
            </w:r>
          </w:p>
        </w:tc>
        <w:tc>
          <w:tcPr>
            <w:tcW w:w="2640" w:type="dxa"/>
            <w:vAlign w:val="bottom"/>
          </w:tcPr>
          <w:p>
            <w:pPr>
              <w:ind w:left="140"/>
              <w:spacing w:after="0"/>
              <w:rPr>
                <w:sz w:val="20"/>
                <w:szCs w:val="20"/>
                <w:color w:val="auto"/>
              </w:rPr>
            </w:pPr>
            <w:r>
              <w:rPr>
                <w:rFonts w:ascii="Arial" w:cs="Arial" w:eastAsia="Arial" w:hAnsi="Arial"/>
                <w:sz w:val="14"/>
                <w:szCs w:val="14"/>
                <w:color w:val="auto"/>
              </w:rPr>
              <w:t>Common Stock Warrants (10% fully</w:t>
            </w:r>
          </w:p>
        </w:tc>
        <w:tc>
          <w:tcPr>
            <w:tcW w:w="9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81"/>
        </w:trPr>
        <w:tc>
          <w:tcPr>
            <w:tcW w:w="2000" w:type="dxa"/>
            <w:vAlign w:val="bottom"/>
          </w:tcPr>
          <w:p>
            <w:pPr>
              <w:spacing w:after="0"/>
              <w:rPr>
                <w:sz w:val="15"/>
                <w:szCs w:val="15"/>
                <w:color w:val="auto"/>
              </w:rPr>
            </w:pPr>
          </w:p>
        </w:tc>
        <w:tc>
          <w:tcPr>
            <w:tcW w:w="2640" w:type="dxa"/>
            <w:vAlign w:val="bottom"/>
          </w:tcPr>
          <w:p>
            <w:pPr>
              <w:ind w:left="140"/>
              <w:spacing w:after="0"/>
              <w:rPr>
                <w:sz w:val="20"/>
                <w:szCs w:val="20"/>
                <w:color w:val="auto"/>
              </w:rPr>
            </w:pPr>
            <w:r>
              <w:rPr>
                <w:rFonts w:ascii="Arial" w:cs="Arial" w:eastAsia="Arial" w:hAnsi="Arial"/>
                <w:sz w:val="14"/>
                <w:szCs w:val="14"/>
                <w:color w:val="auto"/>
              </w:rPr>
              <w:t>diluted)</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777</w:t>
            </w:r>
          </w:p>
        </w:tc>
        <w:tc>
          <w:tcPr>
            <w:tcW w:w="2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0.3%</w:t>
            </w:r>
          </w:p>
        </w:tc>
      </w:tr>
      <w:tr>
        <w:trPr>
          <w:trHeight w:val="20"/>
        </w:trPr>
        <w:tc>
          <w:tcPr>
            <w:tcW w:w="20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2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1,309</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2,886</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1.1%</w:t>
            </w:r>
          </w:p>
        </w:tc>
      </w:tr>
      <w:tr>
        <w:trPr>
          <w:trHeight w:val="272"/>
        </w:trPr>
        <w:tc>
          <w:tcPr>
            <w:tcW w:w="2000" w:type="dxa"/>
            <w:vAlign w:val="bottom"/>
          </w:tcPr>
          <w:p>
            <w:pPr>
              <w:spacing w:after="0"/>
              <w:rPr>
                <w:sz w:val="20"/>
                <w:szCs w:val="20"/>
                <w:color w:val="auto"/>
              </w:rPr>
            </w:pPr>
            <w:r>
              <w:rPr>
                <w:rFonts w:ascii="Arial" w:cs="Arial" w:eastAsia="Arial" w:hAnsi="Arial"/>
                <w:sz w:val="14"/>
                <w:szCs w:val="14"/>
                <w:color w:val="auto"/>
                <w:w w:val="99"/>
              </w:rPr>
              <w:t>Medical Transportation Services</w:t>
            </w:r>
          </w:p>
        </w:tc>
        <w:tc>
          <w:tcPr>
            <w:tcW w:w="2640" w:type="dxa"/>
            <w:vAlign w:val="bottom"/>
          </w:tcPr>
          <w:p>
            <w:pPr>
              <w:ind w:left="140"/>
              <w:spacing w:after="0"/>
              <w:rPr>
                <w:sz w:val="20"/>
                <w:szCs w:val="20"/>
                <w:color w:val="auto"/>
              </w:rPr>
            </w:pPr>
            <w:r>
              <w:rPr>
                <w:rFonts w:ascii="Arial" w:cs="Arial" w:eastAsia="Arial" w:hAnsi="Arial"/>
                <w:sz w:val="14"/>
                <w:szCs w:val="14"/>
                <w:color w:val="auto"/>
              </w:rPr>
              <w:t>Senior Secured Term Debt (13%</w:t>
            </w:r>
          </w:p>
        </w:tc>
        <w:tc>
          <w:tcPr>
            <w:tcW w:w="94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223"/>
        </w:trPr>
        <w:tc>
          <w:tcPr>
            <w:tcW w:w="2000" w:type="dxa"/>
            <w:vAlign w:val="bottom"/>
          </w:tcPr>
          <w:p>
            <w:pPr>
              <w:spacing w:after="0"/>
              <w:rPr>
                <w:sz w:val="19"/>
                <w:szCs w:val="19"/>
                <w:color w:val="auto"/>
              </w:rPr>
            </w:pPr>
          </w:p>
        </w:tc>
        <w:tc>
          <w:tcPr>
            <w:tcW w:w="2640" w:type="dxa"/>
            <w:vAlign w:val="bottom"/>
          </w:tcPr>
          <w:p>
            <w:pPr>
              <w:ind w:left="140"/>
              <w:spacing w:after="0"/>
              <w:rPr>
                <w:sz w:val="20"/>
                <w:szCs w:val="20"/>
                <w:color w:val="auto"/>
              </w:rPr>
            </w:pPr>
            <w:r>
              <w:rPr>
                <w:rFonts w:ascii="Arial" w:cs="Arial" w:eastAsia="Arial" w:hAnsi="Arial"/>
                <w:sz w:val="14"/>
                <w:szCs w:val="14"/>
                <w:color w:val="auto"/>
              </w:rPr>
              <w:t>Cash, Due 12/31/15)</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1,548</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263"/>
        </w:trPr>
        <w:tc>
          <w:tcPr>
            <w:tcW w:w="2000" w:type="dxa"/>
            <w:vAlign w:val="bottom"/>
          </w:tcPr>
          <w:p>
            <w:pPr>
              <w:spacing w:after="0"/>
              <w:rPr>
                <w:sz w:val="20"/>
                <w:szCs w:val="20"/>
                <w:color w:val="auto"/>
              </w:rPr>
            </w:pPr>
            <w:r>
              <w:rPr>
                <w:rFonts w:ascii="Arial" w:cs="Arial" w:eastAsia="Arial" w:hAnsi="Arial"/>
                <w:sz w:val="14"/>
                <w:szCs w:val="14"/>
                <w:color w:val="auto"/>
                <w:w w:val="99"/>
              </w:rPr>
              <w:t>Medical Transportation Services</w:t>
            </w:r>
          </w:p>
        </w:tc>
        <w:tc>
          <w:tcPr>
            <w:tcW w:w="2640" w:type="dxa"/>
            <w:vAlign w:val="bottom"/>
          </w:tcPr>
          <w:p>
            <w:pPr>
              <w:ind w:left="140"/>
              <w:spacing w:after="0"/>
              <w:rPr>
                <w:sz w:val="20"/>
                <w:szCs w:val="20"/>
                <w:color w:val="auto"/>
              </w:rPr>
            </w:pPr>
            <w:r>
              <w:rPr>
                <w:rFonts w:ascii="Arial" w:cs="Arial" w:eastAsia="Arial" w:hAnsi="Arial"/>
                <w:sz w:val="14"/>
                <w:szCs w:val="14"/>
                <w:color w:val="auto"/>
              </w:rPr>
              <w:t>Common Stock Warrants (5% fully</w:t>
            </w:r>
          </w:p>
        </w:tc>
        <w:tc>
          <w:tcPr>
            <w:tcW w:w="9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81"/>
        </w:trPr>
        <w:tc>
          <w:tcPr>
            <w:tcW w:w="2000" w:type="dxa"/>
            <w:vAlign w:val="bottom"/>
          </w:tcPr>
          <w:p>
            <w:pPr>
              <w:spacing w:after="0"/>
              <w:rPr>
                <w:sz w:val="15"/>
                <w:szCs w:val="15"/>
                <w:color w:val="auto"/>
              </w:rPr>
            </w:pPr>
          </w:p>
        </w:tc>
        <w:tc>
          <w:tcPr>
            <w:tcW w:w="2640" w:type="dxa"/>
            <w:vAlign w:val="bottom"/>
          </w:tcPr>
          <w:p>
            <w:pPr>
              <w:ind w:left="140"/>
              <w:spacing w:after="0"/>
              <w:rPr>
                <w:sz w:val="20"/>
                <w:szCs w:val="20"/>
                <w:color w:val="auto"/>
              </w:rPr>
            </w:pPr>
            <w:r>
              <w:rPr>
                <w:rFonts w:ascii="Arial" w:cs="Arial" w:eastAsia="Arial" w:hAnsi="Arial"/>
                <w:sz w:val="14"/>
                <w:szCs w:val="14"/>
                <w:color w:val="auto"/>
              </w:rPr>
              <w:t>diluted)</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20"/>
        </w:trPr>
        <w:tc>
          <w:tcPr>
            <w:tcW w:w="20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2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272"/>
        </w:trPr>
        <w:tc>
          <w:tcPr>
            <w:tcW w:w="2000" w:type="dxa"/>
            <w:vAlign w:val="bottom"/>
          </w:tcPr>
          <w:p>
            <w:pPr>
              <w:spacing w:after="0"/>
              <w:rPr>
                <w:sz w:val="20"/>
                <w:szCs w:val="20"/>
                <w:color w:val="auto"/>
              </w:rPr>
            </w:pPr>
            <w:r>
              <w:rPr>
                <w:rFonts w:ascii="Arial" w:cs="Arial" w:eastAsia="Arial" w:hAnsi="Arial"/>
                <w:sz w:val="14"/>
                <w:szCs w:val="14"/>
                <w:color w:val="auto"/>
              </w:rPr>
              <w:t>Industrial Boiler Manufacturer</w:t>
            </w:r>
          </w:p>
        </w:tc>
        <w:tc>
          <w:tcPr>
            <w:tcW w:w="2640" w:type="dxa"/>
            <w:vAlign w:val="bottom"/>
          </w:tcPr>
          <w:p>
            <w:pPr>
              <w:ind w:left="140"/>
              <w:spacing w:after="0"/>
              <w:rPr>
                <w:sz w:val="20"/>
                <w:szCs w:val="20"/>
                <w:color w:val="auto"/>
              </w:rPr>
            </w:pPr>
            <w:r>
              <w:rPr>
                <w:rFonts w:ascii="Arial" w:cs="Arial" w:eastAsia="Arial" w:hAnsi="Arial"/>
                <w:sz w:val="14"/>
                <w:szCs w:val="14"/>
                <w:color w:val="auto"/>
              </w:rPr>
              <w:t>Subordinated Debt (14% PIK, Due</w:t>
            </w:r>
          </w:p>
        </w:tc>
        <w:tc>
          <w:tcPr>
            <w:tcW w:w="94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182"/>
        </w:trPr>
        <w:tc>
          <w:tcPr>
            <w:tcW w:w="2000" w:type="dxa"/>
            <w:vAlign w:val="bottom"/>
          </w:tcPr>
          <w:p>
            <w:pPr>
              <w:spacing w:after="0"/>
              <w:rPr>
                <w:sz w:val="15"/>
                <w:szCs w:val="15"/>
                <w:color w:val="auto"/>
              </w:rPr>
            </w:pPr>
          </w:p>
        </w:tc>
        <w:tc>
          <w:tcPr>
            <w:tcW w:w="2640" w:type="dxa"/>
            <w:vAlign w:val="bottom"/>
          </w:tcPr>
          <w:p>
            <w:pPr>
              <w:ind w:left="140"/>
              <w:spacing w:after="0"/>
              <w:rPr>
                <w:sz w:val="20"/>
                <w:szCs w:val="20"/>
                <w:color w:val="auto"/>
              </w:rPr>
            </w:pPr>
            <w:r>
              <w:rPr>
                <w:rFonts w:ascii="Arial" w:cs="Arial" w:eastAsia="Arial" w:hAnsi="Arial"/>
                <w:sz w:val="14"/>
                <w:szCs w:val="14"/>
                <w:color w:val="auto"/>
              </w:rPr>
              <w:t>2/13/15)</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211</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211</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183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0.1%</w:t>
            </w:r>
          </w:p>
        </w:tc>
      </w:tr>
      <w:tr>
        <w:trPr>
          <w:trHeight w:val="263"/>
        </w:trPr>
        <w:tc>
          <w:tcPr>
            <w:tcW w:w="2000" w:type="dxa"/>
            <w:vAlign w:val="bottom"/>
          </w:tcPr>
          <w:p>
            <w:pPr>
              <w:spacing w:after="0"/>
              <w:rPr>
                <w:sz w:val="20"/>
                <w:szCs w:val="20"/>
                <w:color w:val="auto"/>
              </w:rPr>
            </w:pPr>
            <w:r>
              <w:rPr>
                <w:rFonts w:ascii="Arial" w:cs="Arial" w:eastAsia="Arial" w:hAnsi="Arial"/>
                <w:sz w:val="14"/>
                <w:szCs w:val="14"/>
                <w:color w:val="auto"/>
              </w:rPr>
              <w:t>Industrial Boiler Manufacturer</w:t>
            </w:r>
          </w:p>
        </w:tc>
        <w:tc>
          <w:tcPr>
            <w:tcW w:w="2640" w:type="dxa"/>
            <w:vAlign w:val="bottom"/>
          </w:tcPr>
          <w:p>
            <w:pPr>
              <w:ind w:left="140"/>
              <w:spacing w:after="0"/>
              <w:rPr>
                <w:sz w:val="20"/>
                <w:szCs w:val="20"/>
                <w:color w:val="auto"/>
              </w:rPr>
            </w:pPr>
            <w:r>
              <w:rPr>
                <w:rFonts w:ascii="Arial" w:cs="Arial" w:eastAsia="Arial" w:hAnsi="Arial"/>
                <w:sz w:val="14"/>
                <w:szCs w:val="14"/>
                <w:color w:val="auto"/>
              </w:rPr>
              <w:t>Subordinated Debt (6.5% Cash, 6.5%</w:t>
            </w:r>
          </w:p>
        </w:tc>
        <w:tc>
          <w:tcPr>
            <w:tcW w:w="9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82"/>
        </w:trPr>
        <w:tc>
          <w:tcPr>
            <w:tcW w:w="2000" w:type="dxa"/>
            <w:vAlign w:val="bottom"/>
          </w:tcPr>
          <w:p>
            <w:pPr>
              <w:spacing w:after="0"/>
              <w:rPr>
                <w:sz w:val="15"/>
                <w:szCs w:val="15"/>
                <w:color w:val="auto"/>
              </w:rPr>
            </w:pPr>
          </w:p>
        </w:tc>
        <w:tc>
          <w:tcPr>
            <w:tcW w:w="2640" w:type="dxa"/>
            <w:vAlign w:val="bottom"/>
          </w:tcPr>
          <w:p>
            <w:pPr>
              <w:ind w:left="140"/>
              <w:spacing w:after="0"/>
              <w:rPr>
                <w:sz w:val="20"/>
                <w:szCs w:val="20"/>
                <w:color w:val="auto"/>
              </w:rPr>
            </w:pPr>
            <w:r>
              <w:rPr>
                <w:rFonts w:ascii="Arial" w:cs="Arial" w:eastAsia="Arial" w:hAnsi="Arial"/>
                <w:sz w:val="14"/>
                <w:szCs w:val="14"/>
                <w:color w:val="auto"/>
              </w:rPr>
              <w:t>PIK, Due 2/10/17)</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2,568</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2,568</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1,732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0.7%</w:t>
            </w:r>
          </w:p>
        </w:tc>
      </w:tr>
      <w:tr>
        <w:trPr>
          <w:trHeight w:val="263"/>
        </w:trPr>
        <w:tc>
          <w:tcPr>
            <w:tcW w:w="2000" w:type="dxa"/>
            <w:vAlign w:val="bottom"/>
          </w:tcPr>
          <w:p>
            <w:pPr>
              <w:spacing w:after="0"/>
              <w:rPr>
                <w:sz w:val="20"/>
                <w:szCs w:val="20"/>
                <w:color w:val="auto"/>
              </w:rPr>
            </w:pPr>
            <w:r>
              <w:rPr>
                <w:rFonts w:ascii="Arial" w:cs="Arial" w:eastAsia="Arial" w:hAnsi="Arial"/>
                <w:sz w:val="14"/>
                <w:szCs w:val="14"/>
                <w:color w:val="auto"/>
              </w:rPr>
              <w:t>Industrial Boiler Manufacturer</w:t>
            </w:r>
          </w:p>
        </w:tc>
        <w:tc>
          <w:tcPr>
            <w:tcW w:w="2640" w:type="dxa"/>
            <w:vAlign w:val="bottom"/>
          </w:tcPr>
          <w:p>
            <w:pPr>
              <w:ind w:left="140"/>
              <w:spacing w:after="0"/>
              <w:rPr>
                <w:sz w:val="20"/>
                <w:szCs w:val="20"/>
                <w:color w:val="auto"/>
              </w:rPr>
            </w:pPr>
            <w:r>
              <w:rPr>
                <w:rFonts w:ascii="Arial" w:cs="Arial" w:eastAsia="Arial" w:hAnsi="Arial"/>
                <w:sz w:val="14"/>
                <w:szCs w:val="14"/>
                <w:color w:val="auto"/>
              </w:rPr>
              <w:t>Membership Unit Warrants (6.5%</w:t>
            </w:r>
          </w:p>
        </w:tc>
        <w:tc>
          <w:tcPr>
            <w:tcW w:w="9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81"/>
        </w:trPr>
        <w:tc>
          <w:tcPr>
            <w:tcW w:w="2000" w:type="dxa"/>
            <w:vAlign w:val="bottom"/>
          </w:tcPr>
          <w:p>
            <w:pPr>
              <w:spacing w:after="0"/>
              <w:rPr>
                <w:sz w:val="15"/>
                <w:szCs w:val="15"/>
                <w:color w:val="auto"/>
              </w:rPr>
            </w:pPr>
          </w:p>
        </w:tc>
        <w:tc>
          <w:tcPr>
            <w:tcW w:w="2640" w:type="dxa"/>
            <w:vAlign w:val="bottom"/>
          </w:tcPr>
          <w:p>
            <w:pPr>
              <w:ind w:left="140"/>
              <w:spacing w:after="0"/>
              <w:rPr>
                <w:sz w:val="20"/>
                <w:szCs w:val="20"/>
                <w:color w:val="auto"/>
              </w:rPr>
            </w:pPr>
            <w:r>
              <w:rPr>
                <w:rFonts w:ascii="Arial" w:cs="Arial" w:eastAsia="Arial" w:hAnsi="Arial"/>
                <w:sz w:val="14"/>
                <w:szCs w:val="14"/>
                <w:color w:val="auto"/>
              </w:rPr>
              <w:t>fully diluted)</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20"/>
        </w:trPr>
        <w:tc>
          <w:tcPr>
            <w:tcW w:w="20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-6319520</wp:posOffset>
            </wp:positionV>
            <wp:extent cx="7246620" cy="946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-6130925</wp:posOffset>
            </wp:positionV>
            <wp:extent cx="7246620" cy="19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-5831205</wp:posOffset>
            </wp:positionV>
            <wp:extent cx="7246620"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-5624830</wp:posOffset>
            </wp:positionV>
            <wp:extent cx="72466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-5230495</wp:posOffset>
            </wp:positionV>
            <wp:extent cx="7246620" cy="102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-5024755</wp:posOffset>
            </wp:positionV>
            <wp:extent cx="72466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-4741545</wp:posOffset>
            </wp:positionV>
            <wp:extent cx="7246620" cy="197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-4441825</wp:posOffset>
            </wp:positionV>
            <wp:extent cx="7246620"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-4236085</wp:posOffset>
            </wp:positionV>
            <wp:extent cx="72466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-3952875</wp:posOffset>
            </wp:positionV>
            <wp:extent cx="72466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-3669665</wp:posOffset>
            </wp:positionV>
            <wp:extent cx="7246620" cy="197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-3369945</wp:posOffset>
            </wp:positionV>
            <wp:extent cx="7246620"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-3163570</wp:posOffset>
            </wp:positionV>
            <wp:extent cx="72466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-2880995</wp:posOffset>
            </wp:positionV>
            <wp:extent cx="7246620" cy="197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-2580640</wp:posOffset>
            </wp:positionV>
            <wp:extent cx="7246620"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-2374900</wp:posOffset>
            </wp:positionV>
            <wp:extent cx="72466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-2091690</wp:posOffset>
            </wp:positionV>
            <wp:extent cx="7246620" cy="1974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-1791970</wp:posOffset>
            </wp:positionV>
            <wp:extent cx="7246620" cy="102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-1585595</wp:posOffset>
            </wp:positionV>
            <wp:extent cx="7246620" cy="21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-1276985</wp:posOffset>
            </wp:positionV>
            <wp:extent cx="7246620" cy="1974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-977265</wp:posOffset>
            </wp:positionV>
            <wp:extent cx="7246620"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-770890</wp:posOffset>
            </wp:positionV>
            <wp:extent cx="724662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-488315</wp:posOffset>
            </wp:positionV>
            <wp:extent cx="724662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-205105</wp:posOffset>
            </wp:positionV>
            <wp:extent cx="7246620" cy="1974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ectPr>
          <w:pgSz w:w="11900" w:h="16897" w:orient="portrait"/>
          <w:cols w:equalWidth="0" w:num="2">
            <w:col w:w="2440" w:space="140"/>
            <w:col w:w="8840"/>
          </w:cols>
          <w:pgMar w:left="240" w:top="877" w:right="239" w:bottom="0" w:gutter="0" w:footer="0" w:header="0"/>
          <w:type w:val="continuous"/>
        </w:sectPr>
      </w:pPr>
    </w:p>
    <w:bookmarkStart w:id="7" w:name="page8"/>
    <w:bookmarkEnd w:id="7"/>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102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20"/>
                <w:szCs w:val="20"/>
                <w:color w:val="auto"/>
              </w:rPr>
            </w:pPr>
            <w:r>
              <w:rPr>
                <w:rFonts w:ascii="Arial" w:cs="Arial" w:eastAsia="Arial" w:hAnsi="Arial"/>
                <w:sz w:val="14"/>
                <w:szCs w:val="14"/>
                <w:color w:val="auto"/>
              </w:rPr>
              <w:t>Sierra Hamilton, LLC</w:t>
            </w:r>
          </w:p>
        </w:tc>
        <w:tc>
          <w:tcPr>
            <w:tcW w:w="2080" w:type="dxa"/>
            <w:vAlign w:val="bottom"/>
          </w:tcPr>
          <w:p>
            <w:pPr>
              <w:ind w:left="120"/>
              <w:spacing w:after="0"/>
              <w:rPr>
                <w:sz w:val="20"/>
                <w:szCs w:val="20"/>
                <w:color w:val="auto"/>
              </w:rPr>
            </w:pPr>
            <w:r>
              <w:rPr>
                <w:rFonts w:ascii="Arial" w:cs="Arial" w:eastAsia="Arial" w:hAnsi="Arial"/>
                <w:sz w:val="14"/>
                <w:szCs w:val="14"/>
                <w:color w:val="auto"/>
              </w:rPr>
              <w:t>Oil &amp; Gas Engineering and</w:t>
            </w:r>
          </w:p>
        </w:tc>
        <w:tc>
          <w:tcPr>
            <w:tcW w:w="2360" w:type="dxa"/>
            <w:vAlign w:val="bottom"/>
          </w:tcPr>
          <w:p>
            <w:pPr>
              <w:ind w:left="180"/>
              <w:spacing w:after="0"/>
              <w:rPr>
                <w:sz w:val="20"/>
                <w:szCs w:val="20"/>
                <w:color w:val="auto"/>
              </w:rPr>
            </w:pPr>
            <w:r>
              <w:rPr>
                <w:rFonts w:ascii="Arial" w:cs="Arial" w:eastAsia="Arial" w:hAnsi="Arial"/>
                <w:sz w:val="14"/>
                <w:szCs w:val="14"/>
                <w:color w:val="auto"/>
                <w:w w:val="95"/>
              </w:rPr>
              <w:t>Senior Secured Debt (12.25% Cash,</w:t>
            </w:r>
          </w:p>
        </w:tc>
      </w:tr>
      <w:tr>
        <w:trPr>
          <w:trHeight w:val="182"/>
        </w:trPr>
        <w:tc>
          <w:tcPr>
            <w:tcW w:w="2460" w:type="dxa"/>
            <w:vAlign w:val="bottom"/>
          </w:tcPr>
          <w:p>
            <w:pPr>
              <w:spacing w:after="0"/>
              <w:rPr>
                <w:sz w:val="15"/>
                <w:szCs w:val="15"/>
                <w:color w:val="auto"/>
              </w:rPr>
            </w:pPr>
          </w:p>
        </w:tc>
        <w:tc>
          <w:tcPr>
            <w:tcW w:w="2080" w:type="dxa"/>
            <w:vAlign w:val="bottom"/>
          </w:tcPr>
          <w:p>
            <w:pPr>
              <w:ind w:left="120"/>
              <w:spacing w:after="0"/>
              <w:rPr>
                <w:sz w:val="20"/>
                <w:szCs w:val="20"/>
                <w:color w:val="auto"/>
              </w:rPr>
            </w:pPr>
            <w:r>
              <w:rPr>
                <w:rFonts w:ascii="Arial" w:cs="Arial" w:eastAsia="Arial" w:hAnsi="Arial"/>
                <w:sz w:val="14"/>
                <w:szCs w:val="14"/>
                <w:color w:val="auto"/>
              </w:rPr>
              <w:t>Consulting Services</w:t>
            </w:r>
          </w:p>
        </w:tc>
        <w:tc>
          <w:tcPr>
            <w:tcW w:w="2360" w:type="dxa"/>
            <w:vAlign w:val="bottom"/>
          </w:tcPr>
          <w:p>
            <w:pPr>
              <w:ind w:left="180"/>
              <w:spacing w:after="0"/>
              <w:rPr>
                <w:sz w:val="20"/>
                <w:szCs w:val="20"/>
                <w:color w:val="auto"/>
              </w:rPr>
            </w:pPr>
            <w:r>
              <w:rPr>
                <w:rFonts w:ascii="Arial" w:cs="Arial" w:eastAsia="Arial" w:hAnsi="Arial"/>
                <w:sz w:val="14"/>
                <w:szCs w:val="14"/>
                <w:color w:val="auto"/>
              </w:rPr>
              <w:t>Due 12/15/18)</w:t>
            </w:r>
          </w:p>
        </w:tc>
      </w:tr>
      <w:tr>
        <w:trPr>
          <w:trHeight w:val="615"/>
        </w:trPr>
        <w:tc>
          <w:tcPr>
            <w:tcW w:w="2460" w:type="dxa"/>
            <w:vAlign w:val="bottom"/>
          </w:tcPr>
          <w:p>
            <w:pPr>
              <w:spacing w:after="0"/>
              <w:rPr>
                <w:sz w:val="20"/>
                <w:szCs w:val="20"/>
                <w:color w:val="auto"/>
              </w:rPr>
            </w:pPr>
            <w:r>
              <w:rPr>
                <w:rFonts w:ascii="Arial" w:cs="Arial" w:eastAsia="Arial" w:hAnsi="Arial"/>
                <w:sz w:val="14"/>
                <w:szCs w:val="14"/>
                <w:color w:val="auto"/>
              </w:rPr>
              <w:t>Southern Pump &amp; Tank Company, LLC</w:t>
            </w:r>
          </w:p>
        </w:tc>
        <w:tc>
          <w:tcPr>
            <w:tcW w:w="2080" w:type="dxa"/>
            <w:vAlign w:val="bottom"/>
          </w:tcPr>
          <w:p>
            <w:pPr>
              <w:ind w:left="120"/>
              <w:spacing w:after="0"/>
              <w:rPr>
                <w:sz w:val="20"/>
                <w:szCs w:val="20"/>
                <w:color w:val="auto"/>
              </w:rPr>
            </w:pPr>
            <w:r>
              <w:rPr>
                <w:rFonts w:ascii="Arial" w:cs="Arial" w:eastAsia="Arial" w:hAnsi="Arial"/>
                <w:sz w:val="14"/>
                <w:szCs w:val="14"/>
                <w:color w:val="auto"/>
              </w:rPr>
              <w:t>Petroleum Equipment Supplier</w:t>
            </w:r>
          </w:p>
        </w:tc>
        <w:tc>
          <w:tcPr>
            <w:tcW w:w="2360" w:type="dxa"/>
            <w:vAlign w:val="bottom"/>
          </w:tcPr>
          <w:p>
            <w:pPr>
              <w:ind w:left="180"/>
              <w:spacing w:after="0"/>
              <w:rPr>
                <w:sz w:val="20"/>
                <w:szCs w:val="20"/>
                <w:color w:val="auto"/>
              </w:rPr>
            </w:pPr>
            <w:r>
              <w:rPr>
                <w:rFonts w:ascii="Arial" w:cs="Arial" w:eastAsia="Arial" w:hAnsi="Arial"/>
                <w:sz w:val="14"/>
                <w:szCs w:val="14"/>
                <w:color w:val="auto"/>
              </w:rPr>
              <w:t>Senior Secured Term Debt (13%</w:t>
            </w:r>
          </w:p>
        </w:tc>
      </w:tr>
      <w:tr>
        <w:trPr>
          <w:trHeight w:val="182"/>
        </w:trPr>
        <w:tc>
          <w:tcPr>
            <w:tcW w:w="2460" w:type="dxa"/>
            <w:vAlign w:val="bottom"/>
          </w:tcPr>
          <w:p>
            <w:pPr>
              <w:spacing w:after="0"/>
              <w:rPr>
                <w:sz w:val="20"/>
                <w:szCs w:val="20"/>
                <w:color w:val="auto"/>
              </w:rPr>
            </w:pPr>
            <w:r>
              <w:rPr>
                <w:rFonts w:ascii="Arial" w:cs="Arial" w:eastAsia="Arial" w:hAnsi="Arial"/>
                <w:sz w:val="12"/>
                <w:szCs w:val="12"/>
                <w:color w:val="auto"/>
              </w:rPr>
              <w:t>(1)</w:t>
            </w:r>
          </w:p>
        </w:tc>
        <w:tc>
          <w:tcPr>
            <w:tcW w:w="2080" w:type="dxa"/>
            <w:vAlign w:val="bottom"/>
          </w:tcPr>
          <w:p>
            <w:pPr>
              <w:spacing w:after="0"/>
              <w:rPr>
                <w:sz w:val="15"/>
                <w:szCs w:val="15"/>
                <w:color w:val="auto"/>
              </w:rPr>
            </w:pPr>
          </w:p>
        </w:tc>
        <w:tc>
          <w:tcPr>
            <w:tcW w:w="2360" w:type="dxa"/>
            <w:vAlign w:val="bottom"/>
          </w:tcPr>
          <w:p>
            <w:pPr>
              <w:ind w:left="180"/>
              <w:spacing w:after="0"/>
              <w:rPr>
                <w:sz w:val="20"/>
                <w:szCs w:val="20"/>
                <w:color w:val="auto"/>
              </w:rPr>
            </w:pPr>
            <w:r>
              <w:rPr>
                <w:rFonts w:ascii="Arial" w:cs="Arial" w:eastAsia="Arial" w:hAnsi="Arial"/>
                <w:sz w:val="14"/>
                <w:szCs w:val="14"/>
                <w:color w:val="auto"/>
              </w:rPr>
              <w:t>Cash, 6% PIK, Due 1/15/15)</w:t>
            </w:r>
          </w:p>
        </w:tc>
      </w:tr>
      <w:tr>
        <w:trPr>
          <w:trHeight w:val="277"/>
        </w:trPr>
        <w:tc>
          <w:tcPr>
            <w:tcW w:w="2460" w:type="dxa"/>
            <w:vAlign w:val="bottom"/>
          </w:tcPr>
          <w:p>
            <w:pPr>
              <w:spacing w:after="0"/>
              <w:rPr>
                <w:sz w:val="20"/>
                <w:szCs w:val="20"/>
                <w:color w:val="auto"/>
              </w:rPr>
            </w:pPr>
            <w:r>
              <w:rPr>
                <w:rFonts w:ascii="Arial" w:cs="Arial" w:eastAsia="Arial" w:hAnsi="Arial"/>
                <w:sz w:val="14"/>
                <w:szCs w:val="14"/>
                <w:color w:val="auto"/>
              </w:rPr>
              <w:t>Southern Pump &amp; Tank Company, LLC</w:t>
            </w:r>
          </w:p>
        </w:tc>
        <w:tc>
          <w:tcPr>
            <w:tcW w:w="2080" w:type="dxa"/>
            <w:vAlign w:val="bottom"/>
          </w:tcPr>
          <w:p>
            <w:pPr>
              <w:ind w:left="120"/>
              <w:spacing w:after="0"/>
              <w:rPr>
                <w:sz w:val="20"/>
                <w:szCs w:val="20"/>
                <w:color w:val="auto"/>
              </w:rPr>
            </w:pPr>
            <w:r>
              <w:rPr>
                <w:rFonts w:ascii="Arial" w:cs="Arial" w:eastAsia="Arial" w:hAnsi="Arial"/>
                <w:sz w:val="14"/>
                <w:szCs w:val="14"/>
                <w:color w:val="auto"/>
              </w:rPr>
              <w:t>Petroleum Equipment Supplier</w:t>
            </w:r>
          </w:p>
        </w:tc>
        <w:tc>
          <w:tcPr>
            <w:tcW w:w="2360" w:type="dxa"/>
            <w:vAlign w:val="bottom"/>
          </w:tcPr>
          <w:p>
            <w:pPr>
              <w:ind w:left="180"/>
              <w:spacing w:after="0"/>
              <w:rPr>
                <w:sz w:val="20"/>
                <w:szCs w:val="20"/>
                <w:color w:val="auto"/>
              </w:rPr>
            </w:pPr>
            <w:r>
              <w:rPr>
                <w:rFonts w:ascii="Arial" w:cs="Arial" w:eastAsia="Arial" w:hAnsi="Arial"/>
                <w:sz w:val="14"/>
                <w:szCs w:val="14"/>
                <w:color w:val="auto"/>
                <w:w w:val="97"/>
              </w:rPr>
              <w:t>Common Stock Warrants (10% fully</w:t>
            </w:r>
          </w:p>
        </w:tc>
      </w:tr>
      <w:tr>
        <w:trPr>
          <w:trHeight w:val="182"/>
        </w:trPr>
        <w:tc>
          <w:tcPr>
            <w:tcW w:w="24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360" w:type="dxa"/>
            <w:vAlign w:val="bottom"/>
          </w:tcPr>
          <w:p>
            <w:pPr>
              <w:ind w:left="180"/>
              <w:spacing w:after="0"/>
              <w:rPr>
                <w:sz w:val="20"/>
                <w:szCs w:val="20"/>
                <w:color w:val="auto"/>
              </w:rPr>
            </w:pPr>
            <w:r>
              <w:rPr>
                <w:rFonts w:ascii="Arial" w:cs="Arial" w:eastAsia="Arial" w:hAnsi="Arial"/>
                <w:sz w:val="14"/>
                <w:szCs w:val="14"/>
                <w:color w:val="auto"/>
              </w:rPr>
              <w:t>diluted)</w:t>
            </w:r>
          </w:p>
        </w:tc>
      </w:tr>
      <w:tr>
        <w:trPr>
          <w:trHeight w:val="615"/>
        </w:trPr>
        <w:tc>
          <w:tcPr>
            <w:tcW w:w="2460" w:type="dxa"/>
            <w:vAlign w:val="bottom"/>
          </w:tcPr>
          <w:p>
            <w:pPr>
              <w:spacing w:after="0"/>
              <w:rPr>
                <w:sz w:val="20"/>
                <w:szCs w:val="20"/>
                <w:color w:val="auto"/>
              </w:rPr>
            </w:pPr>
            <w:r>
              <w:rPr>
                <w:rFonts w:ascii="Arial" w:cs="Arial" w:eastAsia="Arial" w:hAnsi="Arial"/>
                <w:sz w:val="14"/>
                <w:szCs w:val="14"/>
                <w:color w:val="auto"/>
              </w:rPr>
              <w:t>Stoddard Hill Media Holdings, LLC</w:t>
            </w:r>
          </w:p>
        </w:tc>
        <w:tc>
          <w:tcPr>
            <w:tcW w:w="2080" w:type="dxa"/>
            <w:vAlign w:val="bottom"/>
          </w:tcPr>
          <w:p>
            <w:pPr>
              <w:ind w:left="120"/>
              <w:spacing w:after="0"/>
              <w:rPr>
                <w:sz w:val="20"/>
                <w:szCs w:val="20"/>
                <w:color w:val="auto"/>
              </w:rPr>
            </w:pPr>
            <w:r>
              <w:rPr>
                <w:rFonts w:ascii="Arial" w:cs="Arial" w:eastAsia="Arial" w:hAnsi="Arial"/>
                <w:sz w:val="14"/>
                <w:szCs w:val="14"/>
                <w:color w:val="auto"/>
              </w:rPr>
              <w:t>IT Hosting Services</w:t>
            </w:r>
          </w:p>
        </w:tc>
        <w:tc>
          <w:tcPr>
            <w:tcW w:w="2360" w:type="dxa"/>
            <w:vAlign w:val="bottom"/>
          </w:tcPr>
          <w:p>
            <w:pPr>
              <w:ind w:left="180"/>
              <w:spacing w:after="0"/>
              <w:rPr>
                <w:sz w:val="20"/>
                <w:szCs w:val="20"/>
                <w:color w:val="auto"/>
              </w:rPr>
            </w:pPr>
            <w:r>
              <w:rPr>
                <w:rFonts w:ascii="Arial" w:cs="Arial" w:eastAsia="Arial" w:hAnsi="Arial"/>
                <w:sz w:val="14"/>
                <w:szCs w:val="14"/>
                <w:color w:val="auto"/>
              </w:rPr>
              <w:t>Class D Preferred Units (132,159</w:t>
            </w:r>
          </w:p>
        </w:tc>
      </w:tr>
      <w:tr>
        <w:trPr>
          <w:trHeight w:val="182"/>
        </w:trPr>
        <w:tc>
          <w:tcPr>
            <w:tcW w:w="24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360" w:type="dxa"/>
            <w:vAlign w:val="bottom"/>
          </w:tcPr>
          <w:p>
            <w:pPr>
              <w:ind w:left="180"/>
              <w:spacing w:after="0"/>
              <w:rPr>
                <w:sz w:val="20"/>
                <w:szCs w:val="20"/>
                <w:color w:val="auto"/>
              </w:rPr>
            </w:pPr>
            <w:r>
              <w:rPr>
                <w:rFonts w:ascii="Arial" w:cs="Arial" w:eastAsia="Arial" w:hAnsi="Arial"/>
                <w:sz w:val="14"/>
                <w:szCs w:val="14"/>
                <w:color w:val="auto"/>
              </w:rPr>
              <w:t>shares)</w:t>
            </w:r>
          </w:p>
        </w:tc>
      </w:tr>
      <w:tr>
        <w:trPr>
          <w:trHeight w:val="615"/>
        </w:trPr>
        <w:tc>
          <w:tcPr>
            <w:tcW w:w="2460" w:type="dxa"/>
            <w:vAlign w:val="bottom"/>
          </w:tcPr>
          <w:p>
            <w:pPr>
              <w:spacing w:after="0"/>
              <w:rPr>
                <w:sz w:val="20"/>
                <w:szCs w:val="20"/>
                <w:color w:val="auto"/>
              </w:rPr>
            </w:pPr>
            <w:r>
              <w:rPr>
                <w:rFonts w:ascii="Arial" w:cs="Arial" w:eastAsia="Arial" w:hAnsi="Arial"/>
                <w:sz w:val="14"/>
                <w:szCs w:val="14"/>
                <w:color w:val="auto"/>
              </w:rPr>
              <w:t>Tenere, Inc.</w:t>
            </w:r>
          </w:p>
        </w:tc>
        <w:tc>
          <w:tcPr>
            <w:tcW w:w="2080" w:type="dxa"/>
            <w:vAlign w:val="bottom"/>
          </w:tcPr>
          <w:p>
            <w:pPr>
              <w:ind w:left="120"/>
              <w:spacing w:after="0"/>
              <w:rPr>
                <w:sz w:val="20"/>
                <w:szCs w:val="20"/>
                <w:color w:val="auto"/>
              </w:rPr>
            </w:pPr>
            <w:r>
              <w:rPr>
                <w:rFonts w:ascii="Arial" w:cs="Arial" w:eastAsia="Arial" w:hAnsi="Arial"/>
                <w:sz w:val="14"/>
                <w:szCs w:val="14"/>
                <w:color w:val="auto"/>
              </w:rPr>
              <w:t>Industrial Manufacturing</w:t>
            </w:r>
          </w:p>
        </w:tc>
        <w:tc>
          <w:tcPr>
            <w:tcW w:w="2360" w:type="dxa"/>
            <w:vAlign w:val="bottom"/>
          </w:tcPr>
          <w:p>
            <w:pPr>
              <w:ind w:left="180"/>
              <w:spacing w:after="0"/>
              <w:rPr>
                <w:sz w:val="20"/>
                <w:szCs w:val="20"/>
                <w:color w:val="auto"/>
              </w:rPr>
            </w:pPr>
            <w:r>
              <w:rPr>
                <w:rFonts w:ascii="Arial" w:cs="Arial" w:eastAsia="Arial" w:hAnsi="Arial"/>
                <w:sz w:val="14"/>
                <w:szCs w:val="14"/>
                <w:color w:val="auto"/>
              </w:rPr>
              <w:t>Senior Secured Term Debt (11%</w:t>
            </w:r>
          </w:p>
        </w:tc>
      </w:tr>
      <w:tr>
        <w:trPr>
          <w:trHeight w:val="182"/>
        </w:trPr>
        <w:tc>
          <w:tcPr>
            <w:tcW w:w="24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360" w:type="dxa"/>
            <w:vAlign w:val="bottom"/>
          </w:tcPr>
          <w:p>
            <w:pPr>
              <w:ind w:left="180"/>
              <w:spacing w:after="0"/>
              <w:rPr>
                <w:sz w:val="20"/>
                <w:szCs w:val="20"/>
                <w:color w:val="auto"/>
              </w:rPr>
            </w:pPr>
            <w:r>
              <w:rPr>
                <w:rFonts w:ascii="Arial" w:cs="Arial" w:eastAsia="Arial" w:hAnsi="Arial"/>
                <w:sz w:val="14"/>
                <w:szCs w:val="14"/>
                <w:color w:val="auto"/>
              </w:rPr>
              <w:t>Cash, 2% PIK, Due 12/15/17)</w:t>
            </w:r>
          </w:p>
        </w:tc>
      </w:tr>
      <w:tr>
        <w:trPr>
          <w:trHeight w:val="615"/>
        </w:trPr>
        <w:tc>
          <w:tcPr>
            <w:tcW w:w="2460" w:type="dxa"/>
            <w:vAlign w:val="bottom"/>
          </w:tcPr>
          <w:p>
            <w:pPr>
              <w:spacing w:after="0"/>
              <w:rPr>
                <w:sz w:val="20"/>
                <w:szCs w:val="20"/>
                <w:color w:val="auto"/>
              </w:rPr>
            </w:pPr>
            <w:r>
              <w:rPr>
                <w:rFonts w:ascii="Arial" w:cs="Arial" w:eastAsia="Arial" w:hAnsi="Arial"/>
                <w:sz w:val="14"/>
                <w:szCs w:val="14"/>
                <w:color w:val="auto"/>
              </w:rPr>
              <w:t>TGI Friday's, Inc.</w:t>
            </w:r>
          </w:p>
        </w:tc>
        <w:tc>
          <w:tcPr>
            <w:tcW w:w="2080" w:type="dxa"/>
            <w:vAlign w:val="bottom"/>
          </w:tcPr>
          <w:p>
            <w:pPr>
              <w:ind w:left="120"/>
              <w:spacing w:after="0"/>
              <w:rPr>
                <w:sz w:val="20"/>
                <w:szCs w:val="20"/>
                <w:color w:val="auto"/>
              </w:rPr>
            </w:pPr>
            <w:r>
              <w:rPr>
                <w:rFonts w:ascii="Arial" w:cs="Arial" w:eastAsia="Arial" w:hAnsi="Arial"/>
                <w:sz w:val="14"/>
                <w:szCs w:val="14"/>
                <w:color w:val="auto"/>
              </w:rPr>
              <w:t>Restaurant</w:t>
            </w:r>
          </w:p>
        </w:tc>
        <w:tc>
          <w:tcPr>
            <w:tcW w:w="2360" w:type="dxa"/>
            <w:vAlign w:val="bottom"/>
          </w:tcPr>
          <w:p>
            <w:pPr>
              <w:ind w:left="180"/>
              <w:spacing w:after="0"/>
              <w:rPr>
                <w:sz w:val="20"/>
                <w:szCs w:val="20"/>
                <w:color w:val="auto"/>
              </w:rPr>
            </w:pPr>
            <w:r>
              <w:rPr>
                <w:rFonts w:ascii="Arial" w:cs="Arial" w:eastAsia="Arial" w:hAnsi="Arial"/>
                <w:sz w:val="14"/>
                <w:szCs w:val="14"/>
                <w:color w:val="auto"/>
              </w:rPr>
              <w:t>Subordinated Debt (L+8.25%, 1%</w:t>
            </w:r>
          </w:p>
        </w:tc>
      </w:tr>
      <w:tr>
        <w:trPr>
          <w:trHeight w:val="182"/>
        </w:trPr>
        <w:tc>
          <w:tcPr>
            <w:tcW w:w="24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360" w:type="dxa"/>
            <w:vAlign w:val="bottom"/>
          </w:tcPr>
          <w:p>
            <w:pPr>
              <w:ind w:left="180"/>
              <w:spacing w:after="0"/>
              <w:rPr>
                <w:sz w:val="20"/>
                <w:szCs w:val="20"/>
                <w:color w:val="auto"/>
              </w:rPr>
            </w:pPr>
            <w:r>
              <w:rPr>
                <w:rFonts w:ascii="Arial" w:cs="Arial" w:eastAsia="Arial" w:hAnsi="Arial"/>
                <w:sz w:val="14"/>
                <w:szCs w:val="14"/>
                <w:color w:val="auto"/>
              </w:rPr>
              <w:t>Floor, Due 7/15/21)</w:t>
            </w:r>
          </w:p>
        </w:tc>
      </w:tr>
      <w:tr>
        <w:trPr>
          <w:trHeight w:val="615"/>
        </w:trPr>
        <w:tc>
          <w:tcPr>
            <w:tcW w:w="2460" w:type="dxa"/>
            <w:vAlign w:val="bottom"/>
          </w:tcPr>
          <w:p>
            <w:pPr>
              <w:spacing w:after="0"/>
              <w:rPr>
                <w:sz w:val="20"/>
                <w:szCs w:val="20"/>
                <w:color w:val="auto"/>
              </w:rPr>
            </w:pPr>
            <w:r>
              <w:rPr>
                <w:rFonts w:ascii="Arial" w:cs="Arial" w:eastAsia="Arial" w:hAnsi="Arial"/>
                <w:sz w:val="14"/>
                <w:szCs w:val="14"/>
                <w:color w:val="auto"/>
              </w:rPr>
              <w:t>U.S. Well Services, LLC</w:t>
            </w:r>
          </w:p>
        </w:tc>
        <w:tc>
          <w:tcPr>
            <w:tcW w:w="2080" w:type="dxa"/>
            <w:vAlign w:val="bottom"/>
          </w:tcPr>
          <w:p>
            <w:pPr>
              <w:ind w:left="120"/>
              <w:spacing w:after="0"/>
              <w:rPr>
                <w:sz w:val="20"/>
                <w:szCs w:val="20"/>
                <w:color w:val="auto"/>
              </w:rPr>
            </w:pPr>
            <w:r>
              <w:rPr>
                <w:rFonts w:ascii="Arial" w:cs="Arial" w:eastAsia="Arial" w:hAnsi="Arial"/>
                <w:sz w:val="14"/>
                <w:szCs w:val="14"/>
                <w:color w:val="auto"/>
              </w:rPr>
              <w:t>Oil &amp; Gas Services</w:t>
            </w:r>
          </w:p>
        </w:tc>
        <w:tc>
          <w:tcPr>
            <w:tcW w:w="2360" w:type="dxa"/>
            <w:vAlign w:val="bottom"/>
          </w:tcPr>
          <w:p>
            <w:pPr>
              <w:ind w:left="180"/>
              <w:spacing w:after="0"/>
              <w:rPr>
                <w:sz w:val="20"/>
                <w:szCs w:val="20"/>
                <w:color w:val="auto"/>
              </w:rPr>
            </w:pPr>
            <w:r>
              <w:rPr>
                <w:rFonts w:ascii="Arial" w:cs="Arial" w:eastAsia="Arial" w:hAnsi="Arial"/>
                <w:sz w:val="14"/>
                <w:szCs w:val="14"/>
                <w:color w:val="auto"/>
              </w:rPr>
              <w:t>Senior Secured Debt (L+11.50%,</w:t>
            </w:r>
          </w:p>
        </w:tc>
      </w:tr>
      <w:tr>
        <w:trPr>
          <w:trHeight w:val="182"/>
        </w:trPr>
        <w:tc>
          <w:tcPr>
            <w:tcW w:w="24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360" w:type="dxa"/>
            <w:vAlign w:val="bottom"/>
          </w:tcPr>
          <w:p>
            <w:pPr>
              <w:ind w:left="180"/>
              <w:spacing w:after="0"/>
              <w:rPr>
                <w:sz w:val="20"/>
                <w:szCs w:val="20"/>
                <w:color w:val="auto"/>
              </w:rPr>
            </w:pPr>
            <w:r>
              <w:rPr>
                <w:rFonts w:ascii="Arial" w:cs="Arial" w:eastAsia="Arial" w:hAnsi="Arial"/>
                <w:sz w:val="14"/>
                <w:szCs w:val="14"/>
                <w:color w:val="auto"/>
              </w:rPr>
              <w:t>0.5% floor, Due 5/2/19)</w:t>
            </w:r>
          </w:p>
        </w:tc>
      </w:tr>
      <w:tr>
        <w:trPr>
          <w:trHeight w:val="615"/>
        </w:trPr>
        <w:tc>
          <w:tcPr>
            <w:tcW w:w="2460" w:type="dxa"/>
            <w:vAlign w:val="bottom"/>
          </w:tcPr>
          <w:p>
            <w:pPr>
              <w:spacing w:after="0"/>
              <w:rPr>
                <w:sz w:val="20"/>
                <w:szCs w:val="20"/>
                <w:color w:val="auto"/>
              </w:rPr>
            </w:pPr>
            <w:r>
              <w:rPr>
                <w:rFonts w:ascii="Arial" w:cs="Arial" w:eastAsia="Arial" w:hAnsi="Arial"/>
                <w:sz w:val="14"/>
                <w:szCs w:val="14"/>
                <w:color w:val="auto"/>
                <w:w w:val="99"/>
              </w:rPr>
              <w:t>Velum Global Credit Management, LLC</w:t>
            </w:r>
          </w:p>
        </w:tc>
        <w:tc>
          <w:tcPr>
            <w:tcW w:w="2080" w:type="dxa"/>
            <w:vAlign w:val="bottom"/>
          </w:tcPr>
          <w:p>
            <w:pPr>
              <w:ind w:left="120"/>
              <w:spacing w:after="0"/>
              <w:rPr>
                <w:sz w:val="20"/>
                <w:szCs w:val="20"/>
                <w:color w:val="auto"/>
              </w:rPr>
            </w:pPr>
            <w:r>
              <w:rPr>
                <w:rFonts w:ascii="Arial" w:cs="Arial" w:eastAsia="Arial" w:hAnsi="Arial"/>
                <w:sz w:val="14"/>
                <w:szCs w:val="14"/>
                <w:color w:val="auto"/>
              </w:rPr>
              <w:t>Financial Services</w:t>
            </w:r>
          </w:p>
        </w:tc>
        <w:tc>
          <w:tcPr>
            <w:tcW w:w="2360" w:type="dxa"/>
            <w:vAlign w:val="bottom"/>
          </w:tcPr>
          <w:p>
            <w:pPr>
              <w:ind w:left="180"/>
              <w:spacing w:after="0"/>
              <w:rPr>
                <w:sz w:val="20"/>
                <w:szCs w:val="20"/>
                <w:color w:val="auto"/>
              </w:rPr>
            </w:pPr>
            <w:r>
              <w:rPr>
                <w:rFonts w:ascii="Arial" w:cs="Arial" w:eastAsia="Arial" w:hAnsi="Arial"/>
                <w:sz w:val="14"/>
                <w:szCs w:val="14"/>
                <w:color w:val="auto"/>
                <w:w w:val="91"/>
              </w:rPr>
              <w:t>Senior Secured Debt (15% Cash, Due</w:t>
            </w:r>
          </w:p>
        </w:tc>
      </w:tr>
      <w:tr>
        <w:trPr>
          <w:trHeight w:val="182"/>
        </w:trPr>
        <w:tc>
          <w:tcPr>
            <w:tcW w:w="24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360" w:type="dxa"/>
            <w:vAlign w:val="bottom"/>
          </w:tcPr>
          <w:p>
            <w:pPr>
              <w:ind w:left="180"/>
              <w:spacing w:after="0"/>
              <w:rPr>
                <w:sz w:val="20"/>
                <w:szCs w:val="20"/>
                <w:color w:val="auto"/>
              </w:rPr>
            </w:pPr>
            <w:r>
              <w:rPr>
                <w:rFonts w:ascii="Arial" w:cs="Arial" w:eastAsia="Arial" w:hAnsi="Arial"/>
                <w:sz w:val="14"/>
                <w:szCs w:val="14"/>
                <w:color w:val="auto"/>
              </w:rPr>
              <w:t>12/31/15)</w:t>
            </w:r>
          </w:p>
        </w:tc>
      </w:tr>
      <w:tr>
        <w:trPr>
          <w:trHeight w:val="615"/>
        </w:trPr>
        <w:tc>
          <w:tcPr>
            <w:tcW w:w="2460" w:type="dxa"/>
            <w:vAlign w:val="bottom"/>
          </w:tcPr>
          <w:p>
            <w:pPr>
              <w:spacing w:after="0"/>
              <w:rPr>
                <w:sz w:val="20"/>
                <w:szCs w:val="20"/>
                <w:color w:val="auto"/>
              </w:rPr>
            </w:pPr>
            <w:r>
              <w:rPr>
                <w:rFonts w:ascii="Arial" w:cs="Arial" w:eastAsia="Arial" w:hAnsi="Arial"/>
                <w:sz w:val="14"/>
                <w:szCs w:val="14"/>
                <w:color w:val="auto"/>
              </w:rPr>
              <w:t>Worklife America, Inc.</w:t>
            </w:r>
          </w:p>
        </w:tc>
        <w:tc>
          <w:tcPr>
            <w:tcW w:w="2080" w:type="dxa"/>
            <w:vAlign w:val="bottom"/>
          </w:tcPr>
          <w:p>
            <w:pPr>
              <w:ind w:left="120"/>
              <w:spacing w:after="0"/>
              <w:rPr>
                <w:sz w:val="20"/>
                <w:szCs w:val="20"/>
                <w:color w:val="auto"/>
              </w:rPr>
            </w:pPr>
            <w:r>
              <w:rPr>
                <w:rFonts w:ascii="Arial" w:cs="Arial" w:eastAsia="Arial" w:hAnsi="Arial"/>
                <w:sz w:val="14"/>
                <w:szCs w:val="14"/>
                <w:color w:val="auto"/>
              </w:rPr>
              <w:t>Professional Employer</w:t>
            </w:r>
          </w:p>
        </w:tc>
        <w:tc>
          <w:tcPr>
            <w:tcW w:w="2360" w:type="dxa"/>
            <w:vAlign w:val="bottom"/>
          </w:tcPr>
          <w:p>
            <w:pPr>
              <w:ind w:left="180"/>
              <w:spacing w:after="0"/>
              <w:rPr>
                <w:sz w:val="20"/>
                <w:szCs w:val="20"/>
                <w:color w:val="auto"/>
              </w:rPr>
            </w:pPr>
            <w:r>
              <w:rPr>
                <w:rFonts w:ascii="Arial" w:cs="Arial" w:eastAsia="Arial" w:hAnsi="Arial"/>
                <w:sz w:val="14"/>
                <w:szCs w:val="14"/>
                <w:color w:val="auto"/>
                <w:w w:val="91"/>
              </w:rPr>
              <w:t>Senior Secured Debt (12% Cash, Due</w:t>
            </w:r>
          </w:p>
        </w:tc>
      </w:tr>
      <w:tr>
        <w:trPr>
          <w:trHeight w:val="182"/>
        </w:trPr>
        <w:tc>
          <w:tcPr>
            <w:tcW w:w="2460" w:type="dxa"/>
            <w:vAlign w:val="bottom"/>
          </w:tcPr>
          <w:p>
            <w:pPr>
              <w:spacing w:after="0"/>
              <w:rPr>
                <w:sz w:val="15"/>
                <w:szCs w:val="15"/>
                <w:color w:val="auto"/>
              </w:rPr>
            </w:pPr>
          </w:p>
        </w:tc>
        <w:tc>
          <w:tcPr>
            <w:tcW w:w="2080" w:type="dxa"/>
            <w:vAlign w:val="bottom"/>
          </w:tcPr>
          <w:p>
            <w:pPr>
              <w:ind w:left="120"/>
              <w:spacing w:after="0"/>
              <w:rPr>
                <w:sz w:val="20"/>
                <w:szCs w:val="20"/>
                <w:color w:val="auto"/>
              </w:rPr>
            </w:pPr>
            <w:r>
              <w:rPr>
                <w:rFonts w:ascii="Arial" w:cs="Arial" w:eastAsia="Arial" w:hAnsi="Arial"/>
                <w:sz w:val="14"/>
                <w:szCs w:val="14"/>
                <w:color w:val="auto"/>
              </w:rPr>
              <w:t>Organization</w:t>
            </w:r>
          </w:p>
        </w:tc>
        <w:tc>
          <w:tcPr>
            <w:tcW w:w="2360" w:type="dxa"/>
            <w:vAlign w:val="bottom"/>
          </w:tcPr>
          <w:p>
            <w:pPr>
              <w:ind w:left="180"/>
              <w:spacing w:after="0"/>
              <w:rPr>
                <w:sz w:val="20"/>
                <w:szCs w:val="20"/>
                <w:color w:val="auto"/>
              </w:rPr>
            </w:pPr>
            <w:r>
              <w:rPr>
                <w:rFonts w:ascii="Arial" w:cs="Arial" w:eastAsia="Arial" w:hAnsi="Arial"/>
                <w:sz w:val="14"/>
                <w:szCs w:val="14"/>
                <w:color w:val="auto"/>
              </w:rPr>
              <w:t>12/28/16)</w:t>
            </w:r>
          </w:p>
        </w:tc>
      </w:tr>
      <w:tr>
        <w:trPr>
          <w:trHeight w:val="263"/>
        </w:trPr>
        <w:tc>
          <w:tcPr>
            <w:tcW w:w="2460" w:type="dxa"/>
            <w:vAlign w:val="bottom"/>
          </w:tcPr>
          <w:p>
            <w:pPr>
              <w:spacing w:after="0"/>
              <w:rPr>
                <w:sz w:val="20"/>
                <w:szCs w:val="20"/>
                <w:color w:val="auto"/>
              </w:rPr>
            </w:pPr>
            <w:r>
              <w:rPr>
                <w:rFonts w:ascii="Arial" w:cs="Arial" w:eastAsia="Arial" w:hAnsi="Arial"/>
                <w:sz w:val="14"/>
                <w:szCs w:val="14"/>
                <w:color w:val="auto"/>
              </w:rPr>
              <w:t>Worklife America, Inc.</w:t>
            </w:r>
          </w:p>
        </w:tc>
        <w:tc>
          <w:tcPr>
            <w:tcW w:w="2080" w:type="dxa"/>
            <w:vAlign w:val="bottom"/>
          </w:tcPr>
          <w:p>
            <w:pPr>
              <w:ind w:left="120"/>
              <w:spacing w:after="0"/>
              <w:rPr>
                <w:sz w:val="20"/>
                <w:szCs w:val="20"/>
                <w:color w:val="auto"/>
              </w:rPr>
            </w:pPr>
            <w:r>
              <w:rPr>
                <w:rFonts w:ascii="Arial" w:cs="Arial" w:eastAsia="Arial" w:hAnsi="Arial"/>
                <w:sz w:val="14"/>
                <w:szCs w:val="14"/>
                <w:color w:val="auto"/>
              </w:rPr>
              <w:t>Professional Employer</w:t>
            </w:r>
          </w:p>
        </w:tc>
        <w:tc>
          <w:tcPr>
            <w:tcW w:w="2360" w:type="dxa"/>
            <w:vAlign w:val="bottom"/>
          </w:tcPr>
          <w:p>
            <w:pPr>
              <w:ind w:left="180"/>
              <w:spacing w:after="0"/>
              <w:rPr>
                <w:sz w:val="20"/>
                <w:szCs w:val="20"/>
                <w:color w:val="auto"/>
              </w:rPr>
            </w:pPr>
            <w:r>
              <w:rPr>
                <w:rFonts w:ascii="Arial" w:cs="Arial" w:eastAsia="Arial" w:hAnsi="Arial"/>
                <w:sz w:val="14"/>
                <w:szCs w:val="14"/>
                <w:color w:val="auto"/>
              </w:rPr>
              <w:t>Common Unit Warrants (3.8%</w:t>
            </w:r>
          </w:p>
        </w:tc>
      </w:tr>
      <w:tr>
        <w:trPr>
          <w:trHeight w:val="182"/>
        </w:trPr>
        <w:tc>
          <w:tcPr>
            <w:tcW w:w="2460" w:type="dxa"/>
            <w:vAlign w:val="bottom"/>
          </w:tcPr>
          <w:p>
            <w:pPr>
              <w:spacing w:after="0"/>
              <w:rPr>
                <w:sz w:val="15"/>
                <w:szCs w:val="15"/>
                <w:color w:val="auto"/>
              </w:rPr>
            </w:pPr>
          </w:p>
        </w:tc>
        <w:tc>
          <w:tcPr>
            <w:tcW w:w="2080" w:type="dxa"/>
            <w:vAlign w:val="bottom"/>
          </w:tcPr>
          <w:p>
            <w:pPr>
              <w:ind w:left="120"/>
              <w:spacing w:after="0"/>
              <w:rPr>
                <w:sz w:val="20"/>
                <w:szCs w:val="20"/>
                <w:color w:val="auto"/>
              </w:rPr>
            </w:pPr>
            <w:r>
              <w:rPr>
                <w:rFonts w:ascii="Arial" w:cs="Arial" w:eastAsia="Arial" w:hAnsi="Arial"/>
                <w:sz w:val="14"/>
                <w:szCs w:val="14"/>
                <w:color w:val="auto"/>
              </w:rPr>
              <w:t>Organization</w:t>
            </w:r>
          </w:p>
        </w:tc>
        <w:tc>
          <w:tcPr>
            <w:tcW w:w="2360" w:type="dxa"/>
            <w:vAlign w:val="bottom"/>
          </w:tcPr>
          <w:p>
            <w:pPr>
              <w:ind w:left="180"/>
              <w:spacing w:after="0"/>
              <w:rPr>
                <w:sz w:val="20"/>
                <w:szCs w:val="20"/>
                <w:color w:val="auto"/>
              </w:rPr>
            </w:pPr>
            <w:r>
              <w:rPr>
                <w:rFonts w:ascii="Arial" w:cs="Arial" w:eastAsia="Arial" w:hAnsi="Arial"/>
                <w:sz w:val="14"/>
                <w:szCs w:val="14"/>
                <w:color w:val="auto"/>
              </w:rPr>
              <w:t>ownership)</w:t>
            </w:r>
          </w:p>
        </w:tc>
      </w:tr>
      <w:tr>
        <w:trPr>
          <w:trHeight w:val="263"/>
        </w:trPr>
        <w:tc>
          <w:tcPr>
            <w:tcW w:w="2460" w:type="dxa"/>
            <w:vAlign w:val="bottom"/>
          </w:tcPr>
          <w:p>
            <w:pPr>
              <w:spacing w:after="0"/>
              <w:rPr>
                <w:sz w:val="20"/>
                <w:szCs w:val="20"/>
                <w:color w:val="auto"/>
              </w:rPr>
            </w:pPr>
            <w:r>
              <w:rPr>
                <w:rFonts w:ascii="Arial" w:cs="Arial" w:eastAsia="Arial" w:hAnsi="Arial"/>
                <w:sz w:val="14"/>
                <w:szCs w:val="14"/>
                <w:color w:val="auto"/>
              </w:rPr>
              <w:t>Worklife America, Inc.</w:t>
            </w:r>
          </w:p>
        </w:tc>
        <w:tc>
          <w:tcPr>
            <w:tcW w:w="2080" w:type="dxa"/>
            <w:vAlign w:val="bottom"/>
          </w:tcPr>
          <w:p>
            <w:pPr>
              <w:ind w:left="120"/>
              <w:spacing w:after="0"/>
              <w:rPr>
                <w:sz w:val="20"/>
                <w:szCs w:val="20"/>
                <w:color w:val="auto"/>
              </w:rPr>
            </w:pPr>
            <w:r>
              <w:rPr>
                <w:rFonts w:ascii="Arial" w:cs="Arial" w:eastAsia="Arial" w:hAnsi="Arial"/>
                <w:sz w:val="14"/>
                <w:szCs w:val="14"/>
                <w:color w:val="auto"/>
              </w:rPr>
              <w:t>Professional Employer</w:t>
            </w:r>
          </w:p>
        </w:tc>
        <w:tc>
          <w:tcPr>
            <w:tcW w:w="2360" w:type="dxa"/>
            <w:vAlign w:val="bottom"/>
          </w:tcPr>
          <w:p>
            <w:pPr>
              <w:ind w:left="180"/>
              <w:spacing w:after="0"/>
              <w:rPr>
                <w:sz w:val="20"/>
                <w:szCs w:val="20"/>
                <w:color w:val="auto"/>
              </w:rPr>
            </w:pPr>
            <w:r>
              <w:rPr>
                <w:rFonts w:ascii="Arial" w:cs="Arial" w:eastAsia="Arial" w:hAnsi="Arial"/>
                <w:sz w:val="14"/>
                <w:szCs w:val="14"/>
                <w:color w:val="auto"/>
              </w:rPr>
              <w:t>Preferred Unit Warrants (3.8%</w:t>
            </w:r>
          </w:p>
        </w:tc>
      </w:tr>
      <w:tr>
        <w:trPr>
          <w:trHeight w:val="182"/>
        </w:trPr>
        <w:tc>
          <w:tcPr>
            <w:tcW w:w="2460" w:type="dxa"/>
            <w:vAlign w:val="bottom"/>
          </w:tcPr>
          <w:p>
            <w:pPr>
              <w:spacing w:after="0"/>
              <w:rPr>
                <w:sz w:val="15"/>
                <w:szCs w:val="15"/>
                <w:color w:val="auto"/>
              </w:rPr>
            </w:pPr>
          </w:p>
        </w:tc>
        <w:tc>
          <w:tcPr>
            <w:tcW w:w="2080" w:type="dxa"/>
            <w:vAlign w:val="bottom"/>
          </w:tcPr>
          <w:p>
            <w:pPr>
              <w:ind w:left="120"/>
              <w:spacing w:after="0"/>
              <w:rPr>
                <w:sz w:val="20"/>
                <w:szCs w:val="20"/>
                <w:color w:val="auto"/>
              </w:rPr>
            </w:pPr>
            <w:r>
              <w:rPr>
                <w:rFonts w:ascii="Arial" w:cs="Arial" w:eastAsia="Arial" w:hAnsi="Arial"/>
                <w:sz w:val="14"/>
                <w:szCs w:val="14"/>
                <w:color w:val="auto"/>
              </w:rPr>
              <w:t>Organization</w:t>
            </w:r>
          </w:p>
        </w:tc>
        <w:tc>
          <w:tcPr>
            <w:tcW w:w="2360" w:type="dxa"/>
            <w:vAlign w:val="bottom"/>
          </w:tcPr>
          <w:p>
            <w:pPr>
              <w:ind w:left="180"/>
              <w:spacing w:after="0"/>
              <w:rPr>
                <w:sz w:val="20"/>
                <w:szCs w:val="20"/>
                <w:color w:val="auto"/>
              </w:rPr>
            </w:pPr>
            <w:r>
              <w:rPr>
                <w:rFonts w:ascii="Arial" w:cs="Arial" w:eastAsia="Arial" w:hAnsi="Arial"/>
                <w:sz w:val="14"/>
                <w:szCs w:val="14"/>
                <w:color w:val="auto"/>
              </w:rPr>
              <w:t>ownership)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-4596765</wp:posOffset>
            </wp:positionV>
            <wp:extent cx="7246620" cy="1974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-4297045</wp:posOffset>
            </wp:positionV>
            <wp:extent cx="7246620" cy="1028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-4090670</wp:posOffset>
            </wp:positionV>
            <wp:extent cx="7246620" cy="1974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-3799205</wp:posOffset>
            </wp:positionV>
            <wp:extent cx="7246620" cy="1974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-3499485</wp:posOffset>
            </wp:positionV>
            <wp:extent cx="7246620" cy="1028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-3293110</wp:posOffset>
            </wp:positionV>
            <wp:extent cx="7246620" cy="1974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-2993390</wp:posOffset>
            </wp:positionV>
            <wp:extent cx="7246620" cy="102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-2787650</wp:posOffset>
            </wp:positionV>
            <wp:extent cx="7246620" cy="1974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-2487295</wp:posOffset>
            </wp:positionV>
            <wp:extent cx="7246620" cy="1028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-2281555</wp:posOffset>
            </wp:positionV>
            <wp:extent cx="7246620" cy="1974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-1981200</wp:posOffset>
            </wp:positionV>
            <wp:extent cx="7246620" cy="1028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-1775460</wp:posOffset>
            </wp:positionV>
            <wp:extent cx="7246620" cy="1974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-1475105</wp:posOffset>
            </wp:positionV>
            <wp:extent cx="7246620" cy="102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-1269365</wp:posOffset>
            </wp:positionV>
            <wp:extent cx="7246620" cy="1974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-969645</wp:posOffset>
            </wp:positionV>
            <wp:extent cx="7246620" cy="102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-763270</wp:posOffset>
            </wp:positionV>
            <wp:extent cx="7246620"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246620"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1974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6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2,779</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1,915</w:t>
            </w:r>
          </w:p>
        </w:tc>
        <w:tc>
          <w:tcPr>
            <w:tcW w:w="2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0.8%</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620" w:type="dxa"/>
            <w:vAlign w:val="bottom"/>
          </w:tcPr>
          <w:p>
            <w:pPr>
              <w:jc w:val="right"/>
              <w:ind w:right="148"/>
              <w:spacing w:after="0"/>
              <w:rPr>
                <w:sz w:val="20"/>
                <w:szCs w:val="20"/>
                <w:color w:val="auto"/>
              </w:rPr>
            </w:pPr>
            <w:r>
              <w:rPr>
                <w:rFonts w:ascii="Arial" w:cs="Arial" w:eastAsia="Arial" w:hAnsi="Arial"/>
                <w:sz w:val="14"/>
                <w:szCs w:val="14"/>
                <w:color w:val="auto"/>
                <w:w w:val="88"/>
              </w:rPr>
              <w:t>15,000</w:t>
            </w:r>
          </w:p>
        </w:tc>
        <w:tc>
          <w:tcPr>
            <w:tcW w:w="900" w:type="dxa"/>
            <w:vAlign w:val="bottom"/>
          </w:tcPr>
          <w:p>
            <w:pPr>
              <w:jc w:val="right"/>
              <w:spacing w:after="0"/>
              <w:rPr>
                <w:sz w:val="20"/>
                <w:szCs w:val="20"/>
                <w:color w:val="auto"/>
              </w:rPr>
            </w:pPr>
            <w:r>
              <w:rPr>
                <w:rFonts w:ascii="Arial" w:cs="Arial" w:eastAsia="Arial" w:hAnsi="Arial"/>
                <w:sz w:val="14"/>
                <w:szCs w:val="14"/>
                <w:color w:val="auto"/>
              </w:rPr>
              <w:t>15,000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15,491</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5.9%</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15,491</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5.9%</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8"/>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4,195</w:t>
            </w:r>
          </w:p>
        </w:tc>
        <w:tc>
          <w:tcPr>
            <w:tcW w:w="900" w:type="dxa"/>
            <w:vAlign w:val="bottom"/>
          </w:tcPr>
          <w:p>
            <w:pPr>
              <w:jc w:val="right"/>
              <w:spacing w:after="0"/>
              <w:rPr>
                <w:sz w:val="20"/>
                <w:szCs w:val="20"/>
                <w:color w:val="auto"/>
              </w:rPr>
            </w:pPr>
            <w:r>
              <w:rPr>
                <w:rFonts w:ascii="Arial" w:cs="Arial" w:eastAsia="Arial" w:hAnsi="Arial"/>
                <w:sz w:val="14"/>
                <w:szCs w:val="14"/>
                <w:color w:val="auto"/>
              </w:rPr>
              <w:t>3,379</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3,680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1.4%</w:t>
            </w:r>
          </w:p>
        </w:tc>
      </w:tr>
      <w:tr>
        <w:trPr>
          <w:trHeight w:val="444"/>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3,379</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3,680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1.4%</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415</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0.2%</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415</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0.2%</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3,469</w:t>
            </w:r>
          </w:p>
        </w:tc>
        <w:tc>
          <w:tcPr>
            <w:tcW w:w="900" w:type="dxa"/>
            <w:vAlign w:val="bottom"/>
          </w:tcPr>
          <w:p>
            <w:pPr>
              <w:jc w:val="right"/>
              <w:spacing w:after="0"/>
              <w:rPr>
                <w:sz w:val="20"/>
                <w:szCs w:val="20"/>
                <w:color w:val="auto"/>
              </w:rPr>
            </w:pPr>
            <w:r>
              <w:rPr>
                <w:rFonts w:ascii="Arial" w:cs="Arial" w:eastAsia="Arial" w:hAnsi="Arial"/>
                <w:sz w:val="14"/>
                <w:szCs w:val="14"/>
                <w:color w:val="auto"/>
              </w:rPr>
              <w:t>3,469</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3,469</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1.3%</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3,469</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3,469</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1.3%</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620" w:type="dxa"/>
            <w:vAlign w:val="bottom"/>
          </w:tcPr>
          <w:p>
            <w:pPr>
              <w:jc w:val="right"/>
              <w:ind w:right="148"/>
              <w:spacing w:after="0"/>
              <w:rPr>
                <w:sz w:val="20"/>
                <w:szCs w:val="20"/>
                <w:color w:val="auto"/>
              </w:rPr>
            </w:pPr>
            <w:r>
              <w:rPr>
                <w:rFonts w:ascii="Arial" w:cs="Arial" w:eastAsia="Arial" w:hAnsi="Arial"/>
                <w:sz w:val="14"/>
                <w:szCs w:val="14"/>
                <w:color w:val="auto"/>
                <w:w w:val="88"/>
              </w:rPr>
              <w:t>10,000</w:t>
            </w:r>
          </w:p>
        </w:tc>
        <w:tc>
          <w:tcPr>
            <w:tcW w:w="900" w:type="dxa"/>
            <w:vAlign w:val="bottom"/>
          </w:tcPr>
          <w:p>
            <w:pPr>
              <w:jc w:val="right"/>
              <w:spacing w:after="0"/>
              <w:rPr>
                <w:sz w:val="20"/>
                <w:szCs w:val="20"/>
                <w:color w:val="auto"/>
              </w:rPr>
            </w:pPr>
            <w:r>
              <w:rPr>
                <w:rFonts w:ascii="Arial" w:cs="Arial" w:eastAsia="Arial" w:hAnsi="Arial"/>
                <w:sz w:val="14"/>
                <w:szCs w:val="14"/>
                <w:color w:val="auto"/>
              </w:rPr>
              <w:t>9,959</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3.8%</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9,959</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3.8%</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4,376</w:t>
            </w:r>
          </w:p>
        </w:tc>
        <w:tc>
          <w:tcPr>
            <w:tcW w:w="900" w:type="dxa"/>
            <w:vAlign w:val="bottom"/>
          </w:tcPr>
          <w:p>
            <w:pPr>
              <w:jc w:val="right"/>
              <w:spacing w:after="0"/>
              <w:rPr>
                <w:sz w:val="20"/>
                <w:szCs w:val="20"/>
                <w:color w:val="auto"/>
              </w:rPr>
            </w:pPr>
            <w:r>
              <w:rPr>
                <w:rFonts w:ascii="Arial" w:cs="Arial" w:eastAsia="Arial" w:hAnsi="Arial"/>
                <w:sz w:val="14"/>
                <w:szCs w:val="14"/>
                <w:color w:val="auto"/>
              </w:rPr>
              <w:t>4,270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4,376</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1.7%</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4,270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4,376</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1.7%</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8,300</w:t>
            </w:r>
          </w:p>
        </w:tc>
        <w:tc>
          <w:tcPr>
            <w:tcW w:w="900" w:type="dxa"/>
            <w:vAlign w:val="bottom"/>
          </w:tcPr>
          <w:p>
            <w:pPr>
              <w:jc w:val="right"/>
              <w:spacing w:after="0"/>
              <w:rPr>
                <w:sz w:val="20"/>
                <w:szCs w:val="20"/>
                <w:color w:val="auto"/>
              </w:rPr>
            </w:pPr>
            <w:r>
              <w:rPr>
                <w:rFonts w:ascii="Arial" w:cs="Arial" w:eastAsia="Arial" w:hAnsi="Arial"/>
                <w:sz w:val="14"/>
                <w:szCs w:val="14"/>
                <w:color w:val="auto"/>
              </w:rPr>
              <w:t>8,300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3.1%</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3.1%</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4"/>
        </w:trPr>
        <w:tc>
          <w:tcPr>
            <w:tcW w:w="620" w:type="dxa"/>
            <w:vAlign w:val="bottom"/>
          </w:tcPr>
          <w:p>
            <w:pPr>
              <w:jc w:val="right"/>
              <w:ind w:right="148"/>
              <w:spacing w:after="0"/>
              <w:rPr>
                <w:sz w:val="20"/>
                <w:szCs w:val="20"/>
                <w:color w:val="auto"/>
              </w:rPr>
            </w:pPr>
            <w:r>
              <w:rPr>
                <w:rFonts w:ascii="Arial" w:cs="Arial" w:eastAsia="Arial" w:hAnsi="Arial"/>
                <w:sz w:val="14"/>
                <w:szCs w:val="14"/>
                <w:color w:val="auto"/>
                <w:w w:val="88"/>
              </w:rPr>
              <w:t>17,906</w:t>
            </w:r>
          </w:p>
        </w:tc>
        <w:tc>
          <w:tcPr>
            <w:tcW w:w="900" w:type="dxa"/>
            <w:vAlign w:val="bottom"/>
          </w:tcPr>
          <w:p>
            <w:pPr>
              <w:jc w:val="right"/>
              <w:spacing w:after="0"/>
              <w:rPr>
                <w:sz w:val="20"/>
                <w:szCs w:val="20"/>
                <w:color w:val="auto"/>
              </w:rPr>
            </w:pPr>
            <w:r>
              <w:rPr>
                <w:rFonts w:ascii="Arial" w:cs="Arial" w:eastAsia="Arial" w:hAnsi="Arial"/>
                <w:sz w:val="14"/>
                <w:szCs w:val="14"/>
                <w:color w:val="auto"/>
              </w:rPr>
              <w:t>17,906</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17,906</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6.8%</w:t>
            </w:r>
          </w:p>
        </w:tc>
      </w:tr>
      <w:tr>
        <w:trPr>
          <w:trHeight w:val="446"/>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2,964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1.1%</w:t>
            </w:r>
          </w:p>
        </w:tc>
      </w:tr>
      <w:tr>
        <w:trPr>
          <w:trHeight w:val="449"/>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499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-2540</wp:posOffset>
            </wp:positionV>
            <wp:extent cx="19983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6900" w:space="640"/>
            <w:col w:w="3880"/>
          </w:cols>
          <w:pgMar w:left="240" w:top="269" w:right="239" w:bottom="1440" w:gutter="0" w:footer="0" w:header="0"/>
        </w:sect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58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17,906</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21,369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Sub Total Non-control/Non-affiliated investments</w:t>
            </w:r>
          </w:p>
        </w:tc>
        <w:tc>
          <w:tcPr>
            <w:tcW w:w="2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116,776</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133,176</w:t>
            </w:r>
          </w:p>
        </w:tc>
        <w:tc>
          <w:tcPr>
            <w:tcW w:w="10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color w:val="auto"/>
              </w:rPr>
              <w:t>50.7</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type w:val="continuous"/>
        </w:sectPr>
      </w:pPr>
    </w:p>
    <w:bookmarkStart w:id="8" w:name="page9"/>
    <w:bookmarkEnd w:id="8"/>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Affiliate investments - 72.2%</w:t>
            </w:r>
          </w:p>
        </w:tc>
        <w:tc>
          <w:tcPr>
            <w:tcW w:w="232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Chef'N Corporation</w:t>
            </w:r>
          </w:p>
        </w:tc>
        <w:tc>
          <w:tcPr>
            <w:tcW w:w="23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Culinary Products</w:t>
            </w:r>
          </w:p>
        </w:tc>
        <w:tc>
          <w:tcPr>
            <w:tcW w:w="25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 (13%, 2% PIK</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at company's option, Due 5/16/18)   $</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6,300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Chef'N Corporation</w:t>
            </w:r>
          </w:p>
        </w:tc>
        <w:tc>
          <w:tcPr>
            <w:tcW w:w="23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Culinary Products</w:t>
            </w:r>
          </w:p>
        </w:tc>
        <w:tc>
          <w:tcPr>
            <w:tcW w:w="25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A Preferred Stock</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2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(1,000,000 shares)</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4,342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7,300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10,642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City Gear, LLC</w:t>
            </w:r>
          </w:p>
        </w:tc>
        <w:tc>
          <w:tcPr>
            <w:tcW w:w="23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Footwear Retail</w:t>
            </w:r>
          </w:p>
        </w:tc>
        <w:tc>
          <w:tcPr>
            <w:tcW w:w="25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 (13% Cash, Due</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9/28/16)</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8,231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8,231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8,231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City Gear, LLC </w:t>
            </w:r>
            <w:r>
              <w:rPr>
                <w:rFonts w:ascii="Arial" w:cs="Arial" w:eastAsia="Arial" w:hAnsi="Arial"/>
                <w:sz w:val="18"/>
                <w:szCs w:val="18"/>
                <w:color w:val="auto"/>
                <w:vertAlign w:val="superscript"/>
              </w:rPr>
              <w:t>(6)</w:t>
            </w:r>
          </w:p>
        </w:tc>
        <w:tc>
          <w:tcPr>
            <w:tcW w:w="2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Footwear Retail</w:t>
            </w:r>
          </w:p>
        </w:tc>
        <w:tc>
          <w:tcPr>
            <w:tcW w:w="2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Preferred Membership Units (9%</w:t>
            </w: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1,269</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1,269</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2580" w:type="dxa"/>
            <w:vAlign w:val="bottom"/>
            <w:shd w:val="clear" w:color="auto" w:fill="CCEEFF"/>
          </w:tcPr>
          <w:p>
            <w:pPr>
              <w:ind w:left="80"/>
              <w:spacing w:after="0" w:line="135" w:lineRule="exact"/>
              <w:rPr>
                <w:sz w:val="20"/>
                <w:szCs w:val="20"/>
                <w:color w:val="auto"/>
              </w:rPr>
            </w:pPr>
            <w:r>
              <w:rPr>
                <w:rFonts w:ascii="Arial" w:cs="Arial" w:eastAsia="Arial" w:hAnsi="Arial"/>
                <w:sz w:val="14"/>
                <w:szCs w:val="14"/>
                <w:color w:val="auto"/>
              </w:rPr>
              <w:t>cash dividend)</w:t>
            </w:r>
          </w:p>
        </w:tc>
        <w:tc>
          <w:tcPr>
            <w:tcW w:w="7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City Gear, LLC</w:t>
            </w:r>
          </w:p>
        </w:tc>
        <w:tc>
          <w:tcPr>
            <w:tcW w:w="23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Footwear Retail</w:t>
            </w:r>
          </w:p>
        </w:tc>
        <w:tc>
          <w:tcPr>
            <w:tcW w:w="25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Membership Unit Warrants</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2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(14.15% fully diluted)</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6,042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9,500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15,542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23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Sales &amp; Marketing Services</w:t>
            </w:r>
          </w:p>
        </w:tc>
        <w:tc>
          <w:tcPr>
            <w:tcW w:w="25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 (14% Cash, 2%</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PIK, Due 3/22/18)</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11,286</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11,286</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11,286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Corporate Visions, Inc.</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Sales &amp; Marketing Services</w:t>
            </w:r>
          </w:p>
        </w:tc>
        <w:tc>
          <w:tcPr>
            <w:tcW w:w="25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Common Stock (2,216,463 shares)</w:t>
            </w:r>
          </w:p>
        </w:tc>
        <w:tc>
          <w:tcPr>
            <w:tcW w:w="7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2,576</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9,797</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23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Sales &amp; Marketing Services</w:t>
            </w:r>
          </w:p>
        </w:tc>
        <w:tc>
          <w:tcPr>
            <w:tcW w:w="25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Warrant (403,257</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2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1,782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13,862</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22,865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GA Communications, Inc. </w:t>
            </w:r>
            <w:r>
              <w:rPr>
                <w:rFonts w:ascii="Arial" w:cs="Arial" w:eastAsia="Arial" w:hAnsi="Arial"/>
                <w:sz w:val="18"/>
                <w:szCs w:val="18"/>
                <w:color w:val="auto"/>
                <w:vertAlign w:val="superscript"/>
              </w:rPr>
              <w:t>(6)</w:t>
            </w:r>
          </w:p>
        </w:tc>
        <w:tc>
          <w:tcPr>
            <w:tcW w:w="2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Advertising &amp; Marketing Services</w:t>
            </w:r>
          </w:p>
        </w:tc>
        <w:tc>
          <w:tcPr>
            <w:tcW w:w="2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Series A-1 Preferred Stock (1,998</w:t>
            </w: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2,094</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2,471</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2580" w:type="dxa"/>
            <w:vAlign w:val="bottom"/>
            <w:shd w:val="clear" w:color="auto" w:fill="CCEEFF"/>
          </w:tcPr>
          <w:p>
            <w:pPr>
              <w:ind w:left="80"/>
              <w:spacing w:after="0" w:line="135" w:lineRule="exact"/>
              <w:rPr>
                <w:sz w:val="20"/>
                <w:szCs w:val="20"/>
                <w:color w:val="auto"/>
              </w:rPr>
            </w:pPr>
            <w:r>
              <w:rPr>
                <w:rFonts w:ascii="Arial" w:cs="Arial" w:eastAsia="Arial" w:hAnsi="Arial"/>
                <w:sz w:val="14"/>
                <w:szCs w:val="14"/>
                <w:color w:val="auto"/>
              </w:rPr>
              <w:t>shares, 8% PIK dividend)</w:t>
            </w:r>
          </w:p>
        </w:tc>
        <w:tc>
          <w:tcPr>
            <w:tcW w:w="7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23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Advertising &amp; Marketing Services</w:t>
            </w:r>
          </w:p>
        </w:tc>
        <w:tc>
          <w:tcPr>
            <w:tcW w:w="25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B-1 Common Stock</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2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(200,000 shares)</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2,685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2,096</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5,156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Impresa Aerospace Holdings, LLC </w:t>
            </w:r>
            <w:r>
              <w:rPr>
                <w:rFonts w:ascii="Arial" w:cs="Arial" w:eastAsia="Arial" w:hAnsi="Arial"/>
                <w:sz w:val="18"/>
                <w:szCs w:val="18"/>
                <w:color w:val="auto"/>
                <w:vertAlign w:val="superscript"/>
              </w:rPr>
              <w:t>(3)</w:t>
            </w:r>
          </w:p>
        </w:tc>
        <w:tc>
          <w:tcPr>
            <w:tcW w:w="2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Aerospace Parts Manufacturer</w:t>
            </w:r>
          </w:p>
        </w:tc>
        <w:tc>
          <w:tcPr>
            <w:tcW w:w="2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Subordinated Debt (4.1% Cash,</w:t>
            </w: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14,028</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12,258</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9,934</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2580" w:type="dxa"/>
            <w:vAlign w:val="bottom"/>
            <w:shd w:val="clear" w:color="auto" w:fill="CCEEFF"/>
          </w:tcPr>
          <w:p>
            <w:pPr>
              <w:ind w:left="80"/>
              <w:spacing w:after="0" w:line="135" w:lineRule="exact"/>
              <w:rPr>
                <w:sz w:val="20"/>
                <w:szCs w:val="20"/>
                <w:color w:val="auto"/>
              </w:rPr>
            </w:pPr>
            <w:r>
              <w:rPr>
                <w:rFonts w:ascii="Arial" w:cs="Arial" w:eastAsia="Arial" w:hAnsi="Arial"/>
                <w:sz w:val="14"/>
                <w:szCs w:val="14"/>
                <w:color w:val="auto"/>
              </w:rPr>
              <w:t>Due 4/28/16)</w:t>
            </w:r>
          </w:p>
        </w:tc>
        <w:tc>
          <w:tcPr>
            <w:tcW w:w="7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Impresa Aerospace Holdings, LLC</w:t>
            </w:r>
          </w:p>
        </w:tc>
        <w:tc>
          <w:tcPr>
            <w:tcW w:w="23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Aerospace Parts Manufacturer</w:t>
            </w:r>
          </w:p>
        </w:tc>
        <w:tc>
          <w:tcPr>
            <w:tcW w:w="25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Class A Membership Units</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(1,006,621 units)</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Impresa Aerospace Holdings, LLC</w:t>
            </w:r>
          </w:p>
        </w:tc>
        <w:tc>
          <w:tcPr>
            <w:tcW w:w="23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Aerospace Parts Manufacturer</w:t>
            </w:r>
          </w:p>
        </w:tc>
        <w:tc>
          <w:tcPr>
            <w:tcW w:w="25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Class C Membership Units</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(362,416 units)</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362</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Impresa Aerospace Holdings, LLC</w:t>
            </w:r>
          </w:p>
        </w:tc>
        <w:tc>
          <w:tcPr>
            <w:tcW w:w="23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Aerospace Parts Manufacturer</w:t>
            </w:r>
          </w:p>
        </w:tc>
        <w:tc>
          <w:tcPr>
            <w:tcW w:w="25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Class F Membership Units</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2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(604,504 units)</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605</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14,125</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9,934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J&amp;J Produce Holdings, Inc.</w:t>
            </w:r>
          </w:p>
        </w:tc>
        <w:tc>
          <w:tcPr>
            <w:tcW w:w="23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Produce Distribution</w:t>
            </w:r>
          </w:p>
        </w:tc>
        <w:tc>
          <w:tcPr>
            <w:tcW w:w="25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 (13% Cash, Due</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7/16/18)</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5,182</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5,182</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5,182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J&amp;J Produce Holdings, Inc.</w:t>
            </w:r>
          </w:p>
        </w:tc>
        <w:tc>
          <w:tcPr>
            <w:tcW w:w="2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Produce Distribution</w:t>
            </w:r>
          </w:p>
        </w:tc>
        <w:tc>
          <w:tcPr>
            <w:tcW w:w="25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Common Stock (8,182 shares)</w:t>
            </w:r>
          </w:p>
        </w:tc>
        <w:tc>
          <w:tcPr>
            <w:tcW w:w="7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818</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598</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J&amp;J Produce Holdings, Inc.</w:t>
            </w:r>
          </w:p>
        </w:tc>
        <w:tc>
          <w:tcPr>
            <w:tcW w:w="23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Produce Distribution</w:t>
            </w:r>
          </w:p>
        </w:tc>
        <w:tc>
          <w:tcPr>
            <w:tcW w:w="25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 Warrants (4,506</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2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shares)</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6,000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6,109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LJS Partners, LLC</w:t>
            </w:r>
          </w:p>
        </w:tc>
        <w:tc>
          <w:tcPr>
            <w:tcW w:w="2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QSR Franchisor</w:t>
            </w:r>
          </w:p>
        </w:tc>
        <w:tc>
          <w:tcPr>
            <w:tcW w:w="2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Common Stock (1,500,000 shares)</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11,188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11,188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MJC Holdings, LLC</w:t>
            </w:r>
          </w:p>
        </w:tc>
        <w:tc>
          <w:tcPr>
            <w:tcW w:w="23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Specialty Clothing</w:t>
            </w:r>
          </w:p>
        </w:tc>
        <w:tc>
          <w:tcPr>
            <w:tcW w:w="25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 (14%, 2% PIK</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at Company's option, Due 1/16/18)</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7,500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MJC Holdings, LLC</w:t>
            </w:r>
          </w:p>
        </w:tc>
        <w:tc>
          <w:tcPr>
            <w:tcW w:w="23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Specialty Clothing</w:t>
            </w:r>
          </w:p>
        </w:tc>
        <w:tc>
          <w:tcPr>
            <w:tcW w:w="25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A Preferred Units</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2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(2,000,000 units)</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4,874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9,500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12,374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23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Medical Device Distributor</w:t>
            </w:r>
          </w:p>
        </w:tc>
        <w:tc>
          <w:tcPr>
            <w:tcW w:w="25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Senior Secured Debt (12% Cash,</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Due 10/17/14)</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2,600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2,600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23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Medical Device Distributor</w:t>
            </w:r>
          </w:p>
        </w:tc>
        <w:tc>
          <w:tcPr>
            <w:tcW w:w="25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 (6% Cash, Due</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8/15/15)</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389</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MMI Holdings, LLC </w:t>
            </w:r>
            <w:r>
              <w:rPr>
                <w:rFonts w:ascii="Arial" w:cs="Arial" w:eastAsia="Arial" w:hAnsi="Arial"/>
                <w:sz w:val="18"/>
                <w:szCs w:val="18"/>
                <w:color w:val="auto"/>
                <w:vertAlign w:val="superscript"/>
              </w:rPr>
              <w:t>(6)</w:t>
            </w:r>
          </w:p>
        </w:tc>
        <w:tc>
          <w:tcPr>
            <w:tcW w:w="2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Medical Device Distributor</w:t>
            </w:r>
          </w:p>
        </w:tc>
        <w:tc>
          <w:tcPr>
            <w:tcW w:w="2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Preferred Units (1,000 units, 6%</w:t>
            </w: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1,097</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1,235</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2580" w:type="dxa"/>
            <w:vAlign w:val="bottom"/>
            <w:shd w:val="clear" w:color="auto" w:fill="CCEEFF"/>
          </w:tcPr>
          <w:p>
            <w:pPr>
              <w:ind w:left="80"/>
              <w:spacing w:after="0" w:line="135" w:lineRule="exact"/>
              <w:rPr>
                <w:sz w:val="20"/>
                <w:szCs w:val="20"/>
                <w:color w:val="auto"/>
              </w:rPr>
            </w:pPr>
            <w:r>
              <w:rPr>
                <w:rFonts w:ascii="Arial" w:cs="Arial" w:eastAsia="Arial" w:hAnsi="Arial"/>
                <w:sz w:val="14"/>
                <w:szCs w:val="14"/>
                <w:color w:val="auto"/>
              </w:rPr>
              <w:t>PIK dividend)</w:t>
            </w:r>
          </w:p>
        </w:tc>
        <w:tc>
          <w:tcPr>
            <w:tcW w:w="7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MMI Holdings, LLC</w:t>
            </w:r>
          </w:p>
        </w:tc>
        <w:tc>
          <w:tcPr>
            <w:tcW w:w="2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Medical Device Distributor</w:t>
            </w:r>
          </w:p>
        </w:tc>
        <w:tc>
          <w:tcPr>
            <w:tcW w:w="2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Common Units (45 units)</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4,086</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4,341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MTI Holdings, LLC</w:t>
            </w:r>
          </w:p>
        </w:tc>
        <w:tc>
          <w:tcPr>
            <w:tcW w:w="23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w w:val="98"/>
              </w:rPr>
              <w:t>Retail Display &amp; Security Services</w:t>
            </w:r>
          </w:p>
        </w:tc>
        <w:tc>
          <w:tcPr>
            <w:tcW w:w="25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Subordinated Debt (12% Cash, Due</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11/1/18)</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8,000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8,000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MTI Holdings, LLC</w:t>
            </w:r>
          </w:p>
        </w:tc>
        <w:tc>
          <w:tcPr>
            <w:tcW w:w="232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8"/>
              </w:rPr>
              <w:t>Retail Display &amp; Security Services</w:t>
            </w:r>
          </w:p>
        </w:tc>
        <w:tc>
          <w:tcPr>
            <w:tcW w:w="2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Capital Units (2,000,000 units)</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3,910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11,910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ABUTEC, LLC</w:t>
            </w:r>
          </w:p>
        </w:tc>
        <w:tc>
          <w:tcPr>
            <w:tcW w:w="23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Environmental Services Products</w:t>
            </w:r>
          </w:p>
        </w:tc>
        <w:tc>
          <w:tcPr>
            <w:tcW w:w="25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Senior Secured Debt (12% Cash,</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3% PIK, Due 12/28/17)</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5,203</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5,203</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5,203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ABUTEC, LLC</w:t>
            </w:r>
          </w:p>
        </w:tc>
        <w:tc>
          <w:tcPr>
            <w:tcW w:w="23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Environmental Services Products</w:t>
            </w:r>
          </w:p>
        </w:tc>
        <w:tc>
          <w:tcPr>
            <w:tcW w:w="25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Preferred Membership Units</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258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(10.8% fully diluted)</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1,240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5,230</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43" w:orient="portrait"/>
          <w:cols w:equalWidth="0" w:num="1">
            <w:col w:w="11420"/>
          </w:cols>
          <w:pgMar w:left="240" w:top="883"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4"/>
                <w:szCs w:val="14"/>
                <w:color w:val="auto"/>
              </w:rPr>
              <w:t>Source Capital Penray, LLC</w:t>
            </w:r>
          </w:p>
        </w:tc>
        <w:tc>
          <w:tcPr>
            <w:tcW w:w="25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Automotive Chemicals &amp;</w:t>
            </w:r>
          </w:p>
        </w:tc>
        <w:tc>
          <w:tcPr>
            <w:tcW w:w="2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Subordinated Debt (13% Cash, Due</w:t>
            </w:r>
          </w:p>
        </w:tc>
        <w:tc>
          <w:tcPr>
            <w:tcW w:w="9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5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Lubricants</w:t>
            </w:r>
          </w:p>
        </w:tc>
        <w:tc>
          <w:tcPr>
            <w:tcW w:w="2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2/17/17)</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2,500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Penray, LLC</w:t>
            </w:r>
          </w:p>
        </w:tc>
        <w:tc>
          <w:tcPr>
            <w:tcW w:w="2500" w:type="dxa"/>
            <w:vAlign w:val="bottom"/>
            <w:shd w:val="clear" w:color="auto" w:fill="CCEEFF"/>
          </w:tcPr>
          <w:p>
            <w:pPr>
              <w:ind w:left="500"/>
              <w:spacing w:after="0" w:line="130" w:lineRule="exact"/>
              <w:rPr>
                <w:sz w:val="20"/>
                <w:szCs w:val="20"/>
                <w:color w:val="auto"/>
              </w:rPr>
            </w:pPr>
            <w:r>
              <w:rPr>
                <w:rFonts w:ascii="Arial" w:cs="Arial" w:eastAsia="Arial" w:hAnsi="Arial"/>
                <w:sz w:val="14"/>
                <w:szCs w:val="14"/>
                <w:color w:val="auto"/>
              </w:rPr>
              <w:t>Automotive Chemicals &amp;</w:t>
            </w:r>
          </w:p>
        </w:tc>
        <w:tc>
          <w:tcPr>
            <w:tcW w:w="25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Common Stock Warrants (6.65%</w:t>
            </w: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5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Lubricants</w:t>
            </w:r>
          </w:p>
        </w:tc>
        <w:tc>
          <w:tcPr>
            <w:tcW w:w="2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ownership)</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546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Penray, LLC</w:t>
            </w:r>
          </w:p>
        </w:tc>
        <w:tc>
          <w:tcPr>
            <w:tcW w:w="2500" w:type="dxa"/>
            <w:vAlign w:val="bottom"/>
            <w:shd w:val="clear" w:color="auto" w:fill="CCEEFF"/>
          </w:tcPr>
          <w:p>
            <w:pPr>
              <w:ind w:left="500"/>
              <w:spacing w:after="0" w:line="130" w:lineRule="exact"/>
              <w:rPr>
                <w:sz w:val="20"/>
                <w:szCs w:val="20"/>
                <w:color w:val="auto"/>
              </w:rPr>
            </w:pPr>
            <w:r>
              <w:rPr>
                <w:rFonts w:ascii="Arial" w:cs="Arial" w:eastAsia="Arial" w:hAnsi="Arial"/>
                <w:sz w:val="14"/>
                <w:szCs w:val="14"/>
                <w:color w:val="auto"/>
              </w:rPr>
              <w:t>Automotive Chemicals &amp;</w:t>
            </w:r>
          </w:p>
        </w:tc>
        <w:tc>
          <w:tcPr>
            <w:tcW w:w="25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Membership Units (11.3%</w:t>
            </w: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5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Lubricants</w:t>
            </w:r>
          </w:p>
        </w:tc>
        <w:tc>
          <w:tcPr>
            <w:tcW w:w="2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ownership)</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771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3,250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3,817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SSCR, LLC</w:t>
            </w:r>
          </w:p>
        </w:tc>
        <w:tc>
          <w:tcPr>
            <w:tcW w:w="2500" w:type="dxa"/>
            <w:vAlign w:val="bottom"/>
            <w:shd w:val="clear" w:color="auto" w:fill="CCEEFF"/>
          </w:tcPr>
          <w:p>
            <w:pPr>
              <w:ind w:left="500"/>
              <w:spacing w:after="0" w:line="130" w:lineRule="exact"/>
              <w:rPr>
                <w:sz w:val="20"/>
                <w:szCs w:val="20"/>
                <w:color w:val="auto"/>
              </w:rPr>
            </w:pPr>
            <w:r>
              <w:rPr>
                <w:rFonts w:ascii="Arial" w:cs="Arial" w:eastAsia="Arial" w:hAnsi="Arial"/>
                <w:sz w:val="14"/>
                <w:szCs w:val="14"/>
                <w:color w:val="auto"/>
              </w:rPr>
              <w:t>Personal Product Manufacturer</w:t>
            </w:r>
          </w:p>
        </w:tc>
        <w:tc>
          <w:tcPr>
            <w:tcW w:w="25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Subordinated Debt (14% Cash, Due</w:t>
            </w: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9/15/17)</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17,125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17,125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15,389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SSCR, LLC</w:t>
            </w:r>
          </w:p>
        </w:tc>
        <w:tc>
          <w:tcPr>
            <w:tcW w:w="2500" w:type="dxa"/>
            <w:vAlign w:val="bottom"/>
            <w:shd w:val="clear" w:color="auto" w:fill="CCEEFF"/>
          </w:tcPr>
          <w:p>
            <w:pPr>
              <w:ind w:left="500"/>
              <w:spacing w:after="0" w:line="130" w:lineRule="exact"/>
              <w:rPr>
                <w:sz w:val="20"/>
                <w:szCs w:val="20"/>
                <w:color w:val="auto"/>
              </w:rPr>
            </w:pPr>
            <w:r>
              <w:rPr>
                <w:rFonts w:ascii="Arial" w:cs="Arial" w:eastAsia="Arial" w:hAnsi="Arial"/>
                <w:sz w:val="14"/>
                <w:szCs w:val="14"/>
                <w:color w:val="auto"/>
              </w:rPr>
              <w:t>Personal Product Manufacturer</w:t>
            </w:r>
          </w:p>
        </w:tc>
        <w:tc>
          <w:tcPr>
            <w:tcW w:w="25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Senior Secured Term Debt (10%</w:t>
            </w: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Due 6/12/17)</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3,000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2,768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SSCR, LLC</w:t>
            </w:r>
          </w:p>
        </w:tc>
        <w:tc>
          <w:tcPr>
            <w:tcW w:w="2500" w:type="dxa"/>
            <w:vAlign w:val="bottom"/>
            <w:shd w:val="clear" w:color="auto" w:fill="CCEEFF"/>
          </w:tcPr>
          <w:p>
            <w:pPr>
              <w:ind w:left="500"/>
              <w:spacing w:after="0" w:line="130" w:lineRule="exact"/>
              <w:rPr>
                <w:sz w:val="20"/>
                <w:szCs w:val="20"/>
                <w:color w:val="auto"/>
              </w:rPr>
            </w:pPr>
            <w:r>
              <w:rPr>
                <w:rFonts w:ascii="Arial" w:cs="Arial" w:eastAsia="Arial" w:hAnsi="Arial"/>
                <w:sz w:val="14"/>
                <w:szCs w:val="14"/>
                <w:color w:val="auto"/>
              </w:rPr>
              <w:t>Personal Product Manufacturer</w:t>
            </w:r>
          </w:p>
        </w:tc>
        <w:tc>
          <w:tcPr>
            <w:tcW w:w="25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Preferred Membership Units</w:t>
            </w: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(15.8% ownership)</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1,878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Capital SSCR, LLC</w:t>
            </w:r>
          </w:p>
        </w:tc>
        <w:tc>
          <w:tcPr>
            <w:tcW w:w="2500" w:type="dxa"/>
            <w:vAlign w:val="bottom"/>
            <w:shd w:val="clear" w:color="auto" w:fill="CCEEFF"/>
          </w:tcPr>
          <w:p>
            <w:pPr>
              <w:ind w:left="500"/>
              <w:spacing w:after="0" w:line="130" w:lineRule="exact"/>
              <w:rPr>
                <w:sz w:val="20"/>
                <w:szCs w:val="20"/>
                <w:color w:val="auto"/>
              </w:rPr>
            </w:pPr>
            <w:r>
              <w:rPr>
                <w:rFonts w:ascii="Arial" w:cs="Arial" w:eastAsia="Arial" w:hAnsi="Arial"/>
                <w:sz w:val="14"/>
                <w:szCs w:val="14"/>
                <w:color w:val="auto"/>
              </w:rPr>
              <w:t>Personal Product Manufacturer</w:t>
            </w:r>
          </w:p>
        </w:tc>
        <w:tc>
          <w:tcPr>
            <w:tcW w:w="25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Membership Unit Warrant (0.31%</w:t>
            </w: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2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ownership)</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22,013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18,157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12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Source Recycling, LLC </w:t>
            </w:r>
            <w:r>
              <w:rPr>
                <w:rFonts w:ascii="Arial" w:cs="Arial" w:eastAsia="Arial" w:hAnsi="Arial"/>
                <w:sz w:val="18"/>
                <w:szCs w:val="18"/>
                <w:color w:val="auto"/>
                <w:vertAlign w:val="superscript"/>
              </w:rPr>
              <w:t>(2)</w:t>
            </w:r>
          </w:p>
        </w:tc>
        <w:tc>
          <w:tcPr>
            <w:tcW w:w="25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Metal Recycler</w:t>
            </w:r>
          </w:p>
        </w:tc>
        <w:tc>
          <w:tcPr>
            <w:tcW w:w="2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Subordinated Debt (13% Cash, Due</w:t>
            </w:r>
          </w:p>
        </w:tc>
        <w:tc>
          <w:tcPr>
            <w:tcW w:w="94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5,000</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3,950</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58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9/2/16)</w:t>
            </w:r>
          </w:p>
        </w:tc>
        <w:tc>
          <w:tcPr>
            <w:tcW w:w="940" w:type="dxa"/>
            <w:vAlign w:val="bottom"/>
            <w:vMerge w:val="continue"/>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Source Recycling, LLC</w:t>
            </w:r>
          </w:p>
        </w:tc>
        <w:tc>
          <w:tcPr>
            <w:tcW w:w="25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Metal Recycler</w:t>
            </w:r>
          </w:p>
        </w:tc>
        <w:tc>
          <w:tcPr>
            <w:tcW w:w="25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Membership Units (68,656 units)</w:t>
            </w:r>
          </w:p>
        </w:tc>
        <w:tc>
          <w:tcPr>
            <w:tcW w:w="9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1,590</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 Recycling, LLC</w:t>
            </w:r>
          </w:p>
        </w:tc>
        <w:tc>
          <w:tcPr>
            <w:tcW w:w="2500" w:type="dxa"/>
            <w:vAlign w:val="bottom"/>
            <w:shd w:val="clear" w:color="auto" w:fill="CCEEFF"/>
          </w:tcPr>
          <w:p>
            <w:pPr>
              <w:ind w:left="500"/>
              <w:spacing w:after="0" w:line="130" w:lineRule="exact"/>
              <w:rPr>
                <w:sz w:val="20"/>
                <w:szCs w:val="20"/>
                <w:color w:val="auto"/>
              </w:rPr>
            </w:pPr>
            <w:r>
              <w:rPr>
                <w:rFonts w:ascii="Arial" w:cs="Arial" w:eastAsia="Arial" w:hAnsi="Arial"/>
                <w:sz w:val="14"/>
                <w:szCs w:val="14"/>
                <w:color w:val="auto"/>
              </w:rPr>
              <w:t>Metal Recycler</w:t>
            </w:r>
          </w:p>
        </w:tc>
        <w:tc>
          <w:tcPr>
            <w:tcW w:w="25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Membership Unit Warrants (1%</w:t>
            </w: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2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fully diluted)</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6,590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3,950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12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Sparus Holdings, Inc. </w:t>
            </w:r>
            <w:r>
              <w:rPr>
                <w:rFonts w:ascii="Arial" w:cs="Arial" w:eastAsia="Arial" w:hAnsi="Arial"/>
                <w:sz w:val="18"/>
                <w:szCs w:val="18"/>
                <w:color w:val="auto"/>
                <w:vertAlign w:val="superscript"/>
              </w:rPr>
              <w:t>(1)</w:t>
            </w:r>
          </w:p>
        </w:tc>
        <w:tc>
          <w:tcPr>
            <w:tcW w:w="25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Energy Services</w:t>
            </w:r>
          </w:p>
        </w:tc>
        <w:tc>
          <w:tcPr>
            <w:tcW w:w="2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Subordinated Debt (13% Cash, 2%</w:t>
            </w:r>
          </w:p>
        </w:tc>
        <w:tc>
          <w:tcPr>
            <w:tcW w:w="94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8,025</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8,025</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8,025</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58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PIK, Due 3/21/16)</w:t>
            </w:r>
          </w:p>
        </w:tc>
        <w:tc>
          <w:tcPr>
            <w:tcW w:w="940" w:type="dxa"/>
            <w:vAlign w:val="bottom"/>
            <w:vMerge w:val="continue"/>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Sparus Holdings, Inc.</w:t>
            </w:r>
          </w:p>
        </w:tc>
        <w:tc>
          <w:tcPr>
            <w:tcW w:w="2500" w:type="dxa"/>
            <w:vAlign w:val="bottom"/>
            <w:shd w:val="clear" w:color="auto" w:fill="CCEEFF"/>
          </w:tcPr>
          <w:p>
            <w:pPr>
              <w:ind w:left="500"/>
              <w:spacing w:after="0" w:line="130" w:lineRule="exact"/>
              <w:rPr>
                <w:sz w:val="20"/>
                <w:szCs w:val="20"/>
                <w:color w:val="auto"/>
              </w:rPr>
            </w:pPr>
            <w:r>
              <w:rPr>
                <w:rFonts w:ascii="Arial" w:cs="Arial" w:eastAsia="Arial" w:hAnsi="Arial"/>
                <w:sz w:val="14"/>
                <w:szCs w:val="14"/>
                <w:color w:val="auto"/>
              </w:rPr>
              <w:t>Energy Services</w:t>
            </w:r>
          </w:p>
        </w:tc>
        <w:tc>
          <w:tcPr>
            <w:tcW w:w="25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Series B Preferred Stock (5,703</w:t>
            </w: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1,173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Sparus Holdings, Inc.</w:t>
            </w:r>
          </w:p>
        </w:tc>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Energy Services</w:t>
            </w:r>
          </w:p>
        </w:tc>
        <w:tc>
          <w:tcPr>
            <w:tcW w:w="2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Common Stock Warrants (3,491</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9,198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8,025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STX Healthcare Management Services,</w:t>
            </w:r>
          </w:p>
        </w:tc>
        <w:tc>
          <w:tcPr>
            <w:tcW w:w="2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Dental Practice Management</w:t>
            </w:r>
          </w:p>
        </w:tc>
        <w:tc>
          <w:tcPr>
            <w:tcW w:w="23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w w:val="94"/>
              </w:rPr>
              <w:t>Subordinated Debt (14% Cash, Due</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shd w:val="clear" w:color="auto" w:fill="CCEEFF"/>
          </w:tcPr>
          <w:p>
            <w:pPr>
              <w:spacing w:after="0" w:line="208" w:lineRule="exact"/>
              <w:rPr>
                <w:sz w:val="20"/>
                <w:szCs w:val="20"/>
                <w:color w:val="auto"/>
              </w:rPr>
            </w:pPr>
            <w:r>
              <w:rPr>
                <w:rFonts w:ascii="Arial" w:cs="Arial" w:eastAsia="Arial" w:hAnsi="Arial"/>
                <w:sz w:val="14"/>
                <w:szCs w:val="14"/>
                <w:color w:val="auto"/>
              </w:rPr>
              <w:t xml:space="preserve">Inc. </w:t>
            </w:r>
            <w:r>
              <w:rPr>
                <w:rFonts w:ascii="Arial" w:cs="Arial" w:eastAsia="Arial" w:hAnsi="Arial"/>
                <w:sz w:val="23"/>
                <w:szCs w:val="23"/>
                <w:color w:val="auto"/>
                <w:vertAlign w:val="superscript"/>
              </w:rPr>
              <w:t>(1)</w:t>
            </w:r>
          </w:p>
        </w:tc>
        <w:tc>
          <w:tcPr>
            <w:tcW w:w="2120" w:type="dxa"/>
            <w:vAlign w:val="bottom"/>
            <w:shd w:val="clear" w:color="auto" w:fill="CCEEFF"/>
          </w:tcPr>
          <w:p>
            <w:pPr>
              <w:spacing w:after="0"/>
              <w:rPr>
                <w:sz w:val="18"/>
                <w:szCs w:val="18"/>
                <w:color w:val="auto"/>
              </w:rPr>
            </w:pPr>
          </w:p>
        </w:tc>
        <w:tc>
          <w:tcPr>
            <w:tcW w:w="2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7/31/15)</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7,425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7,425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STX Healthcare Management Services,</w:t>
            </w:r>
          </w:p>
        </w:tc>
        <w:tc>
          <w:tcPr>
            <w:tcW w:w="2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Dental Practice Management</w:t>
            </w:r>
          </w:p>
        </w:tc>
        <w:tc>
          <w:tcPr>
            <w:tcW w:w="23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w w:val="96"/>
              </w:rPr>
              <w:t>Common Stock (1,200,000 shares)</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21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STX Healthcare Management Services,</w:t>
            </w:r>
          </w:p>
        </w:tc>
        <w:tc>
          <w:tcPr>
            <w:tcW w:w="2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Dental Practice Management</w:t>
            </w:r>
          </w:p>
        </w:tc>
        <w:tc>
          <w:tcPr>
            <w:tcW w:w="23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Common Stock Warrants</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2120" w:type="dxa"/>
            <w:vAlign w:val="bottom"/>
            <w:shd w:val="clear" w:color="auto" w:fill="CCEEFF"/>
          </w:tcPr>
          <w:p>
            <w:pPr>
              <w:spacing w:after="0"/>
              <w:rPr>
                <w:sz w:val="15"/>
                <w:szCs w:val="15"/>
                <w:color w:val="auto"/>
              </w:rPr>
            </w:pPr>
          </w:p>
        </w:tc>
        <w:tc>
          <w:tcPr>
            <w:tcW w:w="2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(1,154,254 shares)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8,843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9,004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Take 5 Oil Change, Inc.</w:t>
            </w:r>
          </w:p>
        </w:tc>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Quick Lube Services</w:t>
            </w:r>
          </w:p>
        </w:tc>
        <w:tc>
          <w:tcPr>
            <w:tcW w:w="2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Common Stock (10,692 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1,069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2,047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1,069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2,047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TCE Holdings, Inc.</w:t>
            </w:r>
          </w:p>
        </w:tc>
        <w:tc>
          <w:tcPr>
            <w:tcW w:w="2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Oil &amp; Gas Services</w:t>
            </w:r>
          </w:p>
        </w:tc>
        <w:tc>
          <w:tcPr>
            <w:tcW w:w="23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w w:val="96"/>
              </w:rPr>
              <w:t>Subordinated Debt (12% Cash, 2%</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PIK, Due 11/22/18)</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12,210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12,210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12,210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TCE Holdings, Inc.</w:t>
            </w:r>
          </w:p>
        </w:tc>
        <w:tc>
          <w:tcPr>
            <w:tcW w:w="2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Oil &amp; Gas Services</w:t>
            </w:r>
          </w:p>
        </w:tc>
        <w:tc>
          <w:tcPr>
            <w:tcW w:w="23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w w:val="96"/>
              </w:rPr>
              <w:t>Subordinated Debt (12% Cash, 2%</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PIK, Due 2/1/19)</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9,730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9,730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9,730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TCE Holdings, Inc.</w:t>
            </w:r>
          </w:p>
        </w:tc>
        <w:tc>
          <w:tcPr>
            <w:tcW w:w="2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Oil &amp; Gas Services</w:t>
            </w:r>
          </w:p>
        </w:tc>
        <w:tc>
          <w:tcPr>
            <w:tcW w:w="23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Class A Common Stock (3,600</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25,540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25,540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4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V12 Holdings, Inc. </w:t>
            </w:r>
            <w:r>
              <w:rPr>
                <w:rFonts w:ascii="Arial" w:cs="Arial" w:eastAsia="Arial" w:hAnsi="Arial"/>
                <w:sz w:val="18"/>
                <w:szCs w:val="18"/>
                <w:color w:val="auto"/>
                <w:vertAlign w:val="superscript"/>
              </w:rPr>
              <w:t>(1)</w:t>
            </w:r>
          </w:p>
        </w:tc>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Data Processing &amp; Digital</w:t>
            </w:r>
          </w:p>
        </w:tc>
        <w:tc>
          <w:tcPr>
            <w:tcW w:w="2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Bridge Note (0% Cash, Due</w:t>
            </w:r>
          </w:p>
        </w:tc>
        <w:tc>
          <w:tcPr>
            <w:tcW w:w="3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663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20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12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Marketing</w:t>
            </w:r>
          </w:p>
        </w:tc>
        <w:tc>
          <w:tcPr>
            <w:tcW w:w="236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12/31/14)</w:t>
            </w:r>
          </w:p>
        </w:tc>
        <w:tc>
          <w:tcPr>
            <w:tcW w:w="36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4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V12 Holdings, Inc. </w:t>
            </w:r>
            <w:r>
              <w:rPr>
                <w:rFonts w:ascii="Arial" w:cs="Arial" w:eastAsia="Arial" w:hAnsi="Arial"/>
                <w:sz w:val="18"/>
                <w:szCs w:val="18"/>
                <w:color w:val="auto"/>
                <w:vertAlign w:val="superscript"/>
              </w:rPr>
              <w:t>(1)</w:t>
            </w:r>
          </w:p>
        </w:tc>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Data Processing &amp; Digital</w:t>
            </w:r>
          </w:p>
        </w:tc>
        <w:tc>
          <w:tcPr>
            <w:tcW w:w="2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Tier 2 Note (0% Cash, Due</w:t>
            </w:r>
          </w:p>
        </w:tc>
        <w:tc>
          <w:tcPr>
            <w:tcW w:w="3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20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12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Marketing</w:t>
            </w:r>
          </w:p>
        </w:tc>
        <w:tc>
          <w:tcPr>
            <w:tcW w:w="236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12/31/14)</w:t>
            </w:r>
          </w:p>
        </w:tc>
        <w:tc>
          <w:tcPr>
            <w:tcW w:w="36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4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V12 Holdings, Inc. </w:t>
            </w:r>
            <w:r>
              <w:rPr>
                <w:rFonts w:ascii="Arial" w:cs="Arial" w:eastAsia="Arial" w:hAnsi="Arial"/>
                <w:sz w:val="18"/>
                <w:szCs w:val="18"/>
                <w:color w:val="auto"/>
                <w:vertAlign w:val="superscript"/>
              </w:rPr>
              <w:t>(1)</w:t>
            </w:r>
          </w:p>
        </w:tc>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Data Processing &amp; Digital</w:t>
            </w:r>
          </w:p>
        </w:tc>
        <w:tc>
          <w:tcPr>
            <w:tcW w:w="2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Senior Subordinated Note (0%</w:t>
            </w:r>
          </w:p>
        </w:tc>
        <w:tc>
          <w:tcPr>
            <w:tcW w:w="3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3,563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2,369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3,563</w:t>
            </w:r>
          </w:p>
        </w:tc>
        <w:tc>
          <w:tcPr>
            <w:tcW w:w="10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12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Marketing</w:t>
            </w:r>
          </w:p>
        </w:tc>
        <w:tc>
          <w:tcPr>
            <w:tcW w:w="236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Cash, Due 12/31/14)</w:t>
            </w:r>
          </w:p>
        </w:tc>
        <w:tc>
          <w:tcPr>
            <w:tcW w:w="36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10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4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V12 Holdings, Inc. </w:t>
            </w:r>
            <w:r>
              <w:rPr>
                <w:rFonts w:ascii="Arial" w:cs="Arial" w:eastAsia="Arial" w:hAnsi="Arial"/>
                <w:sz w:val="18"/>
                <w:szCs w:val="18"/>
                <w:color w:val="auto"/>
                <w:vertAlign w:val="superscript"/>
              </w:rPr>
              <w:t>(1)</w:t>
            </w:r>
          </w:p>
        </w:tc>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Data Processing &amp; Digital</w:t>
            </w:r>
          </w:p>
        </w:tc>
        <w:tc>
          <w:tcPr>
            <w:tcW w:w="2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Tier 3 Note (0% Cash, Due</w:t>
            </w:r>
          </w:p>
        </w:tc>
        <w:tc>
          <w:tcPr>
            <w:tcW w:w="3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20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12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Marketing</w:t>
            </w:r>
          </w:p>
        </w:tc>
        <w:tc>
          <w:tcPr>
            <w:tcW w:w="236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12/31/14)</w:t>
            </w:r>
          </w:p>
        </w:tc>
        <w:tc>
          <w:tcPr>
            <w:tcW w:w="36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4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V12 Holdings, Inc. </w:t>
            </w:r>
            <w:r>
              <w:rPr>
                <w:rFonts w:ascii="Arial" w:cs="Arial" w:eastAsia="Arial" w:hAnsi="Arial"/>
                <w:sz w:val="18"/>
                <w:szCs w:val="18"/>
                <w:color w:val="auto"/>
                <w:vertAlign w:val="superscript"/>
              </w:rPr>
              <w:t>(1)</w:t>
            </w:r>
          </w:p>
        </w:tc>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Data Processing &amp; Digital</w:t>
            </w:r>
          </w:p>
        </w:tc>
        <w:tc>
          <w:tcPr>
            <w:tcW w:w="2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Jr. Subordinated Note (0% Cash,</w:t>
            </w:r>
          </w:p>
        </w:tc>
        <w:tc>
          <w:tcPr>
            <w:tcW w:w="3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2,750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20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12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Marketing</w:t>
            </w:r>
          </w:p>
        </w:tc>
        <w:tc>
          <w:tcPr>
            <w:tcW w:w="236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Due 12/31/14)</w:t>
            </w:r>
          </w:p>
        </w:tc>
        <w:tc>
          <w:tcPr>
            <w:tcW w:w="36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4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V12 Holdings, Inc. </w:t>
            </w:r>
            <w:r>
              <w:rPr>
                <w:rFonts w:ascii="Arial" w:cs="Arial" w:eastAsia="Arial" w:hAnsi="Arial"/>
                <w:sz w:val="18"/>
                <w:szCs w:val="18"/>
                <w:color w:val="auto"/>
                <w:vertAlign w:val="superscript"/>
              </w:rPr>
              <w:t>(1)</w:t>
            </w:r>
          </w:p>
        </w:tc>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Data Processing &amp; Digital</w:t>
            </w:r>
          </w:p>
        </w:tc>
        <w:tc>
          <w:tcPr>
            <w:tcW w:w="2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Tier 4 Note (0% Cash, Due</w:t>
            </w:r>
          </w:p>
        </w:tc>
        <w:tc>
          <w:tcPr>
            <w:tcW w:w="3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12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Marketing</w:t>
            </w:r>
          </w:p>
        </w:tc>
        <w:tc>
          <w:tcPr>
            <w:tcW w:w="236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12/31/14)</w:t>
            </w:r>
          </w:p>
        </w:tc>
        <w:tc>
          <w:tcPr>
            <w:tcW w:w="36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10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w:t>
            </w:r>
          </w:p>
        </w:tc>
        <w:tc>
          <w:tcPr>
            <w:tcW w:w="23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Series A-1 Preferred Stock</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(255,102 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w:t>
            </w:r>
          </w:p>
        </w:tc>
        <w:tc>
          <w:tcPr>
            <w:tcW w:w="23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w w:val="96"/>
              </w:rPr>
              <w:t>Series A-3 Preferred Stock (88,194</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w:t>
            </w:r>
          </w:p>
        </w:tc>
        <w:tc>
          <w:tcPr>
            <w:tcW w:w="23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w w:val="96"/>
              </w:rPr>
              <w:t>Series A-5 Preferred Stock (20,530</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 Inc.</w:t>
            </w:r>
          </w:p>
        </w:tc>
        <w:tc>
          <w:tcPr>
            <w:tcW w:w="2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w:t>
            </w:r>
          </w:p>
        </w:tc>
        <w:tc>
          <w:tcPr>
            <w:tcW w:w="23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Common Stock Warrants</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(2,063,629 warrants)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2,981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5,061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Sub Total Affiliate investments</w:t>
            </w:r>
          </w:p>
        </w:tc>
        <w:tc>
          <w:tcPr>
            <w:tcW w:w="212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163,896</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190,892</w:t>
            </w:r>
          </w:p>
        </w:tc>
        <w:tc>
          <w:tcPr>
            <w:tcW w:w="106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2"/>
                <w:szCs w:val="12"/>
                <w:color w:val="auto"/>
              </w:rPr>
              <w:t>72.2</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- 30.9%</w:t>
            </w:r>
          </w:p>
        </w:tc>
        <w:tc>
          <w:tcPr>
            <w:tcW w:w="21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2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Computer Supply Retail</w:t>
            </w:r>
          </w:p>
        </w:tc>
        <w:tc>
          <w:tcPr>
            <w:tcW w:w="23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Senior Secured Term Debt (12%</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4% PIK, Due 5/24/18)</w:t>
            </w:r>
          </w:p>
        </w:tc>
        <w:tc>
          <w:tcPr>
            <w:tcW w:w="3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10,606</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10,606</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10,606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CableOrganizer Acquisition, LLC</w:t>
            </w:r>
          </w:p>
        </w:tc>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Computer Supply Retail</w:t>
            </w:r>
          </w:p>
        </w:tc>
        <w:tc>
          <w:tcPr>
            <w:tcW w:w="236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6"/>
              </w:rPr>
              <w:t>Common Stock (1,125,000 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1,125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11,731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10,606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4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KBP Investments, LLC </w:t>
            </w:r>
            <w:r>
              <w:rPr>
                <w:rFonts w:ascii="Arial" w:cs="Arial" w:eastAsia="Arial" w:hAnsi="Arial"/>
                <w:sz w:val="18"/>
                <w:szCs w:val="18"/>
                <w:color w:val="auto"/>
                <w:vertAlign w:val="superscript"/>
              </w:rPr>
              <w:t>(6) (7)</w:t>
            </w:r>
          </w:p>
        </w:tc>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QSR Franchisee</w:t>
            </w:r>
          </w:p>
        </w:tc>
        <w:tc>
          <w:tcPr>
            <w:tcW w:w="2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Class A Preferred Stock (8,270</w:t>
            </w:r>
          </w:p>
        </w:tc>
        <w:tc>
          <w:tcPr>
            <w:tcW w:w="3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8,269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8,269</w:t>
            </w:r>
          </w:p>
        </w:tc>
        <w:tc>
          <w:tcPr>
            <w:tcW w:w="10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36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shares, 10% Cash Dividend)</w:t>
            </w:r>
          </w:p>
        </w:tc>
        <w:tc>
          <w:tcPr>
            <w:tcW w:w="36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10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KBP Investments, LLC</w:t>
            </w:r>
          </w:p>
        </w:tc>
        <w:tc>
          <w:tcPr>
            <w:tcW w:w="2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QSR Franchisee</w:t>
            </w:r>
          </w:p>
        </w:tc>
        <w:tc>
          <w:tcPr>
            <w:tcW w:w="23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Class A Common Stock (380,413</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15,830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8,269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24,099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1">
            <w:col w:w="11420"/>
          </w:cols>
          <w:pgMar w:left="240" w:top="865" w:right="239" w:bottom="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Market E's, LLC </w:t>
      </w:r>
      <w:r>
        <w:rPr>
          <w:rFonts w:ascii="Arial" w:cs="Arial" w:eastAsia="Arial" w:hAnsi="Arial"/>
          <w:sz w:val="23"/>
          <w:szCs w:val="23"/>
          <w:color w:val="auto"/>
          <w:vertAlign w:val="superscript"/>
        </w:rPr>
        <w:t>(2)</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Market E's, LLC </w:t>
      </w:r>
      <w:r>
        <w:rPr>
          <w:rFonts w:ascii="Arial" w:cs="Arial" w:eastAsia="Arial" w:hAnsi="Arial"/>
          <w:sz w:val="19"/>
          <w:szCs w:val="19"/>
          <w:color w:val="auto"/>
          <w:vertAlign w:val="superscript"/>
        </w:rPr>
        <w:t>(1) (2)</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Market E's, LLC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Market E's, LLC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Market E's, LLC</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Micro Precision, LLC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20"/>
                <w:szCs w:val="20"/>
                <w:color w:val="auto"/>
              </w:rPr>
            </w:pPr>
            <w:r>
              <w:rPr>
                <w:rFonts w:ascii="Arial" w:cs="Arial" w:eastAsia="Arial" w:hAnsi="Arial"/>
                <w:sz w:val="14"/>
                <w:szCs w:val="14"/>
                <w:color w:val="auto"/>
              </w:rPr>
              <w:t>Online Travel Sales &amp; Marketing</w:t>
            </w:r>
          </w:p>
        </w:tc>
        <w:tc>
          <w:tcPr>
            <w:tcW w:w="2540" w:type="dxa"/>
            <w:vAlign w:val="bottom"/>
          </w:tcPr>
          <w:p>
            <w:pPr>
              <w:ind w:left="120"/>
              <w:spacing w:after="0"/>
              <w:rPr>
                <w:sz w:val="20"/>
                <w:szCs w:val="20"/>
                <w:color w:val="auto"/>
              </w:rPr>
            </w:pPr>
            <w:r>
              <w:rPr>
                <w:rFonts w:ascii="Arial" w:cs="Arial" w:eastAsia="Arial" w:hAnsi="Arial"/>
                <w:sz w:val="14"/>
                <w:szCs w:val="14"/>
                <w:color w:val="auto"/>
              </w:rPr>
              <w:t>Senior Secured Debt (10% Cash,</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2060" w:type="dxa"/>
            <w:vAlign w:val="bottom"/>
          </w:tcPr>
          <w:p>
            <w:pPr>
              <w:spacing w:after="0"/>
              <w:rPr>
                <w:sz w:val="15"/>
                <w:szCs w:val="15"/>
                <w:color w:val="auto"/>
              </w:rPr>
            </w:pPr>
          </w:p>
        </w:tc>
        <w:tc>
          <w:tcPr>
            <w:tcW w:w="2540" w:type="dxa"/>
            <w:vAlign w:val="bottom"/>
          </w:tcPr>
          <w:p>
            <w:pPr>
              <w:ind w:left="120"/>
              <w:spacing w:after="0"/>
              <w:rPr>
                <w:sz w:val="20"/>
                <w:szCs w:val="20"/>
                <w:color w:val="auto"/>
              </w:rPr>
            </w:pPr>
            <w:r>
              <w:rPr>
                <w:rFonts w:ascii="Arial" w:cs="Arial" w:eastAsia="Arial" w:hAnsi="Arial"/>
                <w:sz w:val="14"/>
                <w:szCs w:val="14"/>
                <w:color w:val="auto"/>
              </w:rPr>
              <w:t>Due 5/1/15)</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810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810</w:t>
            </w:r>
          </w:p>
        </w:tc>
        <w:tc>
          <w:tcPr>
            <w:tcW w:w="920" w:type="dxa"/>
            <w:vAlign w:val="bottom"/>
          </w:tcPr>
          <w:p>
            <w:pPr>
              <w:jc w:val="right"/>
              <w:spacing w:after="0"/>
              <w:rPr>
                <w:sz w:val="20"/>
                <w:szCs w:val="20"/>
                <w:color w:val="auto"/>
              </w:rPr>
            </w:pPr>
            <w:r>
              <w:rPr>
                <w:rFonts w:ascii="Arial" w:cs="Arial" w:eastAsia="Arial" w:hAnsi="Arial"/>
                <w:sz w:val="14"/>
                <w:szCs w:val="14"/>
                <w:color w:val="auto"/>
              </w:rPr>
              <w:t>810</w:t>
            </w:r>
          </w:p>
        </w:tc>
        <w:tc>
          <w:tcPr>
            <w:tcW w:w="20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0.3%</w:t>
            </w:r>
          </w:p>
        </w:tc>
      </w:tr>
      <w:tr>
        <w:trPr>
          <w:trHeight w:val="263"/>
        </w:trPr>
        <w:tc>
          <w:tcPr>
            <w:tcW w:w="2060" w:type="dxa"/>
            <w:vAlign w:val="bottom"/>
          </w:tcPr>
          <w:p>
            <w:pPr>
              <w:spacing w:after="0"/>
              <w:rPr>
                <w:sz w:val="20"/>
                <w:szCs w:val="20"/>
                <w:color w:val="auto"/>
              </w:rPr>
            </w:pPr>
            <w:r>
              <w:rPr>
                <w:rFonts w:ascii="Arial" w:cs="Arial" w:eastAsia="Arial" w:hAnsi="Arial"/>
                <w:sz w:val="14"/>
                <w:szCs w:val="14"/>
                <w:color w:val="auto"/>
              </w:rPr>
              <w:t>Online Travel Sales &amp; Marketing</w:t>
            </w:r>
          </w:p>
        </w:tc>
        <w:tc>
          <w:tcPr>
            <w:tcW w:w="2540" w:type="dxa"/>
            <w:vAlign w:val="bottom"/>
          </w:tcPr>
          <w:p>
            <w:pPr>
              <w:ind w:left="120"/>
              <w:spacing w:after="0"/>
              <w:rPr>
                <w:sz w:val="20"/>
                <w:szCs w:val="20"/>
                <w:color w:val="auto"/>
              </w:rPr>
            </w:pPr>
            <w:r>
              <w:rPr>
                <w:rFonts w:ascii="Arial" w:cs="Arial" w:eastAsia="Arial" w:hAnsi="Arial"/>
                <w:sz w:val="14"/>
                <w:szCs w:val="14"/>
                <w:color w:val="auto"/>
              </w:rPr>
              <w:t>Subordinated Debt (14% Cash, 3%</w:t>
            </w: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82"/>
        </w:trPr>
        <w:tc>
          <w:tcPr>
            <w:tcW w:w="2060" w:type="dxa"/>
            <w:vAlign w:val="bottom"/>
          </w:tcPr>
          <w:p>
            <w:pPr>
              <w:spacing w:after="0"/>
              <w:rPr>
                <w:sz w:val="15"/>
                <w:szCs w:val="15"/>
                <w:color w:val="auto"/>
              </w:rPr>
            </w:pPr>
          </w:p>
        </w:tc>
        <w:tc>
          <w:tcPr>
            <w:tcW w:w="2540" w:type="dxa"/>
            <w:vAlign w:val="bottom"/>
          </w:tcPr>
          <w:p>
            <w:pPr>
              <w:ind w:left="120"/>
              <w:spacing w:after="0"/>
              <w:rPr>
                <w:sz w:val="20"/>
                <w:szCs w:val="20"/>
                <w:color w:val="auto"/>
              </w:rPr>
            </w:pPr>
            <w:r>
              <w:rPr>
                <w:rFonts w:ascii="Arial" w:cs="Arial" w:eastAsia="Arial" w:hAnsi="Arial"/>
                <w:sz w:val="14"/>
                <w:szCs w:val="14"/>
                <w:color w:val="auto"/>
              </w:rPr>
              <w:t>PIK, Due 12/31/14)</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2,897</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2,833</w:t>
            </w:r>
          </w:p>
        </w:tc>
        <w:tc>
          <w:tcPr>
            <w:tcW w:w="920" w:type="dxa"/>
            <w:vAlign w:val="bottom"/>
          </w:tcPr>
          <w:p>
            <w:pPr>
              <w:jc w:val="right"/>
              <w:spacing w:after="0"/>
              <w:rPr>
                <w:sz w:val="20"/>
                <w:szCs w:val="20"/>
                <w:color w:val="auto"/>
              </w:rPr>
            </w:pPr>
            <w:r>
              <w:rPr>
                <w:rFonts w:ascii="Arial" w:cs="Arial" w:eastAsia="Arial" w:hAnsi="Arial"/>
                <w:sz w:val="14"/>
                <w:szCs w:val="14"/>
                <w:color w:val="auto"/>
              </w:rPr>
              <w:t>800</w:t>
            </w:r>
          </w:p>
        </w:tc>
        <w:tc>
          <w:tcPr>
            <w:tcW w:w="20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0.3%</w:t>
            </w:r>
          </w:p>
        </w:tc>
      </w:tr>
      <w:tr>
        <w:trPr>
          <w:trHeight w:val="263"/>
        </w:trPr>
        <w:tc>
          <w:tcPr>
            <w:tcW w:w="2060" w:type="dxa"/>
            <w:vAlign w:val="bottom"/>
          </w:tcPr>
          <w:p>
            <w:pPr>
              <w:spacing w:after="0"/>
              <w:rPr>
                <w:sz w:val="20"/>
                <w:szCs w:val="20"/>
                <w:color w:val="auto"/>
              </w:rPr>
            </w:pPr>
            <w:r>
              <w:rPr>
                <w:rFonts w:ascii="Arial" w:cs="Arial" w:eastAsia="Arial" w:hAnsi="Arial"/>
                <w:sz w:val="14"/>
                <w:szCs w:val="14"/>
                <w:color w:val="auto"/>
              </w:rPr>
              <w:t>Online Travel Sales &amp; Marketing</w:t>
            </w:r>
          </w:p>
        </w:tc>
        <w:tc>
          <w:tcPr>
            <w:tcW w:w="2540" w:type="dxa"/>
            <w:vAlign w:val="bottom"/>
          </w:tcPr>
          <w:p>
            <w:pPr>
              <w:ind w:left="120"/>
              <w:spacing w:after="0"/>
              <w:rPr>
                <w:sz w:val="20"/>
                <w:szCs w:val="20"/>
                <w:color w:val="auto"/>
              </w:rPr>
            </w:pPr>
            <w:r>
              <w:rPr>
                <w:rFonts w:ascii="Arial" w:cs="Arial" w:eastAsia="Arial" w:hAnsi="Arial"/>
                <w:sz w:val="14"/>
                <w:szCs w:val="14"/>
                <w:color w:val="auto"/>
              </w:rPr>
              <w:t>Class A Preferred Stock (600</w:t>
            </w: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82"/>
        </w:trPr>
        <w:tc>
          <w:tcPr>
            <w:tcW w:w="2060" w:type="dxa"/>
            <w:vAlign w:val="bottom"/>
          </w:tcPr>
          <w:p>
            <w:pPr>
              <w:spacing w:after="0"/>
              <w:rPr>
                <w:sz w:val="15"/>
                <w:szCs w:val="15"/>
                <w:color w:val="auto"/>
              </w:rPr>
            </w:pPr>
          </w:p>
        </w:tc>
        <w:tc>
          <w:tcPr>
            <w:tcW w:w="2540" w:type="dxa"/>
            <w:vAlign w:val="bottom"/>
          </w:tcPr>
          <w:p>
            <w:pPr>
              <w:ind w:left="120"/>
              <w:spacing w:after="0"/>
              <w:rPr>
                <w:sz w:val="20"/>
                <w:szCs w:val="20"/>
                <w:color w:val="auto"/>
              </w:rPr>
            </w:pPr>
            <w:r>
              <w:rPr>
                <w:rFonts w:ascii="Arial" w:cs="Arial" w:eastAsia="Arial" w:hAnsi="Arial"/>
                <w:sz w:val="14"/>
                <w:szCs w:val="14"/>
                <w:color w:val="auto"/>
              </w:rPr>
              <w:t>shares)</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240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263"/>
        </w:trPr>
        <w:tc>
          <w:tcPr>
            <w:tcW w:w="2060" w:type="dxa"/>
            <w:vAlign w:val="bottom"/>
          </w:tcPr>
          <w:p>
            <w:pPr>
              <w:spacing w:after="0"/>
              <w:rPr>
                <w:sz w:val="20"/>
                <w:szCs w:val="20"/>
                <w:color w:val="auto"/>
              </w:rPr>
            </w:pPr>
            <w:r>
              <w:rPr>
                <w:rFonts w:ascii="Arial" w:cs="Arial" w:eastAsia="Arial" w:hAnsi="Arial"/>
                <w:sz w:val="14"/>
                <w:szCs w:val="14"/>
                <w:color w:val="auto"/>
              </w:rPr>
              <w:t>Online Travel Sales &amp; Marketing</w:t>
            </w:r>
          </w:p>
        </w:tc>
        <w:tc>
          <w:tcPr>
            <w:tcW w:w="2540" w:type="dxa"/>
            <w:vAlign w:val="bottom"/>
          </w:tcPr>
          <w:p>
            <w:pPr>
              <w:ind w:left="120"/>
              <w:spacing w:after="0"/>
              <w:rPr>
                <w:sz w:val="20"/>
                <w:szCs w:val="20"/>
                <w:color w:val="auto"/>
              </w:rPr>
            </w:pPr>
            <w:r>
              <w:rPr>
                <w:rFonts w:ascii="Arial" w:cs="Arial" w:eastAsia="Arial" w:hAnsi="Arial"/>
                <w:sz w:val="14"/>
                <w:szCs w:val="14"/>
                <w:color w:val="auto"/>
              </w:rPr>
              <w:t>Class B Preferred Stock (2,411</w:t>
            </w: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82"/>
        </w:trPr>
        <w:tc>
          <w:tcPr>
            <w:tcW w:w="2060" w:type="dxa"/>
            <w:vAlign w:val="bottom"/>
          </w:tcPr>
          <w:p>
            <w:pPr>
              <w:spacing w:after="0"/>
              <w:rPr>
                <w:sz w:val="15"/>
                <w:szCs w:val="15"/>
                <w:color w:val="auto"/>
              </w:rPr>
            </w:pPr>
          </w:p>
        </w:tc>
        <w:tc>
          <w:tcPr>
            <w:tcW w:w="2540" w:type="dxa"/>
            <w:vAlign w:val="bottom"/>
          </w:tcPr>
          <w:p>
            <w:pPr>
              <w:ind w:left="120"/>
              <w:spacing w:after="0"/>
              <w:rPr>
                <w:sz w:val="20"/>
                <w:szCs w:val="20"/>
                <w:color w:val="auto"/>
              </w:rPr>
            </w:pPr>
            <w:r>
              <w:rPr>
                <w:rFonts w:ascii="Arial" w:cs="Arial" w:eastAsia="Arial" w:hAnsi="Arial"/>
                <w:sz w:val="14"/>
                <w:szCs w:val="14"/>
                <w:color w:val="auto"/>
              </w:rPr>
              <w:t>shares)</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965</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263"/>
        </w:trPr>
        <w:tc>
          <w:tcPr>
            <w:tcW w:w="2060" w:type="dxa"/>
            <w:vAlign w:val="bottom"/>
          </w:tcPr>
          <w:p>
            <w:pPr>
              <w:spacing w:after="0"/>
              <w:rPr>
                <w:sz w:val="20"/>
                <w:szCs w:val="20"/>
                <w:color w:val="auto"/>
              </w:rPr>
            </w:pPr>
            <w:r>
              <w:rPr>
                <w:rFonts w:ascii="Arial" w:cs="Arial" w:eastAsia="Arial" w:hAnsi="Arial"/>
                <w:sz w:val="14"/>
                <w:szCs w:val="14"/>
                <w:color w:val="auto"/>
              </w:rPr>
              <w:t>Online Travel Sales &amp; Marketing</w:t>
            </w:r>
          </w:p>
        </w:tc>
        <w:tc>
          <w:tcPr>
            <w:tcW w:w="2540" w:type="dxa"/>
            <w:vAlign w:val="bottom"/>
          </w:tcPr>
          <w:p>
            <w:pPr>
              <w:ind w:left="120"/>
              <w:spacing w:after="0"/>
              <w:rPr>
                <w:sz w:val="20"/>
                <w:szCs w:val="20"/>
                <w:color w:val="auto"/>
              </w:rPr>
            </w:pPr>
            <w:r>
              <w:rPr>
                <w:rFonts w:ascii="Arial" w:cs="Arial" w:eastAsia="Arial" w:hAnsi="Arial"/>
                <w:sz w:val="14"/>
                <w:szCs w:val="14"/>
                <w:color w:val="auto"/>
              </w:rPr>
              <w:t>Class A Common Stock (600</w:t>
            </w: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81"/>
        </w:trPr>
        <w:tc>
          <w:tcPr>
            <w:tcW w:w="2060" w:type="dxa"/>
            <w:vAlign w:val="bottom"/>
          </w:tcPr>
          <w:p>
            <w:pPr>
              <w:spacing w:after="0"/>
              <w:rPr>
                <w:sz w:val="15"/>
                <w:szCs w:val="15"/>
                <w:color w:val="auto"/>
              </w:rPr>
            </w:pPr>
          </w:p>
        </w:tc>
        <w:tc>
          <w:tcPr>
            <w:tcW w:w="2540" w:type="dxa"/>
            <w:vAlign w:val="bottom"/>
          </w:tcPr>
          <w:p>
            <w:pPr>
              <w:ind w:left="120"/>
              <w:spacing w:after="0"/>
              <w:rPr>
                <w:sz w:val="20"/>
                <w:szCs w:val="20"/>
                <w:color w:val="auto"/>
              </w:rPr>
            </w:pPr>
            <w:r>
              <w:rPr>
                <w:rFonts w:ascii="Arial" w:cs="Arial" w:eastAsia="Arial" w:hAnsi="Arial"/>
                <w:sz w:val="14"/>
                <w:szCs w:val="14"/>
                <w:color w:val="auto"/>
              </w:rPr>
              <w:t>shares)</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20"/>
        </w:trPr>
        <w:tc>
          <w:tcPr>
            <w:tcW w:w="20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20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4,848</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1,610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0.6%</w:t>
            </w:r>
          </w:p>
        </w:tc>
      </w:tr>
      <w:tr>
        <w:trPr>
          <w:trHeight w:val="272"/>
        </w:trPr>
        <w:tc>
          <w:tcPr>
            <w:tcW w:w="2060" w:type="dxa"/>
            <w:vAlign w:val="bottom"/>
          </w:tcPr>
          <w:p>
            <w:pPr>
              <w:spacing w:after="0"/>
              <w:rPr>
                <w:sz w:val="20"/>
                <w:szCs w:val="20"/>
                <w:color w:val="auto"/>
              </w:rPr>
            </w:pPr>
            <w:r>
              <w:rPr>
                <w:rFonts w:ascii="Arial" w:cs="Arial" w:eastAsia="Arial" w:hAnsi="Arial"/>
                <w:sz w:val="14"/>
                <w:szCs w:val="14"/>
                <w:color w:val="auto"/>
              </w:rPr>
              <w:t>Conglomerate</w:t>
            </w:r>
          </w:p>
        </w:tc>
        <w:tc>
          <w:tcPr>
            <w:tcW w:w="2540" w:type="dxa"/>
            <w:vAlign w:val="bottom"/>
          </w:tcPr>
          <w:p>
            <w:pPr>
              <w:ind w:left="120"/>
              <w:spacing w:after="0"/>
              <w:rPr>
                <w:sz w:val="20"/>
                <w:szCs w:val="20"/>
                <w:color w:val="auto"/>
              </w:rPr>
            </w:pPr>
            <w:r>
              <w:rPr>
                <w:rFonts w:ascii="Arial" w:cs="Arial" w:eastAsia="Arial" w:hAnsi="Arial"/>
                <w:sz w:val="14"/>
                <w:szCs w:val="14"/>
                <w:color w:val="auto"/>
              </w:rPr>
              <w:t>Subordinated Debt (10% Cash, Due</w:t>
            </w:r>
          </w:p>
        </w:tc>
        <w:tc>
          <w:tcPr>
            <w:tcW w:w="88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182"/>
        </w:trPr>
        <w:tc>
          <w:tcPr>
            <w:tcW w:w="2060" w:type="dxa"/>
            <w:vAlign w:val="bottom"/>
          </w:tcPr>
          <w:p>
            <w:pPr>
              <w:spacing w:after="0"/>
              <w:rPr>
                <w:sz w:val="15"/>
                <w:szCs w:val="15"/>
                <w:color w:val="auto"/>
              </w:rPr>
            </w:pPr>
          </w:p>
        </w:tc>
        <w:tc>
          <w:tcPr>
            <w:tcW w:w="2540" w:type="dxa"/>
            <w:vAlign w:val="bottom"/>
          </w:tcPr>
          <w:p>
            <w:pPr>
              <w:ind w:left="120"/>
              <w:spacing w:after="0"/>
              <w:rPr>
                <w:sz w:val="20"/>
                <w:szCs w:val="20"/>
                <w:color w:val="auto"/>
              </w:rPr>
            </w:pPr>
            <w:r>
              <w:rPr>
                <w:rFonts w:ascii="Arial" w:cs="Arial" w:eastAsia="Arial" w:hAnsi="Arial"/>
                <w:sz w:val="14"/>
                <w:szCs w:val="14"/>
                <w:color w:val="auto"/>
              </w:rPr>
              <w:t>9/16/16)</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1,862</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1,862</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1,862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-1835785</wp:posOffset>
            </wp:positionV>
            <wp:extent cx="724662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-1552575</wp:posOffset>
            </wp:positionV>
            <wp:extent cx="7246620"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-1269365</wp:posOffset>
            </wp:positionV>
            <wp:extent cx="724662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-986790</wp:posOffset>
            </wp:positionV>
            <wp:extent cx="7246620"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-703580</wp:posOffset>
            </wp:positionV>
            <wp:extent cx="7246620" cy="1974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-403225</wp:posOffset>
            </wp:positionV>
            <wp:extent cx="7246620" cy="1028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-197485</wp:posOffset>
            </wp:positionV>
            <wp:extent cx="7246620"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85090</wp:posOffset>
            </wp:positionV>
            <wp:extent cx="7246620" cy="704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70485"/>
                    </a:xfrm>
                    <a:prstGeom prst="rect">
                      <a:avLst/>
                    </a:prstGeom>
                    <a:noFill/>
                  </pic:spPr>
                </pic:pic>
              </a:graphicData>
            </a:graphic>
          </wp:anchor>
        </w:drawing>
      </w:r>
    </w:p>
    <w:p>
      <w:pPr>
        <w:sectPr>
          <w:pgSz w:w="11900" w:h="16838" w:orient="portrait"/>
          <w:cols w:equalWidth="0" w:num="2">
            <w:col w:w="1920" w:space="720"/>
            <w:col w:w="8780"/>
          </w:cols>
          <w:pgMar w:left="240" w:top="865" w:right="239" w:bottom="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Micro Precision, LLC</w:t>
            </w:r>
          </w:p>
        </w:tc>
        <w:tc>
          <w:tcPr>
            <w:tcW w:w="2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Conglomerate</w:t>
            </w:r>
          </w:p>
        </w:tc>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Subordinated Debt (14% Cash, 4%</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3,623</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3,623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3,623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PIK, Due 9/16/16)</w:t>
            </w:r>
          </w:p>
        </w:tc>
        <w:tc>
          <w:tcPr>
            <w:tcW w:w="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Micro Precision, LLC</w:t>
            </w:r>
          </w:p>
        </w:tc>
        <w:tc>
          <w:tcPr>
            <w:tcW w:w="2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Conglomerate</w:t>
            </w:r>
          </w:p>
        </w:tc>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Series A Preferred Units (47 units)</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1,628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1,740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7,113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7,225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Navis Holdings, Inc.</w:t>
            </w:r>
          </w:p>
        </w:tc>
        <w:tc>
          <w:tcPr>
            <w:tcW w:w="228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Textile Equipment Manufacturer</w:t>
            </w:r>
          </w:p>
        </w:tc>
        <w:tc>
          <w:tcPr>
            <w:tcW w:w="250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Senior Secured Term Debt (17%,</w:t>
            </w:r>
          </w:p>
        </w:tc>
        <w:tc>
          <w:tcPr>
            <w:tcW w:w="9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2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3% PIK at Company's option, Due</w:t>
            </w: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2/1/16)</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6,500</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6,500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8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Navis Holdings, Inc. </w:t>
            </w:r>
            <w:r>
              <w:rPr>
                <w:rFonts w:ascii="Arial" w:cs="Arial" w:eastAsia="Arial" w:hAnsi="Arial"/>
                <w:sz w:val="18"/>
                <w:szCs w:val="18"/>
                <w:color w:val="auto"/>
                <w:vertAlign w:val="superscript"/>
              </w:rPr>
              <w:t>(6)</w:t>
            </w:r>
          </w:p>
        </w:tc>
        <w:tc>
          <w:tcPr>
            <w:tcW w:w="2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Textile Equipment Manufacturer</w:t>
            </w:r>
          </w:p>
        </w:tc>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Class A Preferred Stock (1,000</w:t>
            </w:r>
          </w:p>
        </w:tc>
        <w:tc>
          <w:tcPr>
            <w:tcW w:w="94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1,000</w:t>
            </w:r>
          </w:p>
        </w:tc>
        <w:tc>
          <w:tcPr>
            <w:tcW w:w="10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250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shares, 10% Cash Dividend)</w:t>
            </w:r>
          </w:p>
        </w:tc>
        <w:tc>
          <w:tcPr>
            <w:tcW w:w="940" w:type="dxa"/>
            <w:vAlign w:val="bottom"/>
            <w:vMerge w:val="continue"/>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10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Navis Holdings, Inc.</w:t>
            </w:r>
          </w:p>
        </w:tc>
        <w:tc>
          <w:tcPr>
            <w:tcW w:w="2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Textile Equipment Manufacturer</w:t>
            </w:r>
          </w:p>
        </w:tc>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 (300,000 shares)</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2,286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9,786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228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Fuel Transportation Services</w:t>
            </w:r>
          </w:p>
        </w:tc>
        <w:tc>
          <w:tcPr>
            <w:tcW w:w="250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Subordinated Debt (14% Cash, 4%</w:t>
            </w:r>
          </w:p>
        </w:tc>
        <w:tc>
          <w:tcPr>
            <w:tcW w:w="9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PIK, Due 12/19/16)</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4,946</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4,946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4,946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228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Fuel Transportation Services</w:t>
            </w:r>
          </w:p>
        </w:tc>
        <w:tc>
          <w:tcPr>
            <w:tcW w:w="250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Series A Preferred Stock (32,782</w:t>
            </w:r>
          </w:p>
        </w:tc>
        <w:tc>
          <w:tcPr>
            <w:tcW w:w="9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3,278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8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On-Site Fuel Services, Inc. </w:t>
            </w:r>
            <w:r>
              <w:rPr>
                <w:rFonts w:ascii="Arial" w:cs="Arial" w:eastAsia="Arial" w:hAnsi="Arial"/>
                <w:sz w:val="18"/>
                <w:szCs w:val="18"/>
                <w:color w:val="auto"/>
                <w:vertAlign w:val="superscript"/>
              </w:rPr>
              <w:t>(6)</w:t>
            </w:r>
          </w:p>
        </w:tc>
        <w:tc>
          <w:tcPr>
            <w:tcW w:w="2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Fuel Transportation Services</w:t>
            </w:r>
          </w:p>
        </w:tc>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Series B Preferred Stock (14%</w:t>
            </w:r>
          </w:p>
        </w:tc>
        <w:tc>
          <w:tcPr>
            <w:tcW w:w="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3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10"/>
                <w:szCs w:val="10"/>
                <w:color w:val="auto"/>
              </w:rPr>
            </w:pPr>
          </w:p>
        </w:tc>
        <w:tc>
          <w:tcPr>
            <w:tcW w:w="2500" w:type="dxa"/>
            <w:vAlign w:val="bottom"/>
            <w:shd w:val="clear" w:color="auto" w:fill="CCEEFF"/>
          </w:tcPr>
          <w:p>
            <w:pPr>
              <w:ind w:left="140"/>
              <w:spacing w:after="0" w:line="116" w:lineRule="exact"/>
              <w:rPr>
                <w:sz w:val="20"/>
                <w:szCs w:val="20"/>
                <w:color w:val="auto"/>
              </w:rPr>
            </w:pPr>
            <w:r>
              <w:rPr>
                <w:rFonts w:ascii="Arial" w:cs="Arial" w:eastAsia="Arial" w:hAnsi="Arial"/>
                <w:sz w:val="13"/>
                <w:szCs w:val="13"/>
                <w:color w:val="auto"/>
              </w:rPr>
              <w:t>scheduled cash dividend, 4% PIK</w:t>
            </w:r>
          </w:p>
        </w:tc>
        <w:tc>
          <w:tcPr>
            <w:tcW w:w="9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2,365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2,676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On-Site Fuel Services, Inc.</w:t>
            </w:r>
          </w:p>
        </w:tc>
        <w:tc>
          <w:tcPr>
            <w:tcW w:w="2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Fuel Transportation Services</w:t>
            </w:r>
          </w:p>
        </w:tc>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 (33,107 shares)</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10,622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7,622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80" w:type="dxa"/>
            <w:vAlign w:val="bottom"/>
          </w:tcPr>
          <w:p>
            <w:pPr>
              <w:spacing w:after="0" w:line="130" w:lineRule="exact"/>
              <w:rPr>
                <w:sz w:val="20"/>
                <w:szCs w:val="20"/>
                <w:color w:val="auto"/>
              </w:rPr>
            </w:pPr>
            <w:r>
              <w:rPr>
                <w:rFonts w:ascii="Arial" w:cs="Arial" w:eastAsia="Arial" w:hAnsi="Arial"/>
                <w:sz w:val="14"/>
                <w:szCs w:val="14"/>
                <w:color w:val="auto"/>
              </w:rPr>
              <w:t>Print Direction, Inc.</w:t>
            </w:r>
          </w:p>
        </w:tc>
        <w:tc>
          <w:tcPr>
            <w:tcW w:w="2280" w:type="dxa"/>
            <w:vAlign w:val="bottom"/>
          </w:tcPr>
          <w:p>
            <w:pPr>
              <w:ind w:left="240"/>
              <w:spacing w:after="0" w:line="130" w:lineRule="exact"/>
              <w:rPr>
                <w:sz w:val="20"/>
                <w:szCs w:val="20"/>
                <w:color w:val="auto"/>
              </w:rPr>
            </w:pPr>
            <w:r>
              <w:rPr>
                <w:rFonts w:ascii="Arial" w:cs="Arial" w:eastAsia="Arial" w:hAnsi="Arial"/>
                <w:sz w:val="14"/>
                <w:szCs w:val="14"/>
                <w:color w:val="auto"/>
              </w:rPr>
              <w:t>Printing Services</w:t>
            </w:r>
          </w:p>
        </w:tc>
        <w:tc>
          <w:tcPr>
            <w:tcW w:w="2500" w:type="dxa"/>
            <w:vAlign w:val="bottom"/>
          </w:tcPr>
          <w:p>
            <w:pPr>
              <w:ind w:left="140"/>
              <w:spacing w:after="0" w:line="130" w:lineRule="exact"/>
              <w:rPr>
                <w:sz w:val="20"/>
                <w:szCs w:val="20"/>
                <w:color w:val="auto"/>
              </w:rPr>
            </w:pPr>
            <w:r>
              <w:rPr>
                <w:rFonts w:ascii="Arial" w:cs="Arial" w:eastAsia="Arial" w:hAnsi="Arial"/>
                <w:sz w:val="14"/>
                <w:szCs w:val="14"/>
                <w:color w:val="auto"/>
              </w:rPr>
              <w:t>Senior Secured Term Debt (15%</w:t>
            </w: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500" w:type="dxa"/>
            <w:vAlign w:val="bottom"/>
          </w:tcPr>
          <w:p>
            <w:pPr>
              <w:ind w:left="140"/>
              <w:spacing w:after="0"/>
              <w:rPr>
                <w:sz w:val="20"/>
                <w:szCs w:val="20"/>
                <w:color w:val="auto"/>
              </w:rPr>
            </w:pPr>
            <w:r>
              <w:rPr>
                <w:rFonts w:ascii="Arial" w:cs="Arial" w:eastAsia="Arial" w:hAnsi="Arial"/>
                <w:sz w:val="14"/>
                <w:szCs w:val="14"/>
                <w:color w:val="auto"/>
              </w:rPr>
              <w:t>Cash, Due 2/24/19)</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14,000</w:t>
            </w:r>
          </w:p>
        </w:tc>
        <w:tc>
          <w:tcPr>
            <w:tcW w:w="2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14,000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14,000</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80" w:type="dxa"/>
            <w:vAlign w:val="bottom"/>
          </w:tcPr>
          <w:p>
            <w:pPr>
              <w:spacing w:after="0" w:line="149" w:lineRule="exact"/>
              <w:rPr>
                <w:sz w:val="20"/>
                <w:szCs w:val="20"/>
                <w:color w:val="auto"/>
              </w:rPr>
            </w:pPr>
            <w:r>
              <w:rPr>
                <w:rFonts w:ascii="Arial" w:cs="Arial" w:eastAsia="Arial" w:hAnsi="Arial"/>
                <w:sz w:val="14"/>
                <w:szCs w:val="14"/>
                <w:color w:val="auto"/>
              </w:rPr>
              <w:t>Print Direction, Inc.</w:t>
            </w:r>
          </w:p>
        </w:tc>
        <w:tc>
          <w:tcPr>
            <w:tcW w:w="2280" w:type="dxa"/>
            <w:vAlign w:val="bottom"/>
          </w:tcPr>
          <w:p>
            <w:pPr>
              <w:ind w:left="240"/>
              <w:spacing w:after="0" w:line="149" w:lineRule="exact"/>
              <w:rPr>
                <w:sz w:val="20"/>
                <w:szCs w:val="20"/>
                <w:color w:val="auto"/>
              </w:rPr>
            </w:pPr>
            <w:r>
              <w:rPr>
                <w:rFonts w:ascii="Arial" w:cs="Arial" w:eastAsia="Arial" w:hAnsi="Arial"/>
                <w:sz w:val="14"/>
                <w:szCs w:val="14"/>
                <w:color w:val="auto"/>
              </w:rPr>
              <w:t>Printing Services</w:t>
            </w:r>
          </w:p>
        </w:tc>
        <w:tc>
          <w:tcPr>
            <w:tcW w:w="2500" w:type="dxa"/>
            <w:vAlign w:val="bottom"/>
          </w:tcPr>
          <w:p>
            <w:pPr>
              <w:ind w:left="140"/>
              <w:spacing w:after="0" w:line="149" w:lineRule="exact"/>
              <w:rPr>
                <w:sz w:val="20"/>
                <w:szCs w:val="20"/>
                <w:color w:val="auto"/>
              </w:rPr>
            </w:pPr>
            <w:r>
              <w:rPr>
                <w:rFonts w:ascii="Arial" w:cs="Arial" w:eastAsia="Arial" w:hAnsi="Arial"/>
                <w:sz w:val="14"/>
                <w:szCs w:val="14"/>
                <w:color w:val="auto"/>
              </w:rPr>
              <w:t>Common Stock (19,363 shares)</w:t>
            </w:r>
          </w:p>
        </w:tc>
        <w:tc>
          <w:tcPr>
            <w:tcW w:w="94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2,990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6,266</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80" w:type="dxa"/>
            <w:vAlign w:val="bottom"/>
          </w:tcPr>
          <w:p>
            <w:pPr>
              <w:spacing w:after="0" w:line="130" w:lineRule="exact"/>
              <w:rPr>
                <w:sz w:val="20"/>
                <w:szCs w:val="20"/>
                <w:color w:val="auto"/>
              </w:rPr>
            </w:pPr>
            <w:r>
              <w:rPr>
                <w:rFonts w:ascii="Arial" w:cs="Arial" w:eastAsia="Arial" w:hAnsi="Arial"/>
                <w:sz w:val="14"/>
                <w:szCs w:val="14"/>
                <w:color w:val="auto"/>
              </w:rPr>
              <w:t>Print Direction, Inc.</w:t>
            </w:r>
          </w:p>
        </w:tc>
        <w:tc>
          <w:tcPr>
            <w:tcW w:w="2280" w:type="dxa"/>
            <w:vAlign w:val="bottom"/>
          </w:tcPr>
          <w:p>
            <w:pPr>
              <w:ind w:left="240"/>
              <w:spacing w:after="0" w:line="130" w:lineRule="exact"/>
              <w:rPr>
                <w:sz w:val="20"/>
                <w:szCs w:val="20"/>
                <w:color w:val="auto"/>
              </w:rPr>
            </w:pPr>
            <w:r>
              <w:rPr>
                <w:rFonts w:ascii="Arial" w:cs="Arial" w:eastAsia="Arial" w:hAnsi="Arial"/>
                <w:sz w:val="14"/>
                <w:szCs w:val="14"/>
                <w:color w:val="auto"/>
              </w:rPr>
              <w:t>Printing Services</w:t>
            </w:r>
          </w:p>
        </w:tc>
        <w:tc>
          <w:tcPr>
            <w:tcW w:w="2500" w:type="dxa"/>
            <w:vAlign w:val="bottom"/>
          </w:tcPr>
          <w:p>
            <w:pPr>
              <w:ind w:left="140"/>
              <w:spacing w:after="0" w:line="130" w:lineRule="exact"/>
              <w:rPr>
                <w:sz w:val="20"/>
                <w:szCs w:val="20"/>
                <w:color w:val="auto"/>
              </w:rPr>
            </w:pPr>
            <w:r>
              <w:rPr>
                <w:rFonts w:ascii="Arial" w:cs="Arial" w:eastAsia="Arial" w:hAnsi="Arial"/>
                <w:sz w:val="14"/>
                <w:szCs w:val="14"/>
                <w:color w:val="auto"/>
              </w:rPr>
              <w:t>Common Stock Warrants (3% fully</w:t>
            </w: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500" w:type="dxa"/>
            <w:vAlign w:val="bottom"/>
          </w:tcPr>
          <w:p>
            <w:pPr>
              <w:ind w:left="140"/>
              <w:spacing w:after="0"/>
              <w:rPr>
                <w:sz w:val="20"/>
                <w:szCs w:val="20"/>
                <w:color w:val="auto"/>
              </w:rPr>
            </w:pPr>
            <w:r>
              <w:rPr>
                <w:rFonts w:ascii="Arial" w:cs="Arial" w:eastAsia="Arial" w:hAnsi="Arial"/>
                <w:sz w:val="14"/>
                <w:szCs w:val="14"/>
                <w:color w:val="auto"/>
              </w:rPr>
              <w:t>diluted)</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277</w:t>
            </w:r>
          </w:p>
        </w:tc>
        <w:tc>
          <w:tcPr>
            <w:tcW w:w="20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CCEEFF"/>
            </w:tcBorders>
            <w:shd w:val="clear" w:color="auto" w:fill="CCEEFF"/>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16,990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20,543</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8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CCEEFF"/>
            </w:tcBorders>
            <w:shd w:val="clear" w:color="auto" w:fill="CCEEFF"/>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4"/>
                <w:szCs w:val="14"/>
                <w:b w:val="1"/>
                <w:bCs w:val="1"/>
                <w:color w:val="auto"/>
              </w:rPr>
              <w:t>Sub Total Control investments</w:t>
            </w:r>
          </w:p>
        </w:tc>
        <w:tc>
          <w:tcPr>
            <w:tcW w:w="2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67,074</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81,491</w:t>
            </w:r>
          </w:p>
        </w:tc>
        <w:tc>
          <w:tcPr>
            <w:tcW w:w="1060" w:type="dxa"/>
            <w:vAlign w:val="bottom"/>
            <w:gridSpan w:val="2"/>
          </w:tcPr>
          <w:p>
            <w:pPr>
              <w:jc w:val="right"/>
              <w:ind w:right="20"/>
              <w:spacing w:after="0" w:line="176" w:lineRule="exact"/>
              <w:rPr>
                <w:sz w:val="20"/>
                <w:szCs w:val="20"/>
                <w:color w:val="auto"/>
              </w:rPr>
            </w:pPr>
            <w:r>
              <w:rPr>
                <w:rFonts w:ascii="Arial" w:cs="Arial" w:eastAsia="Arial" w:hAnsi="Arial"/>
                <w:sz w:val="12"/>
                <w:szCs w:val="12"/>
                <w:color w:val="auto"/>
              </w:rPr>
              <w:t>30.9</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380" w:type="dxa"/>
            <w:vAlign w:val="bottom"/>
            <w:tcBorders>
              <w:top w:val="single" w:sz="8" w:color="CCEEFF"/>
            </w:tcBorders>
            <w:shd w:val="clear" w:color="auto" w:fill="CCEEFF"/>
          </w:tcPr>
          <w:p>
            <w:pPr>
              <w:spacing w:after="0"/>
              <w:rPr>
                <w:sz w:val="11"/>
                <w:szCs w:val="11"/>
                <w:color w:val="auto"/>
              </w:rPr>
            </w:pPr>
          </w:p>
        </w:tc>
        <w:tc>
          <w:tcPr>
            <w:tcW w:w="2280" w:type="dxa"/>
            <w:vAlign w:val="bottom"/>
            <w:tcBorders>
              <w:top w:val="single" w:sz="8" w:color="CCEEFF"/>
            </w:tcBorders>
            <w:shd w:val="clear" w:color="auto" w:fill="CCEEFF"/>
          </w:tcPr>
          <w:p>
            <w:pPr>
              <w:spacing w:after="0"/>
              <w:rPr>
                <w:sz w:val="11"/>
                <w:szCs w:val="11"/>
                <w:color w:val="auto"/>
              </w:rPr>
            </w:pPr>
          </w:p>
        </w:tc>
        <w:tc>
          <w:tcPr>
            <w:tcW w:w="25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80" w:type="dxa"/>
            <w:vAlign w:val="bottom"/>
          </w:tcPr>
          <w:p>
            <w:pPr>
              <w:spacing w:after="0"/>
              <w:rPr>
                <w:sz w:val="20"/>
                <w:szCs w:val="20"/>
                <w:color w:val="auto"/>
              </w:rPr>
            </w:pPr>
            <w:r>
              <w:rPr>
                <w:rFonts w:ascii="Arial" w:cs="Arial" w:eastAsia="Arial" w:hAnsi="Arial"/>
                <w:sz w:val="14"/>
                <w:szCs w:val="14"/>
                <w:b w:val="1"/>
                <w:bCs w:val="1"/>
                <w:color w:val="auto"/>
              </w:rPr>
              <w:t>TOTAL INVESTMENTS - 153.8%</w:t>
            </w:r>
          </w:p>
        </w:tc>
        <w:tc>
          <w:tcPr>
            <w:tcW w:w="22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347,746</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405,559</w:t>
            </w:r>
          </w:p>
        </w:tc>
        <w:tc>
          <w:tcPr>
            <w:tcW w:w="1060" w:type="dxa"/>
            <w:vAlign w:val="bottom"/>
            <w:gridSpan w:val="2"/>
          </w:tcPr>
          <w:p>
            <w:pPr>
              <w:jc w:val="right"/>
              <w:spacing w:after="0" w:line="176" w:lineRule="exact"/>
              <w:rPr>
                <w:sz w:val="20"/>
                <w:szCs w:val="20"/>
                <w:color w:val="auto"/>
              </w:rPr>
            </w:pPr>
            <w:r>
              <w:rPr>
                <w:rFonts w:ascii="Arial" w:cs="Arial" w:eastAsia="Arial" w:hAnsi="Arial"/>
                <w:sz w:val="12"/>
                <w:szCs w:val="12"/>
                <w:b w:val="1"/>
                <w:bCs w:val="1"/>
                <w:color w:val="auto"/>
              </w:rPr>
              <w:t>153.8</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Due to deterioration in credit quality, this investment is on non- accrual status.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debt investment is accruing interest based on the terms of the forebearance agreement.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debt investments are income producing. Equity and warrant investments are non-income producing, unless otherwise noted.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Percentages are based on net assets of $263,904 as of June 30, 2014.</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fourth quarter of 2013, the Company accepted a consent fee that waives its right to dividends through September 30, 2014.</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equity investment has an exercisable put option.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2" w:name="page13"/>
    <w:bookmarkEnd w:id="12"/>
    <w:p>
      <w:pPr>
        <w:spacing w:after="0" w:line="202" w:lineRule="auto"/>
        <w:framePr w:w="340" w:h="107" w:wrap="auto" w:vAnchor="page" w:hAnchor="page" w:x="840" w:y="2451"/>
        <w:rPr>
          <w:rFonts w:ascii="Arial" w:cs="Arial" w:eastAsia="Arial" w:hAnsi="Arial"/>
          <w:sz w:val="11"/>
          <w:szCs w:val="11"/>
          <w:b w:val="1"/>
          <w:bCs w:val="1"/>
          <w:color w:val="auto"/>
        </w:rPr>
      </w:pPr>
      <w:r>
        <w:rPr>
          <w:rFonts w:ascii="Arial" w:cs="Arial" w:eastAsia="Arial" w:hAnsi="Arial"/>
          <w:sz w:val="11"/>
          <w:szCs w:val="11"/>
          <w:b w:val="1"/>
          <w:bCs w:val="1"/>
          <w:color w:val="auto"/>
        </w:rPr>
        <w:t>(4, 5)</w:t>
      </w:r>
    </w:p>
    <w:p>
      <w:pPr>
        <w:jc w:val="center"/>
        <w:ind w:right="-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rFonts w:ascii="Arial" w:cs="Arial" w:eastAsia="Arial" w:hAnsi="Arial"/>
          <w:sz w:val="11"/>
          <w:szCs w:val="11"/>
          <w:b w:val="1"/>
          <w:bCs w:val="1"/>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Schedule of Investments</w:t>
      </w:r>
    </w:p>
    <w:p>
      <w:pPr>
        <w:spacing w:after="0" w:line="62" w:lineRule="exact"/>
        <w:rPr>
          <w:rFonts w:ascii="Arial" w:cs="Arial" w:eastAsia="Arial" w:hAnsi="Arial"/>
          <w:sz w:val="11"/>
          <w:szCs w:val="11"/>
          <w:b w:val="1"/>
          <w:bCs w:val="1"/>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rFonts w:ascii="Arial" w:cs="Arial" w:eastAsia="Arial" w:hAnsi="Arial"/>
          <w:sz w:val="11"/>
          <w:szCs w:val="11"/>
          <w:b w:val="1"/>
          <w:bCs w:val="1"/>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ectPr>
          <w:pgSz w:w="11900" w:h="16838" w:orient="portrait"/>
          <w:cols w:equalWidth="0" w:num="1">
            <w:col w:w="11420"/>
          </w:cols>
          <w:pgMar w:left="240" w:top="877" w:right="239" w:bottom="1440" w:gutter="0" w:footer="0" w:header="0"/>
        </w:sectPr>
      </w:pPr>
    </w:p>
    <w:p>
      <w:pPr>
        <w:spacing w:after="0" w:line="200" w:lineRule="exact"/>
        <w:rPr>
          <w:rFonts w:ascii="Arial" w:cs="Arial" w:eastAsia="Arial" w:hAnsi="Arial"/>
          <w:sz w:val="11"/>
          <w:szCs w:val="11"/>
          <w:b w:val="1"/>
          <w:bCs w:val="1"/>
          <w:color w:val="auto"/>
        </w:rPr>
      </w:pPr>
    </w:p>
    <w:p>
      <w:pPr>
        <w:spacing w:after="0" w:line="300" w:lineRule="exact"/>
        <w:rPr>
          <w:rFonts w:ascii="Arial" w:cs="Arial" w:eastAsia="Arial" w:hAnsi="Arial"/>
          <w:sz w:val="11"/>
          <w:szCs w:val="11"/>
          <w:b w:val="1"/>
          <w:bCs w:val="1"/>
          <w:color w:val="auto"/>
        </w:rPr>
      </w:pPr>
    </w:p>
    <w:p>
      <w:pPr>
        <w:spacing w:after="0"/>
        <w:rPr>
          <w:sz w:val="20"/>
          <w:szCs w:val="20"/>
          <w:color w:val="auto"/>
        </w:rPr>
      </w:pPr>
      <w:r>
        <w:rPr>
          <w:rFonts w:ascii="Arial" w:cs="Arial" w:eastAsia="Arial" w:hAnsi="Arial"/>
          <w:sz w:val="14"/>
          <w:szCs w:val="14"/>
          <w:b w:val="1"/>
          <w:bCs w:val="1"/>
          <w:color w:val="auto"/>
        </w:rPr>
        <w:t>Company</w:t>
      </w:r>
    </w:p>
    <w:p>
      <w:pPr>
        <w:spacing w:after="0" w:line="17" w:lineRule="exact"/>
        <w:rPr>
          <w:rFonts w:ascii="Arial" w:cs="Arial" w:eastAsia="Arial" w:hAnsi="Arial"/>
          <w:sz w:val="11"/>
          <w:szCs w:val="11"/>
          <w:b w:val="1"/>
          <w:bCs w:val="1"/>
          <w:color w:val="auto"/>
        </w:rPr>
      </w:pPr>
    </w:p>
    <w:p>
      <w:pPr>
        <w:spacing w:after="0" w:line="221" w:lineRule="auto"/>
        <w:rPr>
          <w:sz w:val="20"/>
          <w:szCs w:val="20"/>
          <w:color w:val="auto"/>
        </w:rPr>
      </w:pPr>
      <w:r>
        <w:rPr>
          <w:rFonts w:ascii="Arial" w:cs="Arial" w:eastAsia="Arial" w:hAnsi="Arial"/>
          <w:sz w:val="14"/>
          <w:szCs w:val="14"/>
          <w:b w:val="1"/>
          <w:bCs w:val="1"/>
          <w:color w:val="auto"/>
        </w:rPr>
        <w:t>Non-control/Non-affiliated investments - 36.9%</w:t>
      </w:r>
    </w:p>
    <w:p>
      <w:pPr>
        <w:spacing w:after="0" w:line="1" w:lineRule="exact"/>
        <w:rPr>
          <w:rFonts w:ascii="Arial" w:cs="Arial" w:eastAsia="Arial" w:hAnsi="Arial"/>
          <w:sz w:val="11"/>
          <w:szCs w:val="11"/>
          <w:b w:val="1"/>
          <w:bCs w:val="1"/>
          <w:color w:val="auto"/>
        </w:rPr>
      </w:pPr>
    </w:p>
    <w:p>
      <w:pPr>
        <w:spacing w:after="0"/>
        <w:rPr>
          <w:sz w:val="20"/>
          <w:szCs w:val="20"/>
          <w:color w:val="auto"/>
        </w:rPr>
      </w:pPr>
      <w:r>
        <w:rPr>
          <w:rFonts w:ascii="Arial" w:cs="Arial" w:eastAsia="Arial" w:hAnsi="Arial"/>
          <w:sz w:val="14"/>
          <w:szCs w:val="14"/>
          <w:color w:val="auto"/>
        </w:rPr>
        <w:t>AAE Acquisition, LLC</w:t>
      </w:r>
    </w:p>
    <w:p>
      <w:pPr>
        <w:spacing w:after="0" w:line="124" w:lineRule="exact"/>
        <w:rPr>
          <w:rFonts w:ascii="Arial" w:cs="Arial" w:eastAsia="Arial" w:hAnsi="Arial"/>
          <w:sz w:val="11"/>
          <w:szCs w:val="11"/>
          <w:b w:val="1"/>
          <w:bCs w:val="1"/>
          <w:color w:val="auto"/>
        </w:rPr>
      </w:pPr>
    </w:p>
    <w:p>
      <w:pPr>
        <w:spacing w:after="0"/>
        <w:rPr>
          <w:sz w:val="20"/>
          <w:szCs w:val="20"/>
          <w:color w:val="auto"/>
        </w:rPr>
      </w:pPr>
      <w:r>
        <w:rPr>
          <w:rFonts w:ascii="Arial" w:cs="Arial" w:eastAsia="Arial" w:hAnsi="Arial"/>
          <w:sz w:val="14"/>
          <w:szCs w:val="14"/>
          <w:color w:val="auto"/>
        </w:rPr>
        <w:t>AAE Acquisition, LLC</w:t>
      </w:r>
    </w:p>
    <w:p>
      <w:pPr>
        <w:spacing w:after="0" w:line="322" w:lineRule="exact"/>
        <w:rPr>
          <w:rFonts w:ascii="Arial" w:cs="Arial" w:eastAsia="Arial" w:hAnsi="Arial"/>
          <w:sz w:val="11"/>
          <w:szCs w:val="11"/>
          <w:b w:val="1"/>
          <w:bCs w:val="1"/>
          <w:color w:val="auto"/>
        </w:rPr>
      </w:pPr>
    </w:p>
    <w:p>
      <w:pPr>
        <w:spacing w:after="0"/>
        <w:rPr>
          <w:sz w:val="20"/>
          <w:szCs w:val="20"/>
          <w:color w:val="auto"/>
        </w:rPr>
      </w:pPr>
      <w:r>
        <w:rPr>
          <w:rFonts w:ascii="Arial" w:cs="Arial" w:eastAsia="Arial" w:hAnsi="Arial"/>
          <w:sz w:val="14"/>
          <w:szCs w:val="14"/>
          <w:color w:val="auto"/>
        </w:rPr>
        <w:t>American Exteriors, LLC</w:t>
      </w:r>
      <w:r>
        <w:rPr>
          <w:rFonts w:ascii="Arial" w:cs="Arial" w:eastAsia="Arial" w:hAnsi="Arial"/>
          <w:sz w:val="23"/>
          <w:szCs w:val="23"/>
          <w:color w:val="auto"/>
          <w:vertAlign w:val="superscript"/>
        </w:rPr>
        <w:t>(1)</w:t>
      </w:r>
    </w:p>
    <w:p>
      <w:pPr>
        <w:spacing w:after="0" w:line="43" w:lineRule="exact"/>
        <w:rPr>
          <w:rFonts w:ascii="Arial" w:cs="Arial" w:eastAsia="Arial" w:hAnsi="Arial"/>
          <w:sz w:val="11"/>
          <w:szCs w:val="11"/>
          <w:b w:val="1"/>
          <w:bCs w:val="1"/>
          <w:color w:val="auto"/>
        </w:rPr>
      </w:pPr>
    </w:p>
    <w:p>
      <w:pPr>
        <w:spacing w:after="0"/>
        <w:rPr>
          <w:sz w:val="20"/>
          <w:szCs w:val="20"/>
          <w:color w:val="auto"/>
        </w:rPr>
      </w:pPr>
      <w:r>
        <w:rPr>
          <w:rFonts w:ascii="Arial" w:cs="Arial" w:eastAsia="Arial" w:hAnsi="Arial"/>
          <w:sz w:val="14"/>
          <w:szCs w:val="14"/>
          <w:color w:val="auto"/>
        </w:rPr>
        <w:t xml:space="preserve">American Exteriors, LLC </w:t>
      </w:r>
      <w:r>
        <w:rPr>
          <w:rFonts w:ascii="Arial" w:cs="Arial" w:eastAsia="Arial" w:hAnsi="Arial"/>
          <w:sz w:val="23"/>
          <w:szCs w:val="23"/>
          <w:color w:val="auto"/>
          <w:vertAlign w:val="superscript"/>
        </w:rPr>
        <w:t>(1)</w:t>
      </w:r>
    </w:p>
    <w:p>
      <w:pPr>
        <w:spacing w:after="0" w:line="33" w:lineRule="exact"/>
        <w:rPr>
          <w:rFonts w:ascii="Arial" w:cs="Arial" w:eastAsia="Arial" w:hAnsi="Arial"/>
          <w:sz w:val="11"/>
          <w:szCs w:val="11"/>
          <w:b w:val="1"/>
          <w:bCs w:val="1"/>
          <w:color w:val="auto"/>
        </w:rPr>
      </w:pPr>
    </w:p>
    <w:p>
      <w:pPr>
        <w:spacing w:after="0"/>
        <w:rPr>
          <w:sz w:val="20"/>
          <w:szCs w:val="20"/>
          <w:color w:val="auto"/>
        </w:rPr>
      </w:pPr>
      <w:r>
        <w:rPr>
          <w:rFonts w:ascii="Arial" w:cs="Arial" w:eastAsia="Arial" w:hAnsi="Arial"/>
          <w:sz w:val="14"/>
          <w:szCs w:val="14"/>
          <w:color w:val="auto"/>
        </w:rPr>
        <w:t xml:space="preserve">American Exteriors, LLC </w:t>
      </w:r>
      <w:r>
        <w:rPr>
          <w:rFonts w:ascii="Arial" w:cs="Arial" w:eastAsia="Arial" w:hAnsi="Arial"/>
          <w:sz w:val="23"/>
          <w:szCs w:val="23"/>
          <w:color w:val="auto"/>
          <w:vertAlign w:val="superscript"/>
        </w:rPr>
        <w:t>(8)</w:t>
      </w:r>
    </w:p>
    <w:p>
      <w:pPr>
        <w:spacing w:after="0" w:line="188" w:lineRule="exact"/>
        <w:rPr>
          <w:rFonts w:ascii="Arial" w:cs="Arial" w:eastAsia="Arial" w:hAnsi="Arial"/>
          <w:sz w:val="11"/>
          <w:szCs w:val="11"/>
          <w:b w:val="1"/>
          <w:bCs w:val="1"/>
          <w:color w:val="auto"/>
        </w:rPr>
      </w:pPr>
    </w:p>
    <w:p>
      <w:pPr>
        <w:spacing w:after="0"/>
        <w:rPr>
          <w:sz w:val="20"/>
          <w:szCs w:val="20"/>
          <w:color w:val="auto"/>
        </w:rPr>
      </w:pPr>
      <w:r>
        <w:rPr>
          <w:rFonts w:ascii="Arial" w:cs="Arial" w:eastAsia="Arial" w:hAnsi="Arial"/>
          <w:sz w:val="14"/>
          <w:szCs w:val="14"/>
          <w:color w:val="auto"/>
        </w:rPr>
        <w:t>Boot Barn Holding Corporation</w:t>
      </w:r>
    </w:p>
    <w:p>
      <w:pPr>
        <w:spacing w:after="0" w:line="163" w:lineRule="exact"/>
        <w:rPr>
          <w:rFonts w:ascii="Arial" w:cs="Arial" w:eastAsia="Arial" w:hAnsi="Arial"/>
          <w:sz w:val="11"/>
          <w:szCs w:val="11"/>
          <w:b w:val="1"/>
          <w:bCs w:val="1"/>
          <w:color w:val="auto"/>
        </w:rPr>
      </w:pPr>
    </w:p>
    <w:p>
      <w:pPr>
        <w:ind w:right="940"/>
        <w:spacing w:after="0" w:line="381" w:lineRule="auto"/>
        <w:rPr>
          <w:sz w:val="20"/>
          <w:szCs w:val="20"/>
          <w:color w:val="auto"/>
        </w:rPr>
      </w:pPr>
      <w:r>
        <w:rPr>
          <w:rFonts w:ascii="Arial" w:cs="Arial" w:eastAsia="Arial" w:hAnsi="Arial"/>
          <w:sz w:val="12"/>
          <w:szCs w:val="12"/>
          <w:color w:val="auto"/>
        </w:rPr>
        <w:t xml:space="preserve">Caregiver Services, Inc. Caregiver Services, Inc. </w:t>
      </w:r>
      <w:r>
        <w:rPr>
          <w:rFonts w:ascii="Arial" w:cs="Arial" w:eastAsia="Arial" w:hAnsi="Arial"/>
          <w:sz w:val="19"/>
          <w:szCs w:val="19"/>
          <w:color w:val="auto"/>
          <w:vertAlign w:val="superscript"/>
        </w:rPr>
        <w:t>(8)</w:t>
      </w:r>
    </w:p>
    <w:p>
      <w:pPr>
        <w:spacing w:after="0" w:line="79" w:lineRule="exact"/>
        <w:rPr>
          <w:rFonts w:ascii="Arial" w:cs="Arial" w:eastAsia="Arial" w:hAnsi="Arial"/>
          <w:sz w:val="11"/>
          <w:szCs w:val="11"/>
          <w:b w:val="1"/>
          <w:bCs w:val="1"/>
          <w:color w:val="auto"/>
        </w:rPr>
      </w:pPr>
    </w:p>
    <w:p>
      <w:pPr>
        <w:spacing w:after="0"/>
        <w:rPr>
          <w:sz w:val="20"/>
          <w:szCs w:val="20"/>
          <w:color w:val="auto"/>
        </w:rPr>
      </w:pPr>
      <w:r>
        <w:rPr>
          <w:rFonts w:ascii="Arial" w:cs="Arial" w:eastAsia="Arial" w:hAnsi="Arial"/>
          <w:sz w:val="14"/>
          <w:szCs w:val="14"/>
          <w:color w:val="auto"/>
        </w:rPr>
        <w:t xml:space="preserve">Crowley Holdings, Inc. </w:t>
      </w:r>
      <w:r>
        <w:rPr>
          <w:rFonts w:ascii="Arial" w:cs="Arial" w:eastAsia="Arial" w:hAnsi="Arial"/>
          <w:sz w:val="23"/>
          <w:szCs w:val="23"/>
          <w:color w:val="auto"/>
          <w:vertAlign w:val="superscript"/>
        </w:rPr>
        <w:t>(6)</w:t>
      </w:r>
    </w:p>
    <w:p>
      <w:pPr>
        <w:spacing w:after="0" w:line="347" w:lineRule="exact"/>
        <w:rPr>
          <w:rFonts w:ascii="Arial" w:cs="Arial" w:eastAsia="Arial" w:hAnsi="Arial"/>
          <w:sz w:val="11"/>
          <w:szCs w:val="11"/>
          <w:b w:val="1"/>
          <w:bCs w:val="1"/>
          <w:color w:val="auto"/>
        </w:rPr>
      </w:pPr>
    </w:p>
    <w:p>
      <w:pPr>
        <w:ind w:right="60"/>
        <w:spacing w:after="0" w:line="529" w:lineRule="auto"/>
        <w:rPr>
          <w:sz w:val="20"/>
          <w:szCs w:val="20"/>
          <w:color w:val="auto"/>
        </w:rPr>
      </w:pPr>
      <w:r>
        <w:rPr>
          <w:rFonts w:ascii="Arial" w:cs="Arial" w:eastAsia="Arial" w:hAnsi="Arial"/>
          <w:sz w:val="13"/>
          <w:szCs w:val="13"/>
          <w:color w:val="auto"/>
        </w:rPr>
        <w:t>Immersive Media Tactical Solutions, LLC Immersive Media Tactical Solutions, LLC</w:t>
      </w:r>
    </w:p>
    <w:p>
      <w:pPr>
        <w:spacing w:after="0" w:line="111" w:lineRule="exact"/>
        <w:rPr>
          <w:rFonts w:ascii="Arial" w:cs="Arial" w:eastAsia="Arial" w:hAnsi="Arial"/>
          <w:sz w:val="11"/>
          <w:szCs w:val="11"/>
          <w:b w:val="1"/>
          <w:bCs w:val="1"/>
          <w:color w:val="auto"/>
        </w:rPr>
      </w:pPr>
    </w:p>
    <w:p>
      <w:pPr>
        <w:spacing w:after="0"/>
        <w:rPr>
          <w:sz w:val="20"/>
          <w:szCs w:val="20"/>
          <w:color w:val="auto"/>
        </w:rPr>
      </w:pPr>
      <w:r>
        <w:rPr>
          <w:rFonts w:ascii="Arial" w:cs="Arial" w:eastAsia="Arial" w:hAnsi="Arial"/>
          <w:sz w:val="14"/>
          <w:szCs w:val="14"/>
          <w:color w:val="auto"/>
        </w:rPr>
        <w:t>Medical Depot, Inc.</w:t>
      </w:r>
    </w:p>
    <w:p>
      <w:pPr>
        <w:spacing w:after="0" w:line="136" w:lineRule="exact"/>
        <w:rPr>
          <w:rFonts w:ascii="Arial" w:cs="Arial" w:eastAsia="Arial" w:hAnsi="Arial"/>
          <w:sz w:val="11"/>
          <w:szCs w:val="11"/>
          <w:b w:val="1"/>
          <w:bCs w:val="1"/>
          <w:color w:val="auto"/>
        </w:rPr>
      </w:pPr>
    </w:p>
    <w:p>
      <w:pPr>
        <w:spacing w:after="0"/>
        <w:rPr>
          <w:sz w:val="20"/>
          <w:szCs w:val="20"/>
          <w:color w:val="auto"/>
        </w:rPr>
      </w:pPr>
      <w:r>
        <w:rPr>
          <w:rFonts w:ascii="Arial" w:cs="Arial" w:eastAsia="Arial" w:hAnsi="Arial"/>
          <w:sz w:val="14"/>
          <w:szCs w:val="14"/>
          <w:color w:val="auto"/>
        </w:rPr>
        <w:t>Medical Depot, Inc.</w:t>
      </w:r>
    </w:p>
    <w:p>
      <w:pPr>
        <w:spacing w:after="0" w:line="200" w:lineRule="exact"/>
        <w:rPr>
          <w:rFonts w:ascii="Arial" w:cs="Arial" w:eastAsia="Arial" w:hAnsi="Arial"/>
          <w:sz w:val="11"/>
          <w:szCs w:val="11"/>
          <w:b w:val="1"/>
          <w:bCs w:val="1"/>
          <w:color w:val="auto"/>
        </w:rPr>
      </w:pPr>
    </w:p>
    <w:p>
      <w:pPr>
        <w:spacing w:after="0" w:line="270" w:lineRule="exact"/>
        <w:rPr>
          <w:rFonts w:ascii="Arial" w:cs="Arial" w:eastAsia="Arial" w:hAnsi="Arial"/>
          <w:sz w:val="11"/>
          <w:szCs w:val="11"/>
          <w:b w:val="1"/>
          <w:bCs w:val="1"/>
          <w:color w:val="auto"/>
        </w:rPr>
      </w:pPr>
    </w:p>
    <w:p>
      <w:pPr>
        <w:spacing w:after="0"/>
        <w:rPr>
          <w:sz w:val="20"/>
          <w:szCs w:val="20"/>
          <w:color w:val="auto"/>
        </w:rPr>
      </w:pPr>
      <w:r>
        <w:rPr>
          <w:rFonts w:ascii="Arial" w:cs="Arial" w:eastAsia="Arial" w:hAnsi="Arial"/>
          <w:sz w:val="14"/>
          <w:szCs w:val="14"/>
          <w:color w:val="auto"/>
        </w:rPr>
        <w:t xml:space="preserve">Naples Lumber &amp; Supply Co </w:t>
      </w:r>
      <w:r>
        <w:rPr>
          <w:rFonts w:ascii="Arial" w:cs="Arial" w:eastAsia="Arial" w:hAnsi="Arial"/>
          <w:sz w:val="23"/>
          <w:szCs w:val="23"/>
          <w:color w:val="auto"/>
          <w:vertAlign w:val="superscript"/>
        </w:rPr>
        <w:t>(1)</w:t>
      </w:r>
    </w:p>
    <w:p>
      <w:pPr>
        <w:spacing w:after="0" w:line="35" w:lineRule="exact"/>
        <w:rPr>
          <w:rFonts w:ascii="Arial" w:cs="Arial" w:eastAsia="Arial" w:hAnsi="Arial"/>
          <w:sz w:val="11"/>
          <w:szCs w:val="11"/>
          <w:b w:val="1"/>
          <w:bCs w:val="1"/>
          <w:color w:val="auto"/>
        </w:rPr>
      </w:pPr>
    </w:p>
    <w:p>
      <w:pPr>
        <w:spacing w:after="0"/>
        <w:rPr>
          <w:sz w:val="20"/>
          <w:szCs w:val="20"/>
          <w:color w:val="auto"/>
        </w:rPr>
      </w:pPr>
      <w:r>
        <w:rPr>
          <w:rFonts w:ascii="Arial" w:cs="Arial" w:eastAsia="Arial" w:hAnsi="Arial"/>
          <w:sz w:val="14"/>
          <w:szCs w:val="14"/>
          <w:color w:val="auto"/>
        </w:rPr>
        <w:t>Naples Lumber &amp; Supply Co</w:t>
      </w:r>
    </w:p>
    <w:p>
      <w:pPr>
        <w:spacing w:after="0" w:line="300" w:lineRule="exact"/>
        <w:rPr>
          <w:rFonts w:ascii="Arial" w:cs="Arial" w:eastAsia="Arial" w:hAnsi="Arial"/>
          <w:sz w:val="11"/>
          <w:szCs w:val="11"/>
          <w:b w:val="1"/>
          <w:bCs w:val="1"/>
          <w:color w:val="auto"/>
        </w:rPr>
      </w:pPr>
    </w:p>
    <w:p>
      <w:pPr>
        <w:ind w:right="20"/>
        <w:spacing w:after="0" w:line="232" w:lineRule="auto"/>
        <w:rPr>
          <w:sz w:val="20"/>
          <w:szCs w:val="20"/>
          <w:color w:val="auto"/>
        </w:rPr>
      </w:pPr>
      <w:r>
        <w:rPr>
          <w:rFonts w:ascii="Arial" w:cs="Arial" w:eastAsia="Arial" w:hAnsi="Arial"/>
          <w:sz w:val="14"/>
          <w:szCs w:val="14"/>
          <w:color w:val="auto"/>
        </w:rPr>
        <w:t xml:space="preserve">Pickaway Plains Ambulance Services, Inc. </w:t>
      </w:r>
      <w:r>
        <w:rPr>
          <w:rFonts w:ascii="Arial" w:cs="Arial" w:eastAsia="Arial" w:hAnsi="Arial"/>
          <w:sz w:val="11"/>
          <w:szCs w:val="11"/>
          <w:color w:val="auto"/>
        </w:rPr>
        <w:t>(1, 2)</w:t>
      </w:r>
    </w:p>
    <w:p>
      <w:pPr>
        <w:spacing w:after="0"/>
        <w:rPr>
          <w:sz w:val="20"/>
          <w:szCs w:val="20"/>
          <w:color w:val="auto"/>
        </w:rPr>
      </w:pPr>
      <w:r>
        <w:rPr>
          <w:rFonts w:ascii="Arial" w:cs="Arial" w:eastAsia="Arial" w:hAnsi="Arial"/>
          <w:sz w:val="13"/>
          <w:szCs w:val="13"/>
          <w:color w:val="auto"/>
        </w:rPr>
        <w:t>Pickaway Plains Ambulance Services, Inc.</w:t>
      </w:r>
    </w:p>
    <w:p>
      <w:pPr>
        <w:spacing w:after="0" w:line="332" w:lineRule="exact"/>
        <w:rPr>
          <w:rFonts w:ascii="Arial" w:cs="Arial" w:eastAsia="Arial" w:hAnsi="Arial"/>
          <w:sz w:val="11"/>
          <w:szCs w:val="11"/>
          <w:b w:val="1"/>
          <w:bCs w:val="1"/>
          <w:color w:val="auto"/>
        </w:rPr>
      </w:pPr>
    </w:p>
    <w:p>
      <w:pPr>
        <w:spacing w:after="0"/>
        <w:rPr>
          <w:sz w:val="20"/>
          <w:szCs w:val="20"/>
          <w:color w:val="auto"/>
        </w:rPr>
      </w:pPr>
      <w:r>
        <w:rPr>
          <w:rFonts w:ascii="Arial" w:cs="Arial" w:eastAsia="Arial" w:hAnsi="Arial"/>
          <w:sz w:val="14"/>
          <w:szCs w:val="14"/>
          <w:color w:val="auto"/>
        </w:rPr>
        <w:t xml:space="preserve">Precision Manufacturing, LLC </w:t>
      </w:r>
      <w:r>
        <w:rPr>
          <w:rFonts w:ascii="Arial" w:cs="Arial" w:eastAsia="Arial" w:hAnsi="Arial"/>
          <w:sz w:val="23"/>
          <w:szCs w:val="23"/>
          <w:color w:val="auto"/>
          <w:vertAlign w:val="superscript"/>
        </w:rPr>
        <w:t>(2)</w:t>
      </w:r>
    </w:p>
    <w:p>
      <w:pPr>
        <w:spacing w:after="0" w:line="35" w:lineRule="exact"/>
        <w:rPr>
          <w:rFonts w:ascii="Arial" w:cs="Arial" w:eastAsia="Arial" w:hAnsi="Arial"/>
          <w:sz w:val="11"/>
          <w:szCs w:val="11"/>
          <w:b w:val="1"/>
          <w:bCs w:val="1"/>
          <w:color w:val="auto"/>
        </w:rPr>
      </w:pPr>
    </w:p>
    <w:p>
      <w:pPr>
        <w:spacing w:after="0"/>
        <w:rPr>
          <w:sz w:val="20"/>
          <w:szCs w:val="20"/>
          <w:color w:val="auto"/>
        </w:rPr>
      </w:pPr>
      <w:r>
        <w:rPr>
          <w:rFonts w:ascii="Arial" w:cs="Arial" w:eastAsia="Arial" w:hAnsi="Arial"/>
          <w:sz w:val="14"/>
          <w:szCs w:val="14"/>
          <w:color w:val="auto"/>
        </w:rPr>
        <w:t>Precision Manufacturing, LLC</w:t>
      </w:r>
    </w:p>
    <w:p>
      <w:pPr>
        <w:spacing w:after="0" w:line="20" w:lineRule="exact"/>
        <w:rPr>
          <w:rFonts w:ascii="Arial" w:cs="Arial" w:eastAsia="Arial" w:hAnsi="Arial"/>
          <w:sz w:val="11"/>
          <w:szCs w:val="11"/>
          <w:b w:val="1"/>
          <w:bCs w:val="1"/>
          <w:color w:val="auto"/>
        </w:rPr>
      </w:pPr>
      <w:r>
        <w:rPr>
          <w:rFonts w:ascii="Arial" w:cs="Arial" w:eastAsia="Arial" w:hAnsi="Arial"/>
          <w:sz w:val="11"/>
          <w:szCs w:val="11"/>
          <w:b w:val="1"/>
          <w:bCs w:val="1"/>
          <w:color w:val="auto"/>
        </w:rPr>
        <w:br w:type="column"/>
      </w:r>
    </w:p>
    <w:p>
      <w:pPr>
        <w:spacing w:after="0" w:line="170" w:lineRule="exact"/>
        <w:rPr>
          <w:rFonts w:ascii="Arial" w:cs="Arial" w:eastAsia="Arial" w:hAnsi="Arial"/>
          <w:sz w:val="11"/>
          <w:szCs w:val="11"/>
          <w:b w:val="1"/>
          <w:bCs w:val="1"/>
          <w:color w:val="auto"/>
        </w:rPr>
      </w:pPr>
    </w:p>
    <w:p>
      <w:pPr>
        <w:spacing w:after="0" w:line="1" w:lineRule="exact"/>
        <w:rPr>
          <w:rFonts w:ascii="Arial" w:cs="Arial" w:eastAsia="Arial" w:hAnsi="Arial"/>
          <w:sz w:val="1"/>
          <w:szCs w:val="1"/>
          <w:b w:val="1"/>
          <w:bCs w:val="1"/>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Investment Interest Rate /</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w:t>
            </w:r>
          </w:p>
        </w:tc>
        <w:tc>
          <w:tcPr>
            <w:tcW w:w="1020" w:type="dxa"/>
            <w:vAlign w:val="bottom"/>
            <w:gridSpan w:val="3"/>
          </w:tcPr>
          <w:p>
            <w:pPr>
              <w:jc w:val="center"/>
              <w:ind w:right="5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0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20" w:type="dxa"/>
            <w:vAlign w:val="bottom"/>
            <w:gridSpan w:val="3"/>
          </w:tcPr>
          <w:p>
            <w:pPr>
              <w:jc w:val="center"/>
              <w:ind w:right="98"/>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20"/>
        </w:trPr>
        <w:tc>
          <w:tcPr>
            <w:tcW w:w="2060" w:type="dxa"/>
            <w:vAlign w:val="bottom"/>
          </w:tcPr>
          <w:p>
            <w:pPr>
              <w:spacing w:after="0"/>
              <w:rPr>
                <w:sz w:val="20"/>
                <w:szCs w:val="20"/>
                <w:color w:val="auto"/>
              </w:rPr>
            </w:pPr>
            <w:r>
              <w:rPr>
                <w:rFonts w:ascii="Arial" w:cs="Arial" w:eastAsia="Arial" w:hAnsi="Arial"/>
                <w:sz w:val="14"/>
                <w:szCs w:val="14"/>
                <w:color w:val="auto"/>
              </w:rPr>
              <w:t>Industrial Equipment Rental</w:t>
            </w:r>
          </w:p>
        </w:tc>
        <w:tc>
          <w:tcPr>
            <w:tcW w:w="2260" w:type="dxa"/>
            <w:vAlign w:val="bottom"/>
            <w:gridSpan w:val="3"/>
          </w:tcPr>
          <w:p>
            <w:pPr>
              <w:ind w:left="120"/>
              <w:spacing w:after="0"/>
              <w:rPr>
                <w:sz w:val="20"/>
                <w:szCs w:val="20"/>
                <w:color w:val="auto"/>
              </w:rPr>
            </w:pPr>
            <w:r>
              <w:rPr>
                <w:rFonts w:ascii="Arial" w:cs="Arial" w:eastAsia="Arial" w:hAnsi="Arial"/>
                <w:sz w:val="14"/>
                <w:szCs w:val="14"/>
                <w:color w:val="auto"/>
              </w:rPr>
              <w:t>Senior Secured Term Debt (12%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Cash, Due 5/6/15)</w:t>
            </w: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19,000</w:t>
            </w:r>
          </w:p>
        </w:tc>
        <w:tc>
          <w:tcPr>
            <w:tcW w:w="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18,992</w:t>
            </w: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19,000</w:t>
            </w: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Arial" w:cs="Arial" w:eastAsia="Arial" w:hAnsi="Arial"/>
                <w:sz w:val="14"/>
                <w:szCs w:val="14"/>
                <w:color w:val="auto"/>
              </w:rPr>
              <w:t>Industrial Equipment Rental</w:t>
            </w:r>
          </w:p>
        </w:tc>
        <w:tc>
          <w:tcPr>
            <w:tcW w:w="2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Membership Units (21% fully</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60" w:type="dxa"/>
            <w:vAlign w:val="bottom"/>
          </w:tcPr>
          <w:p>
            <w:pPr>
              <w:spacing w:after="0"/>
              <w:rPr>
                <w:sz w:val="15"/>
                <w:szCs w:val="15"/>
                <w:color w:val="auto"/>
              </w:rPr>
            </w:pPr>
          </w:p>
        </w:tc>
        <w:tc>
          <w:tcPr>
            <w:tcW w:w="2260" w:type="dxa"/>
            <w:vAlign w:val="bottom"/>
            <w:gridSpan w:val="3"/>
          </w:tcPr>
          <w:p>
            <w:pPr>
              <w:ind w:left="120"/>
              <w:spacing w:after="0"/>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3,500</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60" w:type="dxa"/>
            <w:vAlign w:val="bottom"/>
            <w:vMerge w:val="restart"/>
          </w:tcPr>
          <w:p>
            <w:pPr>
              <w:spacing w:after="0"/>
              <w:rPr>
                <w:sz w:val="20"/>
                <w:szCs w:val="20"/>
                <w:color w:val="auto"/>
              </w:rPr>
            </w:pPr>
            <w:r>
              <w:rPr>
                <w:rFonts w:ascii="Arial" w:cs="Arial" w:eastAsia="Arial" w:hAnsi="Arial"/>
                <w:sz w:val="14"/>
                <w:szCs w:val="14"/>
                <w:color w:val="auto"/>
              </w:rPr>
              <w:t>Replacement Window</w:t>
            </w:r>
          </w:p>
        </w:tc>
        <w:tc>
          <w:tcPr>
            <w:tcW w:w="2260" w:type="dxa"/>
            <w:vAlign w:val="bottom"/>
            <w:gridSpan w:val="3"/>
            <w:vMerge w:val="restart"/>
          </w:tcPr>
          <w:p>
            <w:pPr>
              <w:ind w:left="120"/>
              <w:spacing w:after="0"/>
              <w:rPr>
                <w:sz w:val="20"/>
                <w:szCs w:val="20"/>
                <w:color w:val="auto"/>
              </w:rPr>
            </w:pPr>
            <w:r>
              <w:rPr>
                <w:rFonts w:ascii="Arial" w:cs="Arial" w:eastAsia="Arial" w:hAnsi="Arial"/>
                <w:sz w:val="14"/>
                <w:szCs w:val="14"/>
                <w:color w:val="auto"/>
                <w:w w:val="96"/>
              </w:rPr>
              <w:t>Senior Secured Debt (14.0% Cash,</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19,017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22,500</w:t>
            </w:r>
          </w:p>
        </w:tc>
        <w:tc>
          <w:tcPr>
            <w:tcW w:w="220" w:type="dxa"/>
            <w:vAlign w:val="bottom"/>
          </w:tcPr>
          <w:p>
            <w:pPr>
              <w:spacing w:after="0"/>
              <w:rPr>
                <w:sz w:val="12"/>
                <w:szCs w:val="12"/>
                <w:color w:val="auto"/>
              </w:rPr>
            </w:pPr>
          </w:p>
        </w:tc>
        <w:tc>
          <w:tcPr>
            <w:tcW w:w="92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8.4</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10"/>
        </w:trPr>
        <w:tc>
          <w:tcPr>
            <w:tcW w:w="2060" w:type="dxa"/>
            <w:vAlign w:val="bottom"/>
            <w:vMerge w:val="continue"/>
          </w:tcPr>
          <w:p>
            <w:pPr>
              <w:spacing w:after="0"/>
              <w:rPr>
                <w:sz w:val="9"/>
                <w:szCs w:val="9"/>
                <w:color w:val="auto"/>
              </w:rPr>
            </w:pPr>
          </w:p>
        </w:tc>
        <w:tc>
          <w:tcPr>
            <w:tcW w:w="226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Arial" w:cs="Arial" w:eastAsia="Arial" w:hAnsi="Arial"/>
                <w:sz w:val="14"/>
                <w:szCs w:val="14"/>
                <w:color w:val="auto"/>
              </w:rPr>
              <w:t>Manufacturer</w:t>
            </w:r>
          </w:p>
        </w:tc>
        <w:tc>
          <w:tcPr>
            <w:tcW w:w="2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Due 6/30/14)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4,565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3,365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4,565</w:t>
            </w: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Arial" w:cs="Arial" w:eastAsia="Arial" w:hAnsi="Arial"/>
                <w:sz w:val="14"/>
                <w:szCs w:val="14"/>
                <w:color w:val="auto"/>
              </w:rPr>
              <w:t>Replacement Window</w:t>
            </w:r>
          </w:p>
        </w:tc>
        <w:tc>
          <w:tcPr>
            <w:tcW w:w="2260" w:type="dxa"/>
            <w:vAlign w:val="bottom"/>
            <w:gridSpan w:val="3"/>
          </w:tcPr>
          <w:p>
            <w:pPr>
              <w:ind w:left="120"/>
              <w:spacing w:after="0" w:line="149" w:lineRule="exact"/>
              <w:rPr>
                <w:sz w:val="20"/>
                <w:szCs w:val="20"/>
                <w:color w:val="auto"/>
              </w:rPr>
            </w:pPr>
            <w:r>
              <w:rPr>
                <w:rFonts w:ascii="Arial" w:cs="Arial" w:eastAsia="Arial" w:hAnsi="Arial"/>
                <w:sz w:val="14"/>
                <w:szCs w:val="14"/>
                <w:color w:val="auto"/>
                <w:w w:val="99"/>
              </w:rPr>
              <w:t>Jr. Convertible Note (10.0% Cash,</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Arial" w:cs="Arial" w:eastAsia="Arial" w:hAnsi="Arial"/>
                <w:sz w:val="14"/>
                <w:szCs w:val="14"/>
                <w:color w:val="auto"/>
              </w:rPr>
              <w:t>Manufacturer</w:t>
            </w:r>
          </w:p>
        </w:tc>
        <w:tc>
          <w:tcPr>
            <w:tcW w:w="2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Due 6/30/15)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612</w:t>
            </w: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Arial" w:cs="Arial" w:eastAsia="Arial" w:hAnsi="Arial"/>
                <w:sz w:val="14"/>
                <w:szCs w:val="14"/>
                <w:color w:val="auto"/>
              </w:rPr>
              <w:t>Replacement Window</w:t>
            </w:r>
          </w:p>
        </w:tc>
        <w:tc>
          <w:tcPr>
            <w:tcW w:w="2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Common Stock Warrants (15%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60" w:type="dxa"/>
            <w:vAlign w:val="bottom"/>
          </w:tcPr>
          <w:p>
            <w:pPr>
              <w:spacing w:after="0"/>
              <w:rPr>
                <w:sz w:val="20"/>
                <w:szCs w:val="20"/>
                <w:color w:val="auto"/>
              </w:rPr>
            </w:pPr>
            <w:r>
              <w:rPr>
                <w:rFonts w:ascii="Arial" w:cs="Arial" w:eastAsia="Arial" w:hAnsi="Arial"/>
                <w:sz w:val="14"/>
                <w:szCs w:val="14"/>
                <w:color w:val="auto"/>
              </w:rPr>
              <w:t>Manufacturer</w:t>
            </w:r>
          </w:p>
        </w:tc>
        <w:tc>
          <w:tcPr>
            <w:tcW w:w="2260" w:type="dxa"/>
            <w:vAlign w:val="bottom"/>
            <w:gridSpan w:val="3"/>
          </w:tcPr>
          <w:p>
            <w:pPr>
              <w:ind w:left="120"/>
              <w:spacing w:after="0"/>
              <w:rPr>
                <w:sz w:val="20"/>
                <w:szCs w:val="20"/>
                <w:color w:val="auto"/>
              </w:rPr>
            </w:pPr>
            <w:r>
              <w:rPr>
                <w:rFonts w:ascii="Arial" w:cs="Arial" w:eastAsia="Arial" w:hAnsi="Arial"/>
                <w:sz w:val="14"/>
                <w:szCs w:val="14"/>
                <w:color w:val="auto"/>
              </w:rPr>
              <w:t>fully diluted)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1,106</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3,781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6,283</w:t>
            </w: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right"/>
              <w:spacing w:after="0" w:line="130" w:lineRule="exact"/>
              <w:rPr>
                <w:sz w:val="20"/>
                <w:szCs w:val="20"/>
                <w:color w:val="auto"/>
              </w:rPr>
            </w:pPr>
            <w:r>
              <w:rPr>
                <w:rFonts w:ascii="Arial" w:cs="Arial" w:eastAsia="Arial" w:hAnsi="Arial"/>
                <w:sz w:val="14"/>
                <w:szCs w:val="14"/>
                <w:color w:val="auto"/>
              </w:rPr>
              <w:t>2.3</w:t>
            </w:r>
          </w:p>
        </w:tc>
        <w:tc>
          <w:tcPr>
            <w:tcW w:w="100" w:type="dxa"/>
            <w:vAlign w:val="bottom"/>
          </w:tcPr>
          <w:p>
            <w:pPr>
              <w:jc w:val="right"/>
              <w:spacing w:after="0" w:line="130"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2"/>
        </w:trPr>
        <w:tc>
          <w:tcPr>
            <w:tcW w:w="2060" w:type="dxa"/>
            <w:vAlign w:val="bottom"/>
          </w:tcPr>
          <w:p>
            <w:pPr>
              <w:spacing w:after="0" w:line="130" w:lineRule="exact"/>
              <w:rPr>
                <w:sz w:val="20"/>
                <w:szCs w:val="20"/>
                <w:color w:val="auto"/>
              </w:rPr>
            </w:pPr>
            <w:r>
              <w:rPr>
                <w:rFonts w:ascii="Arial" w:cs="Arial" w:eastAsia="Arial" w:hAnsi="Arial"/>
                <w:sz w:val="14"/>
                <w:szCs w:val="14"/>
                <w:color w:val="auto"/>
              </w:rPr>
              <w:t>Western Wear Retail</w:t>
            </w:r>
          </w:p>
        </w:tc>
        <w:tc>
          <w:tcPr>
            <w:tcW w:w="22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Common Stock (2,400 shares)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2,400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4"/>
                <w:szCs w:val="14"/>
                <w:color w:val="auto"/>
              </w:rPr>
              <w:t>4,774</w:t>
            </w:r>
          </w:p>
        </w:tc>
        <w:tc>
          <w:tcPr>
            <w:tcW w:w="22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30" w:lineRule="exact"/>
              <w:rPr>
                <w:sz w:val="20"/>
                <w:szCs w:val="20"/>
                <w:color w:val="auto"/>
              </w:rPr>
            </w:pPr>
            <w:r>
              <w:rPr>
                <w:rFonts w:ascii="Arial" w:cs="Arial" w:eastAsia="Arial" w:hAnsi="Arial"/>
                <w:sz w:val="14"/>
                <w:szCs w:val="14"/>
                <w:color w:val="auto"/>
              </w:rPr>
              <w:t>1.8</w:t>
            </w:r>
          </w:p>
        </w:tc>
        <w:tc>
          <w:tcPr>
            <w:tcW w:w="100" w:type="dxa"/>
            <w:vAlign w:val="bottom"/>
          </w:tcPr>
          <w:p>
            <w:pPr>
              <w:jc w:val="right"/>
              <w:spacing w:after="0" w:line="130"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9"/>
        </w:trPr>
        <w:tc>
          <w:tcPr>
            <w:tcW w:w="2060" w:type="dxa"/>
            <w:vAlign w:val="bottom"/>
            <w:vMerge w:val="restart"/>
          </w:tcPr>
          <w:p>
            <w:pPr>
              <w:spacing w:after="0"/>
              <w:rPr>
                <w:sz w:val="20"/>
                <w:szCs w:val="20"/>
                <w:color w:val="auto"/>
              </w:rPr>
            </w:pPr>
            <w:r>
              <w:rPr>
                <w:rFonts w:ascii="Arial" w:cs="Arial" w:eastAsia="Arial" w:hAnsi="Arial"/>
                <w:sz w:val="14"/>
                <w:szCs w:val="14"/>
                <w:color w:val="auto"/>
              </w:rPr>
              <w:t>In-Home Healthcare Services</w:t>
            </w:r>
          </w:p>
        </w:tc>
        <w:tc>
          <w:tcPr>
            <w:tcW w:w="2260" w:type="dxa"/>
            <w:vAlign w:val="bottom"/>
            <w:gridSpan w:val="3"/>
            <w:vMerge w:val="restart"/>
          </w:tcPr>
          <w:p>
            <w:pPr>
              <w:ind w:left="120"/>
              <w:spacing w:after="0"/>
              <w:rPr>
                <w:sz w:val="20"/>
                <w:szCs w:val="20"/>
                <w:color w:val="auto"/>
              </w:rPr>
            </w:pPr>
            <w:r>
              <w:rPr>
                <w:rFonts w:ascii="Arial" w:cs="Arial" w:eastAsia="Arial" w:hAnsi="Arial"/>
                <w:sz w:val="14"/>
                <w:szCs w:val="14"/>
                <w:color w:val="auto"/>
              </w:rPr>
              <w:t>Common Stock (293,186 shares)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4,774</w:t>
            </w:r>
          </w:p>
        </w:tc>
        <w:tc>
          <w:tcPr>
            <w:tcW w:w="22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1.8</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3"/>
        </w:trPr>
        <w:tc>
          <w:tcPr>
            <w:tcW w:w="2060" w:type="dxa"/>
            <w:vAlign w:val="bottom"/>
            <w:vMerge w:val="continue"/>
          </w:tcPr>
          <w:p>
            <w:pPr>
              <w:spacing w:after="0"/>
              <w:rPr>
                <w:sz w:val="10"/>
                <w:szCs w:val="10"/>
                <w:color w:val="auto"/>
              </w:rPr>
            </w:pPr>
          </w:p>
        </w:tc>
        <w:tc>
          <w:tcPr>
            <w:tcW w:w="22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Arial" w:cs="Arial" w:eastAsia="Arial" w:hAnsi="Arial"/>
                <w:sz w:val="14"/>
                <w:szCs w:val="14"/>
                <w:color w:val="auto"/>
              </w:rPr>
              <w:t>258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rPr>
              <w:t>231</w:t>
            </w:r>
          </w:p>
        </w:tc>
        <w:tc>
          <w:tcPr>
            <w:tcW w:w="220" w:type="dxa"/>
            <w:vAlign w:val="bottom"/>
          </w:tcPr>
          <w:p>
            <w:pPr>
              <w:spacing w:after="0"/>
              <w:rPr>
                <w:sz w:val="10"/>
                <w:szCs w:val="10"/>
                <w:color w:val="auto"/>
              </w:rPr>
            </w:pPr>
          </w:p>
        </w:tc>
        <w:tc>
          <w:tcPr>
            <w:tcW w:w="1020" w:type="dxa"/>
            <w:vAlign w:val="bottom"/>
            <w:gridSpan w:val="3"/>
          </w:tcPr>
          <w:p>
            <w:pPr>
              <w:jc w:val="right"/>
              <w:spacing w:after="0" w:line="123"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Arial" w:cs="Arial" w:eastAsia="Arial" w:hAnsi="Arial"/>
                <w:sz w:val="14"/>
                <w:szCs w:val="14"/>
                <w:color w:val="auto"/>
              </w:rPr>
              <w:t>In-Home Healthcare Services</w:t>
            </w:r>
          </w:p>
        </w:tc>
        <w:tc>
          <w:tcPr>
            <w:tcW w:w="2260" w:type="dxa"/>
            <w:vAlign w:val="bottom"/>
            <w:gridSpan w:val="3"/>
          </w:tcPr>
          <w:p>
            <w:pPr>
              <w:ind w:left="120"/>
              <w:spacing w:after="0" w:line="149" w:lineRule="exact"/>
              <w:rPr>
                <w:sz w:val="20"/>
                <w:szCs w:val="20"/>
                <w:color w:val="auto"/>
              </w:rPr>
            </w:pPr>
            <w:r>
              <w:rPr>
                <w:rFonts w:ascii="Arial" w:cs="Arial" w:eastAsia="Arial" w:hAnsi="Arial"/>
                <w:sz w:val="14"/>
                <w:szCs w:val="14"/>
                <w:color w:val="auto"/>
                <w:w w:val="98"/>
              </w:rPr>
              <w:t>Common Stock Warrants (655,908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60" w:type="dxa"/>
            <w:vAlign w:val="bottom"/>
          </w:tcPr>
          <w:p>
            <w:pPr>
              <w:spacing w:after="0"/>
              <w:rPr>
                <w:sz w:val="15"/>
                <w:szCs w:val="15"/>
                <w:color w:val="auto"/>
              </w:rPr>
            </w:pPr>
          </w:p>
        </w:tc>
        <w:tc>
          <w:tcPr>
            <w:tcW w:w="2260" w:type="dxa"/>
            <w:vAlign w:val="bottom"/>
            <w:gridSpan w:val="3"/>
          </w:tcPr>
          <w:p>
            <w:pPr>
              <w:ind w:left="120"/>
              <w:spacing w:after="0"/>
              <w:rPr>
                <w:sz w:val="20"/>
                <w:szCs w:val="20"/>
                <w:color w:val="auto"/>
              </w:rPr>
            </w:pPr>
            <w:r>
              <w:rPr>
                <w:rFonts w:ascii="Arial" w:cs="Arial" w:eastAsia="Arial" w:hAnsi="Arial"/>
                <w:sz w:val="14"/>
                <w:szCs w:val="14"/>
                <w:color w:val="auto"/>
              </w:rPr>
              <w:t>units)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517</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60" w:type="dxa"/>
            <w:vAlign w:val="bottom"/>
            <w:vMerge w:val="restart"/>
          </w:tcPr>
          <w:p>
            <w:pPr>
              <w:spacing w:after="0"/>
              <w:rPr>
                <w:sz w:val="20"/>
                <w:szCs w:val="20"/>
                <w:color w:val="auto"/>
              </w:rPr>
            </w:pPr>
            <w:r>
              <w:rPr>
                <w:rFonts w:ascii="Arial" w:cs="Arial" w:eastAsia="Arial" w:hAnsi="Arial"/>
                <w:sz w:val="14"/>
                <w:szCs w:val="14"/>
                <w:color w:val="auto"/>
              </w:rPr>
              <w:t>Transportation</w:t>
            </w:r>
          </w:p>
        </w:tc>
        <w:tc>
          <w:tcPr>
            <w:tcW w:w="2260" w:type="dxa"/>
            <w:vAlign w:val="bottom"/>
            <w:gridSpan w:val="3"/>
            <w:vMerge w:val="restart"/>
          </w:tcPr>
          <w:p>
            <w:pPr>
              <w:ind w:left="120"/>
              <w:spacing w:after="0"/>
              <w:rPr>
                <w:sz w:val="20"/>
                <w:szCs w:val="20"/>
                <w:color w:val="auto"/>
              </w:rPr>
            </w:pPr>
            <w:r>
              <w:rPr>
                <w:rFonts w:ascii="Arial" w:cs="Arial" w:eastAsia="Arial" w:hAnsi="Arial"/>
                <w:sz w:val="14"/>
                <w:szCs w:val="14"/>
                <w:color w:val="auto"/>
                <w:w w:val="99"/>
              </w:rPr>
              <w:t>Series A Income Preferred Shares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522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748</w:t>
            </w:r>
          </w:p>
        </w:tc>
        <w:tc>
          <w:tcPr>
            <w:tcW w:w="220" w:type="dxa"/>
            <w:vAlign w:val="bottom"/>
          </w:tcPr>
          <w:p>
            <w:pPr>
              <w:spacing w:after="0"/>
              <w:rPr>
                <w:sz w:val="12"/>
                <w:szCs w:val="12"/>
                <w:color w:val="auto"/>
              </w:rPr>
            </w:pPr>
          </w:p>
        </w:tc>
        <w:tc>
          <w:tcPr>
            <w:tcW w:w="92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0.3</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10"/>
        </w:trPr>
        <w:tc>
          <w:tcPr>
            <w:tcW w:w="2060" w:type="dxa"/>
            <w:vAlign w:val="bottom"/>
            <w:vMerge w:val="continue"/>
          </w:tcPr>
          <w:p>
            <w:pPr>
              <w:spacing w:after="0"/>
              <w:rPr>
                <w:sz w:val="9"/>
                <w:szCs w:val="9"/>
                <w:color w:val="auto"/>
              </w:rPr>
            </w:pPr>
          </w:p>
        </w:tc>
        <w:tc>
          <w:tcPr>
            <w:tcW w:w="226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(6,000 shares, 10% cash, 2% PIK</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60" w:type="dxa"/>
            <w:vAlign w:val="bottom"/>
          </w:tcPr>
          <w:p>
            <w:pPr>
              <w:spacing w:after="0"/>
              <w:rPr>
                <w:sz w:val="15"/>
                <w:szCs w:val="15"/>
                <w:color w:val="auto"/>
              </w:rPr>
            </w:pPr>
          </w:p>
        </w:tc>
        <w:tc>
          <w:tcPr>
            <w:tcW w:w="2260" w:type="dxa"/>
            <w:vAlign w:val="bottom"/>
            <w:gridSpan w:val="3"/>
          </w:tcPr>
          <w:p>
            <w:pPr>
              <w:ind w:left="120"/>
              <w:spacing w:after="0"/>
              <w:rPr>
                <w:sz w:val="20"/>
                <w:szCs w:val="20"/>
                <w:color w:val="auto"/>
              </w:rPr>
            </w:pPr>
            <w:r>
              <w:rPr>
                <w:rFonts w:ascii="Arial" w:cs="Arial" w:eastAsia="Arial" w:hAnsi="Arial"/>
                <w:sz w:val="14"/>
                <w:szCs w:val="14"/>
                <w:color w:val="auto"/>
              </w:rPr>
              <w:t>dividend)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6,000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6,000</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60" w:type="dxa"/>
            <w:vAlign w:val="bottom"/>
            <w:vMerge w:val="restart"/>
          </w:tcPr>
          <w:p>
            <w:pPr>
              <w:spacing w:after="0"/>
              <w:rPr>
                <w:sz w:val="20"/>
                <w:szCs w:val="20"/>
                <w:color w:val="auto"/>
              </w:rPr>
            </w:pPr>
            <w:r>
              <w:rPr>
                <w:rFonts w:ascii="Arial" w:cs="Arial" w:eastAsia="Arial" w:hAnsi="Arial"/>
                <w:sz w:val="14"/>
                <w:szCs w:val="14"/>
                <w:color w:val="auto"/>
              </w:rPr>
              <w:t>Specialty Defense Contractor</w:t>
            </w:r>
          </w:p>
        </w:tc>
        <w:tc>
          <w:tcPr>
            <w:tcW w:w="2260" w:type="dxa"/>
            <w:vAlign w:val="bottom"/>
            <w:gridSpan w:val="3"/>
            <w:vMerge w:val="restart"/>
          </w:tcPr>
          <w:p>
            <w:pPr>
              <w:ind w:left="120"/>
              <w:spacing w:after="0"/>
              <w:rPr>
                <w:sz w:val="20"/>
                <w:szCs w:val="20"/>
                <w:color w:val="auto"/>
              </w:rPr>
            </w:pPr>
            <w:r>
              <w:rPr>
                <w:rFonts w:ascii="Arial" w:cs="Arial" w:eastAsia="Arial" w:hAnsi="Arial"/>
                <w:sz w:val="14"/>
                <w:szCs w:val="14"/>
                <w:color w:val="auto"/>
              </w:rPr>
              <w:t>Senior Secured Term Debt (13%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6,000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6,000</w:t>
            </w:r>
          </w:p>
        </w:tc>
        <w:tc>
          <w:tcPr>
            <w:tcW w:w="220" w:type="dxa"/>
            <w:vAlign w:val="bottom"/>
          </w:tcPr>
          <w:p>
            <w:pPr>
              <w:spacing w:after="0"/>
              <w:rPr>
                <w:sz w:val="12"/>
                <w:szCs w:val="12"/>
                <w:color w:val="auto"/>
              </w:rPr>
            </w:pPr>
          </w:p>
        </w:tc>
        <w:tc>
          <w:tcPr>
            <w:tcW w:w="92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2.2</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10"/>
        </w:trPr>
        <w:tc>
          <w:tcPr>
            <w:tcW w:w="2060" w:type="dxa"/>
            <w:vAlign w:val="bottom"/>
            <w:vMerge w:val="continue"/>
          </w:tcPr>
          <w:p>
            <w:pPr>
              <w:spacing w:after="0"/>
              <w:rPr>
                <w:sz w:val="9"/>
                <w:szCs w:val="9"/>
                <w:color w:val="auto"/>
              </w:rPr>
            </w:pPr>
          </w:p>
        </w:tc>
        <w:tc>
          <w:tcPr>
            <w:tcW w:w="226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Cash, Due 10/6/16)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2,000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2,000</w:t>
            </w: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Arial" w:cs="Arial" w:eastAsia="Arial" w:hAnsi="Arial"/>
                <w:sz w:val="14"/>
                <w:szCs w:val="14"/>
                <w:color w:val="auto"/>
              </w:rPr>
              <w:t>Specialty Defense Contractor</w:t>
            </w:r>
          </w:p>
        </w:tc>
        <w:tc>
          <w:tcPr>
            <w:tcW w:w="2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Common Unit Warrants (12% fully</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60" w:type="dxa"/>
            <w:vAlign w:val="bottom"/>
          </w:tcPr>
          <w:p>
            <w:pPr>
              <w:spacing w:after="0"/>
              <w:rPr>
                <w:sz w:val="15"/>
                <w:szCs w:val="15"/>
                <w:color w:val="auto"/>
              </w:rPr>
            </w:pPr>
          </w:p>
        </w:tc>
        <w:tc>
          <w:tcPr>
            <w:tcW w:w="2260" w:type="dxa"/>
            <w:vAlign w:val="bottom"/>
            <w:gridSpan w:val="3"/>
          </w:tcPr>
          <w:p>
            <w:pPr>
              <w:ind w:left="120"/>
              <w:spacing w:after="0"/>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800</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60" w:type="dxa"/>
            <w:vAlign w:val="bottom"/>
            <w:vMerge w:val="restart"/>
          </w:tcPr>
          <w:p>
            <w:pPr>
              <w:spacing w:after="0"/>
              <w:rPr>
                <w:sz w:val="20"/>
                <w:szCs w:val="20"/>
                <w:color w:val="auto"/>
              </w:rPr>
            </w:pPr>
            <w:r>
              <w:rPr>
                <w:rFonts w:ascii="Arial" w:cs="Arial" w:eastAsia="Arial" w:hAnsi="Arial"/>
                <w:sz w:val="14"/>
                <w:szCs w:val="14"/>
                <w:color w:val="auto"/>
              </w:rPr>
              <w:t>Medical Device Distributor</w:t>
            </w:r>
          </w:p>
        </w:tc>
        <w:tc>
          <w:tcPr>
            <w:tcW w:w="2260" w:type="dxa"/>
            <w:vAlign w:val="bottom"/>
            <w:gridSpan w:val="3"/>
            <w:vMerge w:val="restart"/>
          </w:tcPr>
          <w:p>
            <w:pPr>
              <w:ind w:left="120"/>
              <w:spacing w:after="0"/>
              <w:rPr>
                <w:sz w:val="20"/>
                <w:szCs w:val="20"/>
                <w:color w:val="auto"/>
              </w:rPr>
            </w:pPr>
            <w:r>
              <w:rPr>
                <w:rFonts w:ascii="Arial" w:cs="Arial" w:eastAsia="Arial" w:hAnsi="Arial"/>
                <w:sz w:val="14"/>
                <w:szCs w:val="14"/>
                <w:color w:val="auto"/>
                <w:w w:val="94"/>
              </w:rPr>
              <w:t>Subordinated Debt (14% Cash, Due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2,800</w:t>
            </w:r>
          </w:p>
        </w:tc>
        <w:tc>
          <w:tcPr>
            <w:tcW w:w="220" w:type="dxa"/>
            <w:vAlign w:val="bottom"/>
          </w:tcPr>
          <w:p>
            <w:pPr>
              <w:spacing w:after="0"/>
              <w:rPr>
                <w:sz w:val="12"/>
                <w:szCs w:val="12"/>
                <w:color w:val="auto"/>
              </w:rPr>
            </w:pPr>
          </w:p>
        </w:tc>
        <w:tc>
          <w:tcPr>
            <w:tcW w:w="92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10"/>
        </w:trPr>
        <w:tc>
          <w:tcPr>
            <w:tcW w:w="2060" w:type="dxa"/>
            <w:vAlign w:val="bottom"/>
            <w:vMerge w:val="continue"/>
          </w:tcPr>
          <w:p>
            <w:pPr>
              <w:spacing w:after="0"/>
              <w:rPr>
                <w:sz w:val="9"/>
                <w:szCs w:val="9"/>
                <w:color w:val="auto"/>
              </w:rPr>
            </w:pPr>
          </w:p>
        </w:tc>
        <w:tc>
          <w:tcPr>
            <w:tcW w:w="226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2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10/11/16)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4,667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4,667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4,667</w:t>
            </w: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Arial" w:cs="Arial" w:eastAsia="Arial" w:hAnsi="Arial"/>
                <w:sz w:val="14"/>
                <w:szCs w:val="14"/>
                <w:color w:val="auto"/>
              </w:rPr>
              <w:t>Medical Device Distributor</w:t>
            </w:r>
          </w:p>
        </w:tc>
        <w:tc>
          <w:tcPr>
            <w:tcW w:w="2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Series C Convertible Preferred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60" w:type="dxa"/>
            <w:vAlign w:val="bottom"/>
            <w:vMerge w:val="restart"/>
          </w:tcPr>
          <w:p>
            <w:pPr>
              <w:spacing w:after="0"/>
              <w:rPr>
                <w:sz w:val="20"/>
                <w:szCs w:val="20"/>
                <w:color w:val="auto"/>
              </w:rPr>
            </w:pPr>
            <w:r>
              <w:rPr>
                <w:rFonts w:ascii="Arial" w:cs="Arial" w:eastAsia="Arial" w:hAnsi="Arial"/>
                <w:sz w:val="14"/>
                <w:szCs w:val="14"/>
                <w:color w:val="auto"/>
              </w:rPr>
              <w:t>`</w:t>
            </w:r>
          </w:p>
        </w:tc>
        <w:tc>
          <w:tcPr>
            <w:tcW w:w="2260" w:type="dxa"/>
            <w:vAlign w:val="bottom"/>
            <w:gridSpan w:val="3"/>
          </w:tcPr>
          <w:p>
            <w:pPr>
              <w:ind w:left="120"/>
              <w:spacing w:after="0"/>
              <w:rPr>
                <w:sz w:val="20"/>
                <w:szCs w:val="20"/>
                <w:color w:val="auto"/>
              </w:rPr>
            </w:pPr>
            <w:r>
              <w:rPr>
                <w:rFonts w:ascii="Arial" w:cs="Arial" w:eastAsia="Arial" w:hAnsi="Arial"/>
                <w:sz w:val="14"/>
                <w:szCs w:val="14"/>
                <w:color w:val="auto"/>
              </w:rPr>
              <w:t>Stock (740 shares)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1,333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2,129</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7"/>
        </w:trPr>
        <w:tc>
          <w:tcPr>
            <w:tcW w:w="2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60" w:type="dxa"/>
            <w:vAlign w:val="bottom"/>
            <w:vMerge w:val="restart"/>
          </w:tcPr>
          <w:p>
            <w:pPr>
              <w:spacing w:after="0"/>
              <w:rPr>
                <w:sz w:val="20"/>
                <w:szCs w:val="20"/>
                <w:color w:val="auto"/>
              </w:rPr>
            </w:pPr>
            <w:r>
              <w:rPr>
                <w:rFonts w:ascii="Arial" w:cs="Arial" w:eastAsia="Arial" w:hAnsi="Arial"/>
                <w:sz w:val="14"/>
                <w:szCs w:val="14"/>
                <w:color w:val="auto"/>
              </w:rPr>
              <w:t>Building Supplies</w:t>
            </w:r>
          </w:p>
        </w:tc>
        <w:tc>
          <w:tcPr>
            <w:tcW w:w="2260" w:type="dxa"/>
            <w:vAlign w:val="bottom"/>
            <w:gridSpan w:val="3"/>
            <w:vMerge w:val="restart"/>
          </w:tcPr>
          <w:p>
            <w:pPr>
              <w:ind w:left="120"/>
              <w:spacing w:after="0"/>
              <w:rPr>
                <w:sz w:val="20"/>
                <w:szCs w:val="20"/>
                <w:color w:val="auto"/>
              </w:rPr>
            </w:pPr>
            <w:r>
              <w:rPr>
                <w:rFonts w:ascii="Arial" w:cs="Arial" w:eastAsia="Arial" w:hAnsi="Arial"/>
                <w:sz w:val="14"/>
                <w:szCs w:val="14"/>
                <w:color w:val="auto"/>
                <w:w w:val="99"/>
              </w:rPr>
              <w:t>Subordinated Debt (6% cash, Due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6,796</w:t>
            </w:r>
          </w:p>
        </w:tc>
        <w:tc>
          <w:tcPr>
            <w:tcW w:w="22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w:t>
            </w:r>
          </w:p>
        </w:tc>
        <w:tc>
          <w:tcPr>
            <w:tcW w:w="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60" w:type="dxa"/>
            <w:vAlign w:val="bottom"/>
            <w:vMerge w:val="continue"/>
          </w:tcPr>
          <w:p>
            <w:pPr>
              <w:spacing w:after="0"/>
              <w:rPr>
                <w:sz w:val="9"/>
                <w:szCs w:val="9"/>
                <w:color w:val="auto"/>
              </w:rPr>
            </w:pPr>
          </w:p>
        </w:tc>
        <w:tc>
          <w:tcPr>
            <w:tcW w:w="226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2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2/15/14)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2,109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1,309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2,109</w:t>
            </w: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Arial" w:cs="Arial" w:eastAsia="Arial" w:hAnsi="Arial"/>
                <w:sz w:val="14"/>
                <w:szCs w:val="14"/>
                <w:color w:val="auto"/>
              </w:rPr>
              <w:t>Building Supplies</w:t>
            </w:r>
          </w:p>
        </w:tc>
        <w:tc>
          <w:tcPr>
            <w:tcW w:w="2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Common Stock Warrants (10%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60" w:type="dxa"/>
            <w:vAlign w:val="bottom"/>
          </w:tcPr>
          <w:p>
            <w:pPr>
              <w:spacing w:after="0"/>
              <w:rPr>
                <w:sz w:val="15"/>
                <w:szCs w:val="15"/>
                <w:color w:val="auto"/>
              </w:rPr>
            </w:pPr>
          </w:p>
        </w:tc>
        <w:tc>
          <w:tcPr>
            <w:tcW w:w="2260" w:type="dxa"/>
            <w:vAlign w:val="bottom"/>
            <w:gridSpan w:val="3"/>
          </w:tcPr>
          <w:p>
            <w:pPr>
              <w:ind w:left="120"/>
              <w:spacing w:after="0"/>
              <w:rPr>
                <w:sz w:val="20"/>
                <w:szCs w:val="20"/>
                <w:color w:val="auto"/>
              </w:rPr>
            </w:pPr>
            <w:r>
              <w:rPr>
                <w:rFonts w:ascii="Arial" w:cs="Arial" w:eastAsia="Arial" w:hAnsi="Arial"/>
                <w:sz w:val="14"/>
                <w:szCs w:val="14"/>
                <w:color w:val="auto"/>
              </w:rPr>
              <w:t>fully diluted)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400</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60" w:type="dxa"/>
            <w:vAlign w:val="bottom"/>
            <w:vMerge w:val="restart"/>
          </w:tcPr>
          <w:p>
            <w:pPr>
              <w:spacing w:after="0"/>
              <w:rPr>
                <w:sz w:val="20"/>
                <w:szCs w:val="20"/>
                <w:color w:val="auto"/>
              </w:rPr>
            </w:pPr>
            <w:r>
              <w:rPr>
                <w:rFonts w:ascii="Arial" w:cs="Arial" w:eastAsia="Arial" w:hAnsi="Arial"/>
                <w:sz w:val="14"/>
                <w:szCs w:val="14"/>
                <w:color w:val="auto"/>
              </w:rPr>
              <w:t>Medical Transportation Services</w:t>
            </w:r>
          </w:p>
        </w:tc>
        <w:tc>
          <w:tcPr>
            <w:tcW w:w="2260" w:type="dxa"/>
            <w:vAlign w:val="bottom"/>
            <w:gridSpan w:val="3"/>
            <w:vMerge w:val="restart"/>
          </w:tcPr>
          <w:p>
            <w:pPr>
              <w:ind w:left="120"/>
              <w:spacing w:after="0"/>
              <w:rPr>
                <w:sz w:val="20"/>
                <w:szCs w:val="20"/>
                <w:color w:val="auto"/>
              </w:rPr>
            </w:pPr>
            <w:r>
              <w:rPr>
                <w:rFonts w:ascii="Arial" w:cs="Arial" w:eastAsia="Arial" w:hAnsi="Arial"/>
                <w:sz w:val="14"/>
                <w:szCs w:val="14"/>
                <w:color w:val="auto"/>
              </w:rPr>
              <w:t>Senior Secured Term Debt (13%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1,309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2,509</w:t>
            </w:r>
          </w:p>
        </w:tc>
        <w:tc>
          <w:tcPr>
            <w:tcW w:w="220" w:type="dxa"/>
            <w:vAlign w:val="bottom"/>
          </w:tcPr>
          <w:p>
            <w:pPr>
              <w:spacing w:after="0"/>
              <w:rPr>
                <w:sz w:val="12"/>
                <w:szCs w:val="12"/>
                <w:color w:val="auto"/>
              </w:rPr>
            </w:pPr>
          </w:p>
        </w:tc>
        <w:tc>
          <w:tcPr>
            <w:tcW w:w="92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0.9</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10"/>
        </w:trPr>
        <w:tc>
          <w:tcPr>
            <w:tcW w:w="2060" w:type="dxa"/>
            <w:vAlign w:val="bottom"/>
            <w:vMerge w:val="continue"/>
          </w:tcPr>
          <w:p>
            <w:pPr>
              <w:spacing w:after="0"/>
              <w:rPr>
                <w:sz w:val="9"/>
                <w:szCs w:val="9"/>
                <w:color w:val="auto"/>
              </w:rPr>
            </w:pPr>
          </w:p>
        </w:tc>
        <w:tc>
          <w:tcPr>
            <w:tcW w:w="226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2260" w:type="dxa"/>
            <w:vAlign w:val="bottom"/>
            <w:gridSpan w:val="3"/>
          </w:tcPr>
          <w:p>
            <w:pPr>
              <w:ind w:left="120"/>
              <w:spacing w:after="0"/>
              <w:rPr>
                <w:sz w:val="20"/>
                <w:szCs w:val="20"/>
                <w:color w:val="auto"/>
              </w:rPr>
            </w:pPr>
            <w:r>
              <w:rPr>
                <w:rFonts w:ascii="Arial" w:cs="Arial" w:eastAsia="Arial" w:hAnsi="Arial"/>
                <w:sz w:val="14"/>
                <w:szCs w:val="14"/>
                <w:color w:val="auto"/>
              </w:rPr>
              <w:t>Cash, Due 12/31/15)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1,548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Arial" w:cs="Arial" w:eastAsia="Arial" w:hAnsi="Arial"/>
                <w:sz w:val="14"/>
                <w:szCs w:val="14"/>
                <w:color w:val="auto"/>
              </w:rPr>
              <w:t>Medical Transportation Services</w:t>
            </w:r>
          </w:p>
        </w:tc>
        <w:tc>
          <w:tcPr>
            <w:tcW w:w="2260" w:type="dxa"/>
            <w:vAlign w:val="bottom"/>
            <w:gridSpan w:val="3"/>
          </w:tcPr>
          <w:p>
            <w:pPr>
              <w:ind w:left="120"/>
              <w:spacing w:after="0" w:line="149" w:lineRule="exact"/>
              <w:rPr>
                <w:sz w:val="20"/>
                <w:szCs w:val="20"/>
                <w:color w:val="auto"/>
              </w:rPr>
            </w:pPr>
            <w:r>
              <w:rPr>
                <w:rFonts w:ascii="Arial" w:cs="Arial" w:eastAsia="Arial" w:hAnsi="Arial"/>
                <w:sz w:val="14"/>
                <w:szCs w:val="14"/>
                <w:color w:val="auto"/>
                <w:w w:val="99"/>
              </w:rPr>
              <w:t>Common Stock Warrants (5% fully</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60" w:type="dxa"/>
            <w:vAlign w:val="bottom"/>
          </w:tcPr>
          <w:p>
            <w:pPr>
              <w:spacing w:after="0"/>
              <w:rPr>
                <w:sz w:val="15"/>
                <w:szCs w:val="15"/>
                <w:color w:val="auto"/>
              </w:rPr>
            </w:pPr>
          </w:p>
        </w:tc>
        <w:tc>
          <w:tcPr>
            <w:tcW w:w="2260" w:type="dxa"/>
            <w:vAlign w:val="bottom"/>
            <w:gridSpan w:val="3"/>
          </w:tcPr>
          <w:p>
            <w:pPr>
              <w:ind w:left="120"/>
              <w:spacing w:after="0"/>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60" w:type="dxa"/>
            <w:vAlign w:val="bottom"/>
            <w:vMerge w:val="restart"/>
          </w:tcPr>
          <w:p>
            <w:pPr>
              <w:spacing w:after="0"/>
              <w:rPr>
                <w:sz w:val="20"/>
                <w:szCs w:val="20"/>
                <w:color w:val="auto"/>
              </w:rPr>
            </w:pPr>
            <w:r>
              <w:rPr>
                <w:rFonts w:ascii="Arial" w:cs="Arial" w:eastAsia="Arial" w:hAnsi="Arial"/>
                <w:sz w:val="14"/>
                <w:szCs w:val="14"/>
                <w:color w:val="auto"/>
              </w:rPr>
              <w:t>Industrial Boiler Manufacturer</w:t>
            </w:r>
          </w:p>
        </w:tc>
        <w:tc>
          <w:tcPr>
            <w:tcW w:w="2260" w:type="dxa"/>
            <w:vAlign w:val="bottom"/>
            <w:gridSpan w:val="3"/>
            <w:vMerge w:val="restart"/>
          </w:tcPr>
          <w:p>
            <w:pPr>
              <w:ind w:left="120"/>
              <w:spacing w:after="0"/>
              <w:rPr>
                <w:sz w:val="20"/>
                <w:szCs w:val="20"/>
                <w:color w:val="auto"/>
              </w:rPr>
            </w:pPr>
            <w:r>
              <w:rPr>
                <w:rFonts w:ascii="Arial" w:cs="Arial" w:eastAsia="Arial" w:hAnsi="Arial"/>
                <w:sz w:val="14"/>
                <w:szCs w:val="14"/>
                <w:color w:val="auto"/>
                <w:w w:val="94"/>
              </w:rPr>
              <w:t>Subordinated Debt (13% Cash, Due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2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0.0</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10"/>
        </w:trPr>
        <w:tc>
          <w:tcPr>
            <w:tcW w:w="2060" w:type="dxa"/>
            <w:vAlign w:val="bottom"/>
            <w:vMerge w:val="continue"/>
          </w:tcPr>
          <w:p>
            <w:pPr>
              <w:spacing w:after="0"/>
              <w:rPr>
                <w:sz w:val="9"/>
                <w:szCs w:val="9"/>
                <w:color w:val="auto"/>
              </w:rPr>
            </w:pPr>
          </w:p>
        </w:tc>
        <w:tc>
          <w:tcPr>
            <w:tcW w:w="226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2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2/10/17)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2,500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1,536</w:t>
            </w: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Arial" w:cs="Arial" w:eastAsia="Arial" w:hAnsi="Arial"/>
                <w:sz w:val="14"/>
                <w:szCs w:val="14"/>
                <w:color w:val="auto"/>
              </w:rPr>
              <w:t>Industrial Boiler Manufacturer</w:t>
            </w:r>
          </w:p>
        </w:tc>
        <w:tc>
          <w:tcPr>
            <w:tcW w:w="2260" w:type="dxa"/>
            <w:vAlign w:val="bottom"/>
            <w:gridSpan w:val="3"/>
          </w:tcPr>
          <w:p>
            <w:pPr>
              <w:ind w:left="120"/>
              <w:spacing w:after="0" w:line="149" w:lineRule="exact"/>
              <w:rPr>
                <w:sz w:val="20"/>
                <w:szCs w:val="20"/>
                <w:color w:val="auto"/>
              </w:rPr>
            </w:pPr>
            <w:r>
              <w:rPr>
                <w:rFonts w:ascii="Arial" w:cs="Arial" w:eastAsia="Arial" w:hAnsi="Arial"/>
                <w:sz w:val="14"/>
                <w:szCs w:val="14"/>
                <w:color w:val="auto"/>
                <w:w w:val="97"/>
              </w:rPr>
              <w:t>Membership Unit Warrants (70,000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60" w:type="dxa"/>
            <w:vAlign w:val="bottom"/>
          </w:tcPr>
          <w:p>
            <w:pPr>
              <w:spacing w:after="0"/>
              <w:rPr>
                <w:sz w:val="15"/>
                <w:szCs w:val="15"/>
                <w:color w:val="auto"/>
              </w:rPr>
            </w:pPr>
          </w:p>
        </w:tc>
        <w:tc>
          <w:tcPr>
            <w:tcW w:w="2260" w:type="dxa"/>
            <w:vAlign w:val="bottom"/>
            <w:gridSpan w:val="3"/>
          </w:tcPr>
          <w:p>
            <w:pPr>
              <w:ind w:left="120"/>
              <w:spacing w:after="0"/>
              <w:rPr>
                <w:sz w:val="20"/>
                <w:szCs w:val="20"/>
                <w:color w:val="auto"/>
              </w:rPr>
            </w:pPr>
            <w:r>
              <w:rPr>
                <w:rFonts w:ascii="Arial" w:cs="Arial" w:eastAsia="Arial" w:hAnsi="Arial"/>
                <w:sz w:val="14"/>
                <w:szCs w:val="14"/>
                <w:color w:val="auto"/>
              </w:rPr>
              <w:t>units)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bl>
    <w:p>
      <w:pPr>
        <w:spacing w:after="0" w:line="20" w:lineRule="exact"/>
        <w:rPr>
          <w:rFonts w:ascii="Arial" w:cs="Arial" w:eastAsia="Arial" w:hAnsi="Arial"/>
          <w:sz w:val="11"/>
          <w:szCs w:val="11"/>
          <w:b w:val="1"/>
          <w:bCs w:val="1"/>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column">
              <wp:posOffset>-1670685</wp:posOffset>
            </wp:positionH>
            <wp:positionV relativeFrom="paragraph">
              <wp:posOffset>-4420235</wp:posOffset>
            </wp:positionV>
            <wp:extent cx="7246620" cy="1974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-4119880</wp:posOffset>
            </wp:positionV>
            <wp:extent cx="7246620"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-3742690</wp:posOffset>
            </wp:positionV>
            <wp:extent cx="7246620" cy="1974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-3442335</wp:posOffset>
            </wp:positionV>
            <wp:extent cx="7246620" cy="102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-3236595</wp:posOffset>
            </wp:positionV>
            <wp:extent cx="7246620" cy="1028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-2936875</wp:posOffset>
            </wp:positionV>
            <wp:extent cx="7246620" cy="1028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-2541905</wp:posOffset>
            </wp:positionV>
            <wp:extent cx="7246620" cy="1028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-2250440</wp:posOffset>
            </wp:positionV>
            <wp:extent cx="7246620" cy="1974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-1950085</wp:posOffset>
            </wp:positionV>
            <wp:extent cx="724662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-1572895</wp:posOffset>
            </wp:positionV>
            <wp:extent cx="7246620" cy="1028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-1367155</wp:posOffset>
            </wp:positionV>
            <wp:extent cx="7246620"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-981075</wp:posOffset>
            </wp:positionV>
            <wp:extent cx="7246620" cy="1028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-681355</wp:posOffset>
            </wp:positionV>
            <wp:extent cx="7246620" cy="1974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-381000</wp:posOffset>
            </wp:positionV>
            <wp:extent cx="7246620"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-4806315</wp:posOffset>
            </wp:positionV>
            <wp:extent cx="7246620" cy="1974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1" w:lineRule="exact"/>
        <w:rPr>
          <w:rFonts w:ascii="Arial" w:cs="Arial" w:eastAsia="Arial" w:hAnsi="Arial"/>
          <w:sz w:val="11"/>
          <w:szCs w:val="11"/>
          <w:b w:val="1"/>
          <w:bCs w:val="1"/>
          <w:color w:val="auto"/>
        </w:rPr>
      </w:pPr>
    </w:p>
    <w:p>
      <w:pPr>
        <w:sectPr>
          <w:pgSz w:w="11900" w:h="16838" w:orient="portrait"/>
          <w:cols w:equalWidth="0" w:num="2">
            <w:col w:w="2500" w:space="140"/>
            <w:col w:w="8780"/>
          </w:cols>
          <w:pgMar w:left="240" w:top="877" w:right="2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1960" w:type="dxa"/>
            <w:vAlign w:val="bottom"/>
            <w:tcBorders>
              <w:top w:val="single" w:sz="8" w:color="CCEEFF"/>
            </w:tcBorders>
            <w:shd w:val="clear" w:color="auto" w:fill="CCEEFF"/>
          </w:tcPr>
          <w:p>
            <w:pPr>
              <w:spacing w:after="0"/>
              <w:rPr>
                <w:sz w:val="12"/>
                <w:szCs w:val="12"/>
                <w:color w:val="auto"/>
              </w:rPr>
            </w:pPr>
          </w:p>
        </w:tc>
        <w:tc>
          <w:tcPr>
            <w:tcW w:w="2560" w:type="dxa"/>
            <w:vAlign w:val="bottom"/>
            <w:tcBorders>
              <w:top w:val="single" w:sz="8" w:color="CCEEFF"/>
            </w:tcBorders>
            <w:shd w:val="clear" w:color="auto" w:fill="CCEEFF"/>
          </w:tcPr>
          <w:p>
            <w:pPr>
              <w:spacing w:after="0"/>
              <w:rPr>
                <w:sz w:val="12"/>
                <w:szCs w:val="12"/>
                <w:color w:val="auto"/>
              </w:rPr>
            </w:pPr>
          </w:p>
        </w:tc>
        <w:tc>
          <w:tcPr>
            <w:tcW w:w="25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2,500</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1,536</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120" w:type="dxa"/>
            <w:vAlign w:val="bottom"/>
            <w:tcBorders>
              <w:top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w:t>
            </w:r>
          </w:p>
        </w:tc>
      </w:tr>
      <w:tr>
        <w:trPr>
          <w:trHeight w:val="110"/>
        </w:trPr>
        <w:tc>
          <w:tcPr>
            <w:tcW w:w="1960" w:type="dxa"/>
            <w:vAlign w:val="bottom"/>
          </w:tcPr>
          <w:p>
            <w:pPr>
              <w:spacing w:after="0" w:line="110" w:lineRule="exact"/>
              <w:rPr>
                <w:sz w:val="20"/>
                <w:szCs w:val="20"/>
                <w:color w:val="auto"/>
              </w:rPr>
            </w:pPr>
            <w:r>
              <w:rPr>
                <w:rFonts w:ascii="Arial" w:cs="Arial" w:eastAsia="Arial" w:hAnsi="Arial"/>
                <w:sz w:val="12"/>
                <w:szCs w:val="12"/>
                <w:color w:val="auto"/>
              </w:rPr>
              <w:t>Sierra Hamilton, LLC</w:t>
            </w:r>
          </w:p>
        </w:tc>
        <w:tc>
          <w:tcPr>
            <w:tcW w:w="2560" w:type="dxa"/>
            <w:vAlign w:val="bottom"/>
          </w:tcPr>
          <w:p>
            <w:pPr>
              <w:ind w:left="680"/>
              <w:spacing w:after="0" w:line="110" w:lineRule="exact"/>
              <w:rPr>
                <w:sz w:val="20"/>
                <w:szCs w:val="20"/>
                <w:color w:val="auto"/>
              </w:rPr>
            </w:pPr>
            <w:r>
              <w:rPr>
                <w:rFonts w:ascii="Arial" w:cs="Arial" w:eastAsia="Arial" w:hAnsi="Arial"/>
                <w:sz w:val="12"/>
                <w:szCs w:val="12"/>
                <w:color w:val="auto"/>
              </w:rPr>
              <w:t>Oil &amp; Gas Engineering and</w:t>
            </w:r>
          </w:p>
        </w:tc>
        <w:tc>
          <w:tcPr>
            <w:tcW w:w="2520" w:type="dxa"/>
            <w:vAlign w:val="bottom"/>
          </w:tcPr>
          <w:p>
            <w:pPr>
              <w:ind w:left="300"/>
              <w:spacing w:after="0" w:line="110" w:lineRule="exact"/>
              <w:rPr>
                <w:sz w:val="20"/>
                <w:szCs w:val="20"/>
                <w:color w:val="auto"/>
              </w:rPr>
            </w:pPr>
            <w:r>
              <w:rPr>
                <w:rFonts w:ascii="Arial" w:cs="Arial" w:eastAsia="Arial" w:hAnsi="Arial"/>
                <w:sz w:val="12"/>
                <w:szCs w:val="12"/>
                <w:color w:val="auto"/>
              </w:rPr>
              <w:t>Senior Secured Debt (12.25%</w:t>
            </w:r>
          </w:p>
        </w:tc>
        <w:tc>
          <w:tcPr>
            <w:tcW w:w="1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81"/>
        </w:trPr>
        <w:tc>
          <w:tcPr>
            <w:tcW w:w="1960" w:type="dxa"/>
            <w:vAlign w:val="bottom"/>
          </w:tcPr>
          <w:p>
            <w:pPr>
              <w:spacing w:after="0"/>
              <w:rPr>
                <w:sz w:val="15"/>
                <w:szCs w:val="15"/>
                <w:color w:val="auto"/>
              </w:rPr>
            </w:pPr>
          </w:p>
        </w:tc>
        <w:tc>
          <w:tcPr>
            <w:tcW w:w="2560" w:type="dxa"/>
            <w:vAlign w:val="bottom"/>
          </w:tcPr>
          <w:p>
            <w:pPr>
              <w:ind w:left="680"/>
              <w:spacing w:after="0"/>
              <w:rPr>
                <w:sz w:val="20"/>
                <w:szCs w:val="20"/>
                <w:color w:val="auto"/>
              </w:rPr>
            </w:pPr>
            <w:r>
              <w:rPr>
                <w:rFonts w:ascii="Arial" w:cs="Arial" w:eastAsia="Arial" w:hAnsi="Arial"/>
                <w:sz w:val="14"/>
                <w:szCs w:val="14"/>
                <w:color w:val="auto"/>
              </w:rPr>
              <w:t>Consulting Services</w:t>
            </w:r>
          </w:p>
        </w:tc>
        <w:tc>
          <w:tcPr>
            <w:tcW w:w="2520" w:type="dxa"/>
            <w:vAlign w:val="bottom"/>
          </w:tcPr>
          <w:p>
            <w:pPr>
              <w:ind w:left="300"/>
              <w:spacing w:after="0"/>
              <w:rPr>
                <w:sz w:val="20"/>
                <w:szCs w:val="20"/>
                <w:color w:val="auto"/>
              </w:rPr>
            </w:pPr>
            <w:r>
              <w:rPr>
                <w:rFonts w:ascii="Arial" w:cs="Arial" w:eastAsia="Arial" w:hAnsi="Arial"/>
                <w:sz w:val="14"/>
                <w:szCs w:val="14"/>
                <w:color w:val="auto"/>
              </w:rPr>
              <w:t>Cash, 12/15/18)</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15,000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5.6%</w:t>
            </w:r>
          </w:p>
        </w:tc>
      </w:tr>
      <w:tr>
        <w:trPr>
          <w:trHeight w:val="142"/>
        </w:trPr>
        <w:tc>
          <w:tcPr>
            <w:tcW w:w="1960" w:type="dxa"/>
            <w:vAlign w:val="bottom"/>
            <w:tcBorders>
              <w:top w:val="single" w:sz="8" w:color="CCEEFF"/>
            </w:tcBorders>
            <w:shd w:val="clear" w:color="auto" w:fill="CCEEFF"/>
          </w:tcPr>
          <w:p>
            <w:pPr>
              <w:spacing w:after="0"/>
              <w:rPr>
                <w:sz w:val="12"/>
                <w:szCs w:val="12"/>
                <w:color w:val="auto"/>
              </w:rPr>
            </w:pPr>
          </w:p>
        </w:tc>
        <w:tc>
          <w:tcPr>
            <w:tcW w:w="2560" w:type="dxa"/>
            <w:vAlign w:val="bottom"/>
            <w:tcBorders>
              <w:top w:val="single" w:sz="8" w:color="CCEEFF"/>
            </w:tcBorders>
            <w:shd w:val="clear" w:color="auto" w:fill="CCEEFF"/>
          </w:tcPr>
          <w:p>
            <w:pPr>
              <w:spacing w:after="0"/>
              <w:rPr>
                <w:sz w:val="12"/>
                <w:szCs w:val="12"/>
                <w:color w:val="auto"/>
              </w:rPr>
            </w:pPr>
          </w:p>
        </w:tc>
        <w:tc>
          <w:tcPr>
            <w:tcW w:w="25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15,000</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15,000</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r>
    </w:tbl>
    <w:p>
      <w:pPr>
        <w:spacing w:after="0" w:line="200" w:lineRule="exact"/>
        <w:rPr>
          <w:rFonts w:ascii="Arial" w:cs="Arial" w:eastAsia="Arial" w:hAnsi="Arial"/>
          <w:sz w:val="11"/>
          <w:szCs w:val="11"/>
          <w:b w:val="1"/>
          <w:bCs w:val="1"/>
          <w:color w:val="auto"/>
        </w:rPr>
      </w:pPr>
    </w:p>
    <w:p>
      <w:pPr>
        <w:spacing w:after="0" w:line="218" w:lineRule="exact"/>
        <w:rPr>
          <w:rFonts w:ascii="Arial" w:cs="Arial" w:eastAsia="Arial" w:hAnsi="Arial"/>
          <w:sz w:val="11"/>
          <w:szCs w:val="11"/>
          <w:b w:val="1"/>
          <w:bCs w:val="1"/>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rFonts w:ascii="Arial" w:cs="Arial" w:eastAsia="Arial" w:hAnsi="Arial"/>
          <w:sz w:val="11"/>
          <w:szCs w:val="11"/>
          <w:b w:val="1"/>
          <w:bCs w:val="1"/>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64"/>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w w:val="95"/>
              </w:rPr>
              <w:t xml:space="preserve">Southern Pump &amp; Tank Company, LLC </w:t>
            </w:r>
            <w:r>
              <w:rPr>
                <w:rFonts w:ascii="Arial" w:cs="Arial" w:eastAsia="Arial" w:hAnsi="Arial"/>
                <w:sz w:val="23"/>
                <w:szCs w:val="23"/>
                <w:color w:val="auto"/>
                <w:w w:val="95"/>
                <w:vertAlign w:val="superscript"/>
              </w:rPr>
              <w:t>(1)</w:t>
            </w:r>
          </w:p>
        </w:tc>
        <w:tc>
          <w:tcPr>
            <w:tcW w:w="2160" w:type="dxa"/>
            <w:vAlign w:val="bottom"/>
            <w:shd w:val="clear" w:color="auto" w:fill="CCEEFF"/>
          </w:tcPr>
          <w:p>
            <w:pPr>
              <w:ind w:left="80"/>
              <w:spacing w:after="0"/>
              <w:rPr>
                <w:sz w:val="20"/>
                <w:szCs w:val="20"/>
                <w:color w:val="auto"/>
              </w:rPr>
            </w:pPr>
            <w:r>
              <w:rPr>
                <w:rFonts w:ascii="Arial" w:cs="Arial" w:eastAsia="Arial" w:hAnsi="Arial"/>
                <w:sz w:val="14"/>
                <w:szCs w:val="14"/>
                <w:color w:val="auto"/>
              </w:rPr>
              <w:t>Petroleum Equipment Supplier</w:t>
            </w:r>
          </w:p>
        </w:tc>
        <w:tc>
          <w:tcPr>
            <w:tcW w:w="26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Senior Secured Term Debt (13%</w:t>
            </w: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3,633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3,213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3,624</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5"/>
        </w:trPr>
        <w:tc>
          <w:tcPr>
            <w:tcW w:w="2560" w:type="dxa"/>
            <w:vAlign w:val="bottom"/>
            <w:shd w:val="clear" w:color="auto" w:fill="CCEEFF"/>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260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Cash, 6% PIK, Due 6/15/14)</w:t>
            </w:r>
          </w:p>
        </w:tc>
        <w:tc>
          <w:tcPr>
            <w:tcW w:w="7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560" w:type="dxa"/>
            <w:vAlign w:val="bottom"/>
          </w:tcPr>
          <w:p>
            <w:pPr>
              <w:spacing w:after="0" w:line="130" w:lineRule="exact"/>
              <w:rPr>
                <w:sz w:val="20"/>
                <w:szCs w:val="20"/>
                <w:color w:val="auto"/>
              </w:rPr>
            </w:pPr>
            <w:r>
              <w:rPr>
                <w:rFonts w:ascii="Arial" w:cs="Arial" w:eastAsia="Arial" w:hAnsi="Arial"/>
                <w:sz w:val="14"/>
                <w:szCs w:val="14"/>
                <w:color w:val="auto"/>
              </w:rPr>
              <w:t>Southern Pump &amp; Tank Company, LLC</w:t>
            </w:r>
          </w:p>
        </w:tc>
        <w:tc>
          <w:tcPr>
            <w:tcW w:w="2160" w:type="dxa"/>
            <w:vAlign w:val="bottom"/>
          </w:tcPr>
          <w:p>
            <w:pPr>
              <w:ind w:left="80"/>
              <w:spacing w:after="0" w:line="130" w:lineRule="exact"/>
              <w:rPr>
                <w:sz w:val="20"/>
                <w:szCs w:val="20"/>
                <w:color w:val="auto"/>
              </w:rPr>
            </w:pPr>
            <w:r>
              <w:rPr>
                <w:rFonts w:ascii="Arial" w:cs="Arial" w:eastAsia="Arial" w:hAnsi="Arial"/>
                <w:sz w:val="14"/>
                <w:szCs w:val="14"/>
                <w:color w:val="auto"/>
              </w:rPr>
              <w:t>Petroleum Equipment Supplier</w:t>
            </w:r>
          </w:p>
        </w:tc>
        <w:tc>
          <w:tcPr>
            <w:tcW w:w="2600" w:type="dxa"/>
            <w:vAlign w:val="bottom"/>
          </w:tcPr>
          <w:p>
            <w:pPr>
              <w:ind w:left="100"/>
              <w:spacing w:after="0" w:line="130" w:lineRule="exact"/>
              <w:rPr>
                <w:sz w:val="20"/>
                <w:szCs w:val="20"/>
                <w:color w:val="auto"/>
              </w:rPr>
            </w:pPr>
            <w:r>
              <w:rPr>
                <w:rFonts w:ascii="Arial" w:cs="Arial" w:eastAsia="Arial" w:hAnsi="Arial"/>
                <w:sz w:val="14"/>
                <w:szCs w:val="14"/>
                <w:color w:val="auto"/>
              </w:rPr>
              <w:t>Common Stock Warrants (10%</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5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600" w:type="dxa"/>
            <w:vAlign w:val="bottom"/>
          </w:tcPr>
          <w:p>
            <w:pPr>
              <w:ind w:left="100"/>
              <w:spacing w:after="0"/>
              <w:rPr>
                <w:sz w:val="20"/>
                <w:szCs w:val="20"/>
                <w:color w:val="auto"/>
              </w:rPr>
            </w:pPr>
            <w:r>
              <w:rPr>
                <w:rFonts w:ascii="Arial" w:cs="Arial" w:eastAsia="Arial" w:hAnsi="Arial"/>
                <w:sz w:val="14"/>
                <w:szCs w:val="14"/>
                <w:color w:val="auto"/>
              </w:rPr>
              <w:t>fully diluted)</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560" w:type="dxa"/>
            <w:vAlign w:val="bottom"/>
            <w:tcBorders>
              <w:top w:val="single" w:sz="8" w:color="CCEEFF"/>
            </w:tcBorders>
            <w:shd w:val="clear" w:color="auto" w:fill="CCEEFF"/>
          </w:tcPr>
          <w:p>
            <w:pPr>
              <w:spacing w:after="0"/>
              <w:rPr>
                <w:sz w:val="12"/>
                <w:szCs w:val="12"/>
                <w:color w:val="auto"/>
              </w:rPr>
            </w:pPr>
          </w:p>
        </w:tc>
        <w:tc>
          <w:tcPr>
            <w:tcW w:w="2160" w:type="dxa"/>
            <w:vAlign w:val="bottom"/>
            <w:tcBorders>
              <w:top w:val="single" w:sz="8" w:color="CCEEFF"/>
            </w:tcBorders>
            <w:shd w:val="clear" w:color="auto" w:fill="CCEEFF"/>
          </w:tcPr>
          <w:p>
            <w:pPr>
              <w:spacing w:after="0"/>
              <w:rPr>
                <w:sz w:val="12"/>
                <w:szCs w:val="12"/>
                <w:color w:val="auto"/>
              </w:rPr>
            </w:pPr>
          </w:p>
        </w:tc>
        <w:tc>
          <w:tcPr>
            <w:tcW w:w="26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3,213</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3,624</w:t>
            </w:r>
          </w:p>
        </w:tc>
        <w:tc>
          <w:tcPr>
            <w:tcW w:w="2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10"/>
        </w:trPr>
        <w:tc>
          <w:tcPr>
            <w:tcW w:w="2560" w:type="dxa"/>
            <w:vAlign w:val="bottom"/>
          </w:tcPr>
          <w:p>
            <w:pPr>
              <w:spacing w:after="0" w:line="110" w:lineRule="exact"/>
              <w:rPr>
                <w:sz w:val="20"/>
                <w:szCs w:val="20"/>
                <w:color w:val="auto"/>
              </w:rPr>
            </w:pPr>
            <w:r>
              <w:rPr>
                <w:rFonts w:ascii="Arial" w:cs="Arial" w:eastAsia="Arial" w:hAnsi="Arial"/>
                <w:sz w:val="12"/>
                <w:szCs w:val="12"/>
                <w:color w:val="auto"/>
              </w:rPr>
              <w:t>Stoddard Hill Media Holdings, LLC</w:t>
            </w:r>
          </w:p>
        </w:tc>
        <w:tc>
          <w:tcPr>
            <w:tcW w:w="2160" w:type="dxa"/>
            <w:vAlign w:val="bottom"/>
          </w:tcPr>
          <w:p>
            <w:pPr>
              <w:ind w:left="80"/>
              <w:spacing w:after="0" w:line="110" w:lineRule="exact"/>
              <w:rPr>
                <w:sz w:val="20"/>
                <w:szCs w:val="20"/>
                <w:color w:val="auto"/>
              </w:rPr>
            </w:pPr>
            <w:r>
              <w:rPr>
                <w:rFonts w:ascii="Arial" w:cs="Arial" w:eastAsia="Arial" w:hAnsi="Arial"/>
                <w:sz w:val="12"/>
                <w:szCs w:val="12"/>
                <w:color w:val="auto"/>
              </w:rPr>
              <w:t>IT Hosting Services</w:t>
            </w:r>
          </w:p>
        </w:tc>
        <w:tc>
          <w:tcPr>
            <w:tcW w:w="2600" w:type="dxa"/>
            <w:vAlign w:val="bottom"/>
          </w:tcPr>
          <w:p>
            <w:pPr>
              <w:ind w:left="100"/>
              <w:spacing w:after="0" w:line="110" w:lineRule="exact"/>
              <w:rPr>
                <w:sz w:val="20"/>
                <w:szCs w:val="20"/>
                <w:color w:val="auto"/>
              </w:rPr>
            </w:pPr>
            <w:r>
              <w:rPr>
                <w:rFonts w:ascii="Arial" w:cs="Arial" w:eastAsia="Arial" w:hAnsi="Arial"/>
                <w:sz w:val="12"/>
                <w:szCs w:val="12"/>
                <w:color w:val="auto"/>
              </w:rPr>
              <w:t>Class D Preferred Units (132,159</w:t>
            </w: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5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600" w:type="dxa"/>
            <w:vAlign w:val="bottom"/>
          </w:tcPr>
          <w:p>
            <w:pPr>
              <w:ind w:left="100"/>
              <w:spacing w:after="0"/>
              <w:rPr>
                <w:sz w:val="20"/>
                <w:szCs w:val="20"/>
                <w:color w:val="auto"/>
              </w:rPr>
            </w:pPr>
            <w:r>
              <w:rPr>
                <w:rFonts w:ascii="Arial" w:cs="Arial" w:eastAsia="Arial" w:hAnsi="Arial"/>
                <w:sz w:val="14"/>
                <w:szCs w:val="14"/>
                <w:color w:val="auto"/>
              </w:rPr>
              <w:t>shares)</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453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560" w:type="dxa"/>
            <w:vAlign w:val="bottom"/>
            <w:tcBorders>
              <w:top w:val="single" w:sz="8" w:color="CCEEFF"/>
            </w:tcBorders>
            <w:shd w:val="clear" w:color="auto" w:fill="CCEEFF"/>
          </w:tcPr>
          <w:p>
            <w:pPr>
              <w:spacing w:after="0"/>
              <w:rPr>
                <w:sz w:val="12"/>
                <w:szCs w:val="12"/>
                <w:color w:val="auto"/>
              </w:rPr>
            </w:pPr>
          </w:p>
        </w:tc>
        <w:tc>
          <w:tcPr>
            <w:tcW w:w="2160" w:type="dxa"/>
            <w:vAlign w:val="bottom"/>
            <w:tcBorders>
              <w:top w:val="single" w:sz="8" w:color="CCEEFF"/>
            </w:tcBorders>
            <w:shd w:val="clear" w:color="auto" w:fill="CCEEFF"/>
          </w:tcPr>
          <w:p>
            <w:pPr>
              <w:spacing w:after="0"/>
              <w:rPr>
                <w:sz w:val="12"/>
                <w:szCs w:val="12"/>
                <w:color w:val="auto"/>
              </w:rPr>
            </w:pPr>
          </w:p>
        </w:tc>
        <w:tc>
          <w:tcPr>
            <w:tcW w:w="26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453</w:t>
            </w:r>
          </w:p>
        </w:tc>
        <w:tc>
          <w:tcPr>
            <w:tcW w:w="2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10"/>
        </w:trPr>
        <w:tc>
          <w:tcPr>
            <w:tcW w:w="2560" w:type="dxa"/>
            <w:vAlign w:val="bottom"/>
          </w:tcPr>
          <w:p>
            <w:pPr>
              <w:spacing w:after="0" w:line="110" w:lineRule="exact"/>
              <w:rPr>
                <w:sz w:val="20"/>
                <w:szCs w:val="20"/>
                <w:color w:val="auto"/>
              </w:rPr>
            </w:pPr>
            <w:r>
              <w:rPr>
                <w:rFonts w:ascii="Arial" w:cs="Arial" w:eastAsia="Arial" w:hAnsi="Arial"/>
                <w:sz w:val="12"/>
                <w:szCs w:val="12"/>
                <w:color w:val="auto"/>
              </w:rPr>
              <w:t>Tenere, Inc.</w:t>
            </w:r>
          </w:p>
        </w:tc>
        <w:tc>
          <w:tcPr>
            <w:tcW w:w="2160" w:type="dxa"/>
            <w:vAlign w:val="bottom"/>
          </w:tcPr>
          <w:p>
            <w:pPr>
              <w:ind w:left="80"/>
              <w:spacing w:after="0" w:line="110" w:lineRule="exact"/>
              <w:rPr>
                <w:sz w:val="20"/>
                <w:szCs w:val="20"/>
                <w:color w:val="auto"/>
              </w:rPr>
            </w:pPr>
            <w:r>
              <w:rPr>
                <w:rFonts w:ascii="Arial" w:cs="Arial" w:eastAsia="Arial" w:hAnsi="Arial"/>
                <w:sz w:val="12"/>
                <w:szCs w:val="12"/>
                <w:color w:val="auto"/>
              </w:rPr>
              <w:t>Industrial Manufacturing</w:t>
            </w:r>
          </w:p>
        </w:tc>
        <w:tc>
          <w:tcPr>
            <w:tcW w:w="2600" w:type="dxa"/>
            <w:vAlign w:val="bottom"/>
          </w:tcPr>
          <w:p>
            <w:pPr>
              <w:ind w:left="100"/>
              <w:spacing w:after="0" w:line="110" w:lineRule="exact"/>
              <w:rPr>
                <w:sz w:val="20"/>
                <w:szCs w:val="20"/>
                <w:color w:val="auto"/>
              </w:rPr>
            </w:pPr>
            <w:r>
              <w:rPr>
                <w:rFonts w:ascii="Arial" w:cs="Arial" w:eastAsia="Arial" w:hAnsi="Arial"/>
                <w:sz w:val="12"/>
                <w:szCs w:val="12"/>
                <w:color w:val="auto"/>
              </w:rPr>
              <w:t>Senior Secured Term Debt (11%</w:t>
            </w: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5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600" w:type="dxa"/>
            <w:vAlign w:val="bottom"/>
          </w:tcPr>
          <w:p>
            <w:pPr>
              <w:ind w:left="100"/>
              <w:spacing w:after="0"/>
              <w:rPr>
                <w:sz w:val="20"/>
                <w:szCs w:val="20"/>
                <w:color w:val="auto"/>
              </w:rPr>
            </w:pPr>
            <w:r>
              <w:rPr>
                <w:rFonts w:ascii="Arial" w:cs="Arial" w:eastAsia="Arial" w:hAnsi="Arial"/>
                <w:sz w:val="14"/>
                <w:szCs w:val="14"/>
                <w:color w:val="auto"/>
              </w:rPr>
              <w:t>Cash, 2% PIK, Due 12/17/17)</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3,440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3,440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3,440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560" w:type="dxa"/>
            <w:vAlign w:val="bottom"/>
            <w:tcBorders>
              <w:top w:val="single" w:sz="8" w:color="CCEEFF"/>
            </w:tcBorders>
            <w:shd w:val="clear" w:color="auto" w:fill="CCEEFF"/>
          </w:tcPr>
          <w:p>
            <w:pPr>
              <w:spacing w:after="0"/>
              <w:rPr>
                <w:sz w:val="12"/>
                <w:szCs w:val="12"/>
                <w:color w:val="auto"/>
              </w:rPr>
            </w:pPr>
          </w:p>
        </w:tc>
        <w:tc>
          <w:tcPr>
            <w:tcW w:w="2160" w:type="dxa"/>
            <w:vAlign w:val="bottom"/>
            <w:tcBorders>
              <w:top w:val="single" w:sz="8" w:color="CCEEFF"/>
            </w:tcBorders>
            <w:shd w:val="clear" w:color="auto" w:fill="CCEEFF"/>
          </w:tcPr>
          <w:p>
            <w:pPr>
              <w:spacing w:after="0"/>
              <w:rPr>
                <w:sz w:val="12"/>
                <w:szCs w:val="12"/>
                <w:color w:val="auto"/>
              </w:rPr>
            </w:pPr>
          </w:p>
        </w:tc>
        <w:tc>
          <w:tcPr>
            <w:tcW w:w="26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3,440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3,440</w:t>
            </w:r>
          </w:p>
        </w:tc>
        <w:tc>
          <w:tcPr>
            <w:tcW w:w="2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10"/>
        </w:trPr>
        <w:tc>
          <w:tcPr>
            <w:tcW w:w="2560" w:type="dxa"/>
            <w:vAlign w:val="bottom"/>
          </w:tcPr>
          <w:p>
            <w:pPr>
              <w:spacing w:after="0" w:line="110" w:lineRule="exact"/>
              <w:rPr>
                <w:sz w:val="20"/>
                <w:szCs w:val="20"/>
                <w:color w:val="auto"/>
              </w:rPr>
            </w:pPr>
            <w:r>
              <w:rPr>
                <w:rFonts w:ascii="Arial" w:cs="Arial" w:eastAsia="Arial" w:hAnsi="Arial"/>
                <w:sz w:val="12"/>
                <w:szCs w:val="12"/>
                <w:color w:val="auto"/>
              </w:rPr>
              <w:t>Worklife America, Inc.</w:t>
            </w:r>
          </w:p>
        </w:tc>
        <w:tc>
          <w:tcPr>
            <w:tcW w:w="2160" w:type="dxa"/>
            <w:vAlign w:val="bottom"/>
          </w:tcPr>
          <w:p>
            <w:pPr>
              <w:ind w:left="80"/>
              <w:spacing w:after="0" w:line="110" w:lineRule="exact"/>
              <w:rPr>
                <w:sz w:val="20"/>
                <w:szCs w:val="20"/>
                <w:color w:val="auto"/>
              </w:rPr>
            </w:pPr>
            <w:r>
              <w:rPr>
                <w:rFonts w:ascii="Arial" w:cs="Arial" w:eastAsia="Arial" w:hAnsi="Arial"/>
                <w:sz w:val="12"/>
                <w:szCs w:val="12"/>
                <w:color w:val="auto"/>
              </w:rPr>
              <w:t>Professional Employer</w:t>
            </w:r>
          </w:p>
        </w:tc>
        <w:tc>
          <w:tcPr>
            <w:tcW w:w="2600" w:type="dxa"/>
            <w:vAlign w:val="bottom"/>
          </w:tcPr>
          <w:p>
            <w:pPr>
              <w:ind w:left="100"/>
              <w:spacing w:after="0" w:line="110" w:lineRule="exact"/>
              <w:rPr>
                <w:sz w:val="20"/>
                <w:szCs w:val="20"/>
                <w:color w:val="auto"/>
              </w:rPr>
            </w:pPr>
            <w:r>
              <w:rPr>
                <w:rFonts w:ascii="Arial" w:cs="Arial" w:eastAsia="Arial" w:hAnsi="Arial"/>
                <w:sz w:val="12"/>
                <w:szCs w:val="12"/>
                <w:color w:val="auto"/>
              </w:rPr>
              <w:t>Senior Secured Debt (12% Cash,</w:t>
            </w: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2160" w:type="dxa"/>
            <w:vAlign w:val="bottom"/>
          </w:tcPr>
          <w:p>
            <w:pPr>
              <w:ind w:left="80"/>
              <w:spacing w:after="0"/>
              <w:rPr>
                <w:sz w:val="20"/>
                <w:szCs w:val="20"/>
                <w:color w:val="auto"/>
              </w:rPr>
            </w:pPr>
            <w:r>
              <w:rPr>
                <w:rFonts w:ascii="Arial" w:cs="Arial" w:eastAsia="Arial" w:hAnsi="Arial"/>
                <w:sz w:val="14"/>
                <w:szCs w:val="14"/>
                <w:color w:val="auto"/>
              </w:rPr>
              <w:t>Organization</w:t>
            </w:r>
          </w:p>
        </w:tc>
        <w:tc>
          <w:tcPr>
            <w:tcW w:w="2600" w:type="dxa"/>
            <w:vAlign w:val="bottom"/>
          </w:tcPr>
          <w:p>
            <w:pPr>
              <w:ind w:left="100"/>
              <w:spacing w:after="0"/>
              <w:rPr>
                <w:sz w:val="20"/>
                <w:szCs w:val="20"/>
                <w:color w:val="auto"/>
              </w:rPr>
            </w:pPr>
            <w:r>
              <w:rPr>
                <w:rFonts w:ascii="Arial" w:cs="Arial" w:eastAsia="Arial" w:hAnsi="Arial"/>
                <w:sz w:val="14"/>
                <w:szCs w:val="14"/>
                <w:color w:val="auto"/>
              </w:rPr>
              <w:t>Due 12/28/16)</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18,656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18,656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18,656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30"/>
        </w:trPr>
        <w:tc>
          <w:tcPr>
            <w:tcW w:w="2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Worklife America, Inc.</w:t>
            </w:r>
          </w:p>
        </w:tc>
        <w:tc>
          <w:tcPr>
            <w:tcW w:w="21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Professional Employer</w:t>
            </w:r>
          </w:p>
        </w:tc>
        <w:tc>
          <w:tcPr>
            <w:tcW w:w="26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Common Unit Warrants (3.84%</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60" w:type="dxa"/>
            <w:vAlign w:val="bottom"/>
            <w:shd w:val="clear" w:color="auto" w:fill="CCEEFF"/>
          </w:tcPr>
          <w:p>
            <w:pPr>
              <w:spacing w:after="0"/>
              <w:rPr>
                <w:sz w:val="14"/>
                <w:szCs w:val="14"/>
                <w:color w:val="auto"/>
              </w:rPr>
            </w:pPr>
          </w:p>
        </w:tc>
        <w:tc>
          <w:tcPr>
            <w:tcW w:w="2160" w:type="dxa"/>
            <w:vAlign w:val="bottom"/>
            <w:shd w:val="clear" w:color="auto" w:fill="CCEEFF"/>
          </w:tcPr>
          <w:p>
            <w:pPr>
              <w:ind w:left="80"/>
              <w:spacing w:after="0"/>
              <w:rPr>
                <w:sz w:val="20"/>
                <w:szCs w:val="20"/>
                <w:color w:val="auto"/>
              </w:rPr>
            </w:pPr>
            <w:r>
              <w:rPr>
                <w:rFonts w:ascii="Arial" w:cs="Arial" w:eastAsia="Arial" w:hAnsi="Arial"/>
                <w:sz w:val="14"/>
                <w:szCs w:val="14"/>
                <w:color w:val="auto"/>
              </w:rPr>
              <w:t>Organization</w:t>
            </w:r>
          </w:p>
        </w:tc>
        <w:tc>
          <w:tcPr>
            <w:tcW w:w="26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ownership)</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3,441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0"/>
        </w:trPr>
        <w:tc>
          <w:tcPr>
            <w:tcW w:w="2560" w:type="dxa"/>
            <w:vAlign w:val="bottom"/>
          </w:tcPr>
          <w:p>
            <w:pPr>
              <w:spacing w:after="0" w:line="130" w:lineRule="exact"/>
              <w:rPr>
                <w:sz w:val="20"/>
                <w:szCs w:val="20"/>
                <w:color w:val="auto"/>
              </w:rPr>
            </w:pPr>
            <w:r>
              <w:rPr>
                <w:rFonts w:ascii="Arial" w:cs="Arial" w:eastAsia="Arial" w:hAnsi="Arial"/>
                <w:sz w:val="14"/>
                <w:szCs w:val="14"/>
                <w:color w:val="auto"/>
              </w:rPr>
              <w:t>Worklife America, Inc.</w:t>
            </w:r>
          </w:p>
        </w:tc>
        <w:tc>
          <w:tcPr>
            <w:tcW w:w="2160" w:type="dxa"/>
            <w:vAlign w:val="bottom"/>
          </w:tcPr>
          <w:p>
            <w:pPr>
              <w:ind w:left="80"/>
              <w:spacing w:after="0" w:line="130" w:lineRule="exact"/>
              <w:rPr>
                <w:sz w:val="20"/>
                <w:szCs w:val="20"/>
                <w:color w:val="auto"/>
              </w:rPr>
            </w:pPr>
            <w:r>
              <w:rPr>
                <w:rFonts w:ascii="Arial" w:cs="Arial" w:eastAsia="Arial" w:hAnsi="Arial"/>
                <w:sz w:val="14"/>
                <w:szCs w:val="14"/>
                <w:color w:val="auto"/>
              </w:rPr>
              <w:t>Professional Employer</w:t>
            </w:r>
          </w:p>
        </w:tc>
        <w:tc>
          <w:tcPr>
            <w:tcW w:w="2600" w:type="dxa"/>
            <w:vAlign w:val="bottom"/>
          </w:tcPr>
          <w:p>
            <w:pPr>
              <w:ind w:left="100"/>
              <w:spacing w:after="0" w:line="130" w:lineRule="exact"/>
              <w:rPr>
                <w:sz w:val="20"/>
                <w:szCs w:val="20"/>
                <w:color w:val="auto"/>
              </w:rPr>
            </w:pPr>
            <w:r>
              <w:rPr>
                <w:rFonts w:ascii="Arial" w:cs="Arial" w:eastAsia="Arial" w:hAnsi="Arial"/>
                <w:sz w:val="14"/>
                <w:szCs w:val="14"/>
                <w:color w:val="auto"/>
              </w:rPr>
              <w:t>Preferred Unit Warrants (3.84%</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560" w:type="dxa"/>
            <w:vAlign w:val="bottom"/>
          </w:tcPr>
          <w:p>
            <w:pPr>
              <w:spacing w:after="0"/>
              <w:rPr>
                <w:sz w:val="15"/>
                <w:szCs w:val="15"/>
                <w:color w:val="auto"/>
              </w:rPr>
            </w:pPr>
          </w:p>
        </w:tc>
        <w:tc>
          <w:tcPr>
            <w:tcW w:w="2160" w:type="dxa"/>
            <w:vAlign w:val="bottom"/>
          </w:tcPr>
          <w:p>
            <w:pPr>
              <w:ind w:left="80"/>
              <w:spacing w:after="0"/>
              <w:rPr>
                <w:sz w:val="20"/>
                <w:szCs w:val="20"/>
                <w:color w:val="auto"/>
              </w:rPr>
            </w:pPr>
            <w:r>
              <w:rPr>
                <w:rFonts w:ascii="Arial" w:cs="Arial" w:eastAsia="Arial" w:hAnsi="Arial"/>
                <w:sz w:val="14"/>
                <w:szCs w:val="14"/>
                <w:color w:val="auto"/>
              </w:rPr>
              <w:t>Organization</w:t>
            </w:r>
          </w:p>
        </w:tc>
        <w:tc>
          <w:tcPr>
            <w:tcW w:w="2600" w:type="dxa"/>
            <w:vAlign w:val="bottom"/>
          </w:tcPr>
          <w:p>
            <w:pPr>
              <w:ind w:left="100"/>
              <w:spacing w:after="0"/>
              <w:rPr>
                <w:sz w:val="20"/>
                <w:szCs w:val="20"/>
                <w:color w:val="auto"/>
              </w:rPr>
            </w:pPr>
            <w:r>
              <w:rPr>
                <w:rFonts w:ascii="Arial" w:cs="Arial" w:eastAsia="Arial" w:hAnsi="Arial"/>
                <w:sz w:val="14"/>
                <w:szCs w:val="14"/>
                <w:color w:val="auto"/>
              </w:rPr>
              <w:t>ownership)</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580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560" w:type="dxa"/>
            <w:vAlign w:val="bottom"/>
            <w:tcBorders>
              <w:top w:val="single" w:sz="8" w:color="CCEEFF"/>
            </w:tcBorders>
            <w:shd w:val="clear" w:color="auto" w:fill="CCEEFF"/>
          </w:tcPr>
          <w:p>
            <w:pPr>
              <w:spacing w:after="0"/>
              <w:rPr>
                <w:sz w:val="12"/>
                <w:szCs w:val="12"/>
                <w:color w:val="auto"/>
              </w:rPr>
            </w:pPr>
          </w:p>
        </w:tc>
        <w:tc>
          <w:tcPr>
            <w:tcW w:w="2160" w:type="dxa"/>
            <w:vAlign w:val="bottom"/>
            <w:tcBorders>
              <w:top w:val="single" w:sz="8" w:color="CCEEFF"/>
            </w:tcBorders>
            <w:shd w:val="clear" w:color="auto" w:fill="CCEEFF"/>
          </w:tcPr>
          <w:p>
            <w:pPr>
              <w:spacing w:after="0"/>
              <w:rPr>
                <w:sz w:val="12"/>
                <w:szCs w:val="12"/>
                <w:color w:val="auto"/>
              </w:rPr>
            </w:pPr>
          </w:p>
        </w:tc>
        <w:tc>
          <w:tcPr>
            <w:tcW w:w="26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18,656</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22,677</w:t>
            </w:r>
          </w:p>
        </w:tc>
        <w:tc>
          <w:tcPr>
            <w:tcW w:w="2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06"/>
        </w:trPr>
        <w:tc>
          <w:tcPr>
            <w:tcW w:w="2560" w:type="dxa"/>
            <w:vAlign w:val="bottom"/>
          </w:tcPr>
          <w:p>
            <w:pPr>
              <w:spacing w:after="0" w:line="106" w:lineRule="exact"/>
              <w:rPr>
                <w:sz w:val="20"/>
                <w:szCs w:val="20"/>
                <w:color w:val="auto"/>
              </w:rPr>
            </w:pPr>
            <w:r>
              <w:rPr>
                <w:rFonts w:ascii="Arial" w:cs="Arial" w:eastAsia="Arial" w:hAnsi="Arial"/>
                <w:sz w:val="12"/>
                <w:szCs w:val="12"/>
                <w:b w:val="1"/>
                <w:bCs w:val="1"/>
                <w:color w:val="auto"/>
              </w:rPr>
              <w:t>Sub Total Non-control/Non-affiliated</w:t>
            </w:r>
          </w:p>
        </w:tc>
        <w:tc>
          <w:tcPr>
            <w:tcW w:w="21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2560" w:type="dxa"/>
            <w:vAlign w:val="bottom"/>
          </w:tcPr>
          <w:p>
            <w:pPr>
              <w:spacing w:after="0"/>
              <w:rPr>
                <w:sz w:val="20"/>
                <w:szCs w:val="20"/>
                <w:color w:val="auto"/>
              </w:rPr>
            </w:pPr>
            <w:r>
              <w:rPr>
                <w:rFonts w:ascii="Arial" w:cs="Arial" w:eastAsia="Arial" w:hAnsi="Arial"/>
                <w:sz w:val="14"/>
                <w:szCs w:val="14"/>
                <w:b w:val="1"/>
                <w:bCs w:val="1"/>
                <w:color w:val="auto"/>
              </w:rPr>
              <w:t>investments</w:t>
            </w:r>
          </w:p>
        </w:tc>
        <w:tc>
          <w:tcPr>
            <w:tcW w:w="21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84,138</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99,140</w:t>
            </w:r>
          </w:p>
        </w:tc>
        <w:tc>
          <w:tcPr>
            <w:tcW w:w="1020" w:type="dxa"/>
            <w:vAlign w:val="bottom"/>
            <w:gridSpan w:val="2"/>
          </w:tcPr>
          <w:p>
            <w:pPr>
              <w:jc w:val="right"/>
              <w:spacing w:after="0" w:line="199" w:lineRule="exact"/>
              <w:rPr>
                <w:sz w:val="20"/>
                <w:szCs w:val="20"/>
                <w:color w:val="auto"/>
              </w:rPr>
            </w:pPr>
            <w:r>
              <w:rPr>
                <w:rFonts w:ascii="Arial" w:cs="Arial" w:eastAsia="Arial" w:hAnsi="Arial"/>
                <w:sz w:val="12"/>
                <w:szCs w:val="12"/>
                <w:color w:val="auto"/>
              </w:rPr>
              <w:t>36.9</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129"/>
        </w:trPr>
        <w:tc>
          <w:tcPr>
            <w:tcW w:w="25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Affiliate investments - 70.4%</w:t>
            </w:r>
          </w:p>
        </w:tc>
        <w:tc>
          <w:tcPr>
            <w:tcW w:w="2160" w:type="dxa"/>
            <w:vAlign w:val="bottom"/>
            <w:tcBorders>
              <w:top w:val="single" w:sz="8" w:color="CCEEFF"/>
            </w:tcBorders>
            <w:shd w:val="clear" w:color="auto" w:fill="CCEEFF"/>
          </w:tcPr>
          <w:p>
            <w:pPr>
              <w:spacing w:after="0"/>
              <w:rPr>
                <w:sz w:val="11"/>
                <w:szCs w:val="11"/>
                <w:color w:val="auto"/>
              </w:rPr>
            </w:pPr>
          </w:p>
        </w:tc>
        <w:tc>
          <w:tcPr>
            <w:tcW w:w="26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right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560" w:type="dxa"/>
            <w:vAlign w:val="bottom"/>
          </w:tcPr>
          <w:p>
            <w:pPr>
              <w:spacing w:after="0" w:line="130" w:lineRule="exact"/>
              <w:rPr>
                <w:sz w:val="20"/>
                <w:szCs w:val="20"/>
                <w:color w:val="auto"/>
              </w:rPr>
            </w:pPr>
            <w:r>
              <w:rPr>
                <w:rFonts w:ascii="Arial" w:cs="Arial" w:eastAsia="Arial" w:hAnsi="Arial"/>
                <w:sz w:val="14"/>
                <w:szCs w:val="14"/>
                <w:color w:val="auto"/>
              </w:rPr>
              <w:t>Chef'N Corporation</w:t>
            </w:r>
          </w:p>
        </w:tc>
        <w:tc>
          <w:tcPr>
            <w:tcW w:w="2160" w:type="dxa"/>
            <w:vAlign w:val="bottom"/>
          </w:tcPr>
          <w:p>
            <w:pPr>
              <w:ind w:left="80"/>
              <w:spacing w:after="0" w:line="130" w:lineRule="exact"/>
              <w:rPr>
                <w:sz w:val="20"/>
                <w:szCs w:val="20"/>
                <w:color w:val="auto"/>
              </w:rPr>
            </w:pPr>
            <w:r>
              <w:rPr>
                <w:rFonts w:ascii="Arial" w:cs="Arial" w:eastAsia="Arial" w:hAnsi="Arial"/>
                <w:sz w:val="14"/>
                <w:szCs w:val="14"/>
                <w:color w:val="auto"/>
              </w:rPr>
              <w:t>Culinary Products</w:t>
            </w:r>
          </w:p>
        </w:tc>
        <w:tc>
          <w:tcPr>
            <w:tcW w:w="2600" w:type="dxa"/>
            <w:vAlign w:val="bottom"/>
          </w:tcPr>
          <w:p>
            <w:pPr>
              <w:ind w:left="100"/>
              <w:spacing w:after="0" w:line="130" w:lineRule="exact"/>
              <w:rPr>
                <w:sz w:val="20"/>
                <w:szCs w:val="20"/>
                <w:color w:val="auto"/>
              </w:rPr>
            </w:pPr>
            <w:r>
              <w:rPr>
                <w:rFonts w:ascii="Arial" w:cs="Arial" w:eastAsia="Arial" w:hAnsi="Arial"/>
                <w:sz w:val="14"/>
                <w:szCs w:val="14"/>
                <w:color w:val="auto"/>
              </w:rPr>
              <w:t>Subordinated Debt (15%, 3% PIK</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600" w:type="dxa"/>
            <w:vAlign w:val="bottom"/>
          </w:tcPr>
          <w:p>
            <w:pPr>
              <w:ind w:left="100"/>
              <w:spacing w:after="0"/>
              <w:rPr>
                <w:sz w:val="20"/>
                <w:szCs w:val="20"/>
                <w:color w:val="auto"/>
              </w:rPr>
            </w:pPr>
            <w:r>
              <w:rPr>
                <w:rFonts w:ascii="Arial" w:cs="Arial" w:eastAsia="Arial" w:hAnsi="Arial"/>
                <w:sz w:val="14"/>
                <w:szCs w:val="14"/>
                <w:color w:val="auto"/>
              </w:rPr>
              <w:t>at company's option, Due 5/16/18)   $</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6,300</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6,300</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6,300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30"/>
        </w:trPr>
        <w:tc>
          <w:tcPr>
            <w:tcW w:w="2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Chef'N Corporation</w:t>
            </w:r>
          </w:p>
        </w:tc>
        <w:tc>
          <w:tcPr>
            <w:tcW w:w="21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Culinary Products</w:t>
            </w:r>
          </w:p>
        </w:tc>
        <w:tc>
          <w:tcPr>
            <w:tcW w:w="26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Series A Preferred Stock</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56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(1,000,000 shares)</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56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7,300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10,302</w:t>
            </w:r>
          </w:p>
        </w:tc>
        <w:tc>
          <w:tcPr>
            <w:tcW w:w="2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10"/>
        </w:trPr>
        <w:tc>
          <w:tcPr>
            <w:tcW w:w="256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City Gear, LLC</w:t>
            </w:r>
          </w:p>
        </w:tc>
        <w:tc>
          <w:tcPr>
            <w:tcW w:w="2160" w:type="dxa"/>
            <w:vAlign w:val="bottom"/>
            <w:shd w:val="clear" w:color="auto" w:fill="CCEEFF"/>
          </w:tcPr>
          <w:p>
            <w:pPr>
              <w:ind w:left="80"/>
              <w:spacing w:after="0" w:line="110" w:lineRule="exact"/>
              <w:rPr>
                <w:sz w:val="20"/>
                <w:szCs w:val="20"/>
                <w:color w:val="auto"/>
              </w:rPr>
            </w:pPr>
            <w:r>
              <w:rPr>
                <w:rFonts w:ascii="Arial" w:cs="Arial" w:eastAsia="Arial" w:hAnsi="Arial"/>
                <w:sz w:val="12"/>
                <w:szCs w:val="12"/>
                <w:color w:val="auto"/>
              </w:rPr>
              <w:t>Footwear Retail</w:t>
            </w:r>
          </w:p>
        </w:tc>
        <w:tc>
          <w:tcPr>
            <w:tcW w:w="2600" w:type="dxa"/>
            <w:vAlign w:val="bottom"/>
            <w:shd w:val="clear" w:color="auto" w:fill="CCEEFF"/>
          </w:tcPr>
          <w:p>
            <w:pPr>
              <w:ind w:left="100"/>
              <w:spacing w:after="0" w:line="110" w:lineRule="exact"/>
              <w:rPr>
                <w:sz w:val="20"/>
                <w:szCs w:val="20"/>
                <w:color w:val="auto"/>
              </w:rPr>
            </w:pPr>
            <w:r>
              <w:rPr>
                <w:rFonts w:ascii="Arial" w:cs="Arial" w:eastAsia="Arial" w:hAnsi="Arial"/>
                <w:sz w:val="12"/>
                <w:szCs w:val="12"/>
                <w:color w:val="auto"/>
              </w:rPr>
              <w:t>Subordinated Debt (13% Cash, Due</w:t>
            </w: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2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5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9/28/16)</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8,231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8,231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8,231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2"/>
        </w:trPr>
        <w:tc>
          <w:tcPr>
            <w:tcW w:w="2560" w:type="dxa"/>
            <w:vAlign w:val="bottom"/>
          </w:tcPr>
          <w:p>
            <w:pPr>
              <w:spacing w:after="0" w:line="142" w:lineRule="exact"/>
              <w:rPr>
                <w:sz w:val="20"/>
                <w:szCs w:val="20"/>
                <w:color w:val="auto"/>
              </w:rPr>
            </w:pPr>
            <w:r>
              <w:rPr>
                <w:rFonts w:ascii="Arial" w:cs="Arial" w:eastAsia="Arial" w:hAnsi="Arial"/>
                <w:sz w:val="11"/>
                <w:szCs w:val="11"/>
                <w:color w:val="auto"/>
              </w:rPr>
              <w:t xml:space="preserve">City Gear, LLC </w:t>
            </w:r>
            <w:r>
              <w:rPr>
                <w:rFonts w:ascii="Arial" w:cs="Arial" w:eastAsia="Arial" w:hAnsi="Arial"/>
                <w:sz w:val="16"/>
                <w:szCs w:val="16"/>
                <w:color w:val="auto"/>
                <w:vertAlign w:val="superscript"/>
              </w:rPr>
              <w:t>(6)</w:t>
            </w:r>
          </w:p>
        </w:tc>
        <w:tc>
          <w:tcPr>
            <w:tcW w:w="2160" w:type="dxa"/>
            <w:vAlign w:val="bottom"/>
          </w:tcPr>
          <w:p>
            <w:pPr>
              <w:ind w:left="80"/>
              <w:spacing w:after="0" w:line="142" w:lineRule="exact"/>
              <w:rPr>
                <w:sz w:val="20"/>
                <w:szCs w:val="20"/>
                <w:color w:val="auto"/>
              </w:rPr>
            </w:pPr>
            <w:r>
              <w:rPr>
                <w:rFonts w:ascii="Arial" w:cs="Arial" w:eastAsia="Arial" w:hAnsi="Arial"/>
                <w:sz w:val="14"/>
                <w:szCs w:val="14"/>
                <w:color w:val="auto"/>
              </w:rPr>
              <w:t>Footwear Retail</w:t>
            </w:r>
          </w:p>
        </w:tc>
        <w:tc>
          <w:tcPr>
            <w:tcW w:w="2600" w:type="dxa"/>
            <w:vAlign w:val="bottom"/>
          </w:tcPr>
          <w:p>
            <w:pPr>
              <w:ind w:left="100"/>
              <w:spacing w:after="0" w:line="142" w:lineRule="exact"/>
              <w:rPr>
                <w:sz w:val="20"/>
                <w:szCs w:val="20"/>
                <w:color w:val="auto"/>
              </w:rPr>
            </w:pPr>
            <w:r>
              <w:rPr>
                <w:rFonts w:ascii="Arial" w:cs="Arial" w:eastAsia="Arial" w:hAnsi="Arial"/>
                <w:sz w:val="14"/>
                <w:szCs w:val="14"/>
                <w:color w:val="auto"/>
              </w:rPr>
              <w:t>Preferred Membership Units</w:t>
            </w: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1,269</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1,269</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600" w:type="dxa"/>
            <w:vAlign w:val="bottom"/>
          </w:tcPr>
          <w:p>
            <w:pPr>
              <w:ind w:left="100"/>
              <w:spacing w:after="0" w:line="155" w:lineRule="exact"/>
              <w:rPr>
                <w:sz w:val="20"/>
                <w:szCs w:val="20"/>
                <w:color w:val="auto"/>
              </w:rPr>
            </w:pPr>
            <w:r>
              <w:rPr>
                <w:rFonts w:ascii="Arial" w:cs="Arial" w:eastAsia="Arial" w:hAnsi="Arial"/>
                <w:sz w:val="14"/>
                <w:szCs w:val="14"/>
                <w:color w:val="auto"/>
              </w:rPr>
              <w:t>(2.78% fully diluted, 9% dividend)</w:t>
            </w: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City Gear, LLC</w:t>
            </w:r>
          </w:p>
        </w:tc>
        <w:tc>
          <w:tcPr>
            <w:tcW w:w="21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Footwear Retail</w:t>
            </w:r>
          </w:p>
        </w:tc>
        <w:tc>
          <w:tcPr>
            <w:tcW w:w="26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Membership Unit Warrants</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56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(11.37% fully diluted)</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5,307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56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9,500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14,807</w:t>
            </w:r>
          </w:p>
        </w:tc>
        <w:tc>
          <w:tcPr>
            <w:tcW w:w="2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10"/>
        </w:trPr>
        <w:tc>
          <w:tcPr>
            <w:tcW w:w="256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Corporate Visions, Inc.</w:t>
            </w:r>
          </w:p>
        </w:tc>
        <w:tc>
          <w:tcPr>
            <w:tcW w:w="2160" w:type="dxa"/>
            <w:vAlign w:val="bottom"/>
            <w:shd w:val="clear" w:color="auto" w:fill="CCEEFF"/>
          </w:tcPr>
          <w:p>
            <w:pPr>
              <w:ind w:left="80"/>
              <w:spacing w:after="0" w:line="110" w:lineRule="exact"/>
              <w:rPr>
                <w:sz w:val="20"/>
                <w:szCs w:val="20"/>
                <w:color w:val="auto"/>
              </w:rPr>
            </w:pPr>
            <w:r>
              <w:rPr>
                <w:rFonts w:ascii="Arial" w:cs="Arial" w:eastAsia="Arial" w:hAnsi="Arial"/>
                <w:sz w:val="12"/>
                <w:szCs w:val="12"/>
                <w:color w:val="auto"/>
              </w:rPr>
              <w:t>Sales &amp; Marketing Services</w:t>
            </w:r>
          </w:p>
        </w:tc>
        <w:tc>
          <w:tcPr>
            <w:tcW w:w="2600" w:type="dxa"/>
            <w:vAlign w:val="bottom"/>
            <w:shd w:val="clear" w:color="auto" w:fill="CCEEFF"/>
          </w:tcPr>
          <w:p>
            <w:pPr>
              <w:ind w:left="100"/>
              <w:spacing w:after="0" w:line="110" w:lineRule="exact"/>
              <w:rPr>
                <w:sz w:val="20"/>
                <w:szCs w:val="20"/>
                <w:color w:val="auto"/>
              </w:rPr>
            </w:pPr>
            <w:r>
              <w:rPr>
                <w:rFonts w:ascii="Arial" w:cs="Arial" w:eastAsia="Arial" w:hAnsi="Arial"/>
                <w:sz w:val="12"/>
                <w:szCs w:val="12"/>
                <w:color w:val="auto"/>
              </w:rPr>
              <w:t>Subordinated Debt (14% Cash, 2%</w:t>
            </w: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2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5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PIK, Due 3/22/18)</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11,174</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11,174</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11,174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Corporate Visions, Inc.</w:t>
            </w:r>
          </w:p>
        </w:tc>
        <w:tc>
          <w:tcPr>
            <w:tcW w:w="2160" w:type="dxa"/>
            <w:vAlign w:val="bottom"/>
          </w:tcPr>
          <w:p>
            <w:pPr>
              <w:ind w:left="80"/>
              <w:spacing w:after="0" w:line="149" w:lineRule="exact"/>
              <w:rPr>
                <w:sz w:val="20"/>
                <w:szCs w:val="20"/>
                <w:color w:val="auto"/>
              </w:rPr>
            </w:pPr>
            <w:r>
              <w:rPr>
                <w:rFonts w:ascii="Arial" w:cs="Arial" w:eastAsia="Arial" w:hAnsi="Arial"/>
                <w:sz w:val="14"/>
                <w:szCs w:val="14"/>
                <w:color w:val="auto"/>
              </w:rPr>
              <w:t>Sales &amp; Marketing Services</w:t>
            </w:r>
          </w:p>
        </w:tc>
        <w:tc>
          <w:tcPr>
            <w:tcW w:w="2600" w:type="dxa"/>
            <w:vAlign w:val="bottom"/>
          </w:tcPr>
          <w:p>
            <w:pPr>
              <w:ind w:left="100"/>
              <w:spacing w:after="0" w:line="149" w:lineRule="exact"/>
              <w:rPr>
                <w:sz w:val="20"/>
                <w:szCs w:val="20"/>
                <w:color w:val="auto"/>
              </w:rPr>
            </w:pPr>
            <w:r>
              <w:rPr>
                <w:rFonts w:ascii="Arial" w:cs="Arial" w:eastAsia="Arial" w:hAnsi="Arial"/>
                <w:sz w:val="14"/>
                <w:szCs w:val="14"/>
                <w:color w:val="auto"/>
              </w:rPr>
              <w:t>Common Stock (2,216,463 shares)</w:t>
            </w: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2,576</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9,797</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30"/>
        </w:trPr>
        <w:tc>
          <w:tcPr>
            <w:tcW w:w="2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Corporate Visions, Inc.</w:t>
            </w:r>
          </w:p>
        </w:tc>
        <w:tc>
          <w:tcPr>
            <w:tcW w:w="21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Sales &amp; Marketing Services</w:t>
            </w:r>
          </w:p>
        </w:tc>
        <w:tc>
          <w:tcPr>
            <w:tcW w:w="26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Common Stock Warrant (403,257</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56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1,782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56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13,750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22,753</w:t>
            </w:r>
          </w:p>
        </w:tc>
        <w:tc>
          <w:tcPr>
            <w:tcW w:w="2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10"/>
        </w:trPr>
        <w:tc>
          <w:tcPr>
            <w:tcW w:w="256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GA Communications, Inc.</w:t>
            </w:r>
          </w:p>
        </w:tc>
        <w:tc>
          <w:tcPr>
            <w:tcW w:w="2160" w:type="dxa"/>
            <w:vAlign w:val="bottom"/>
            <w:shd w:val="clear" w:color="auto" w:fill="CCEEFF"/>
          </w:tcPr>
          <w:p>
            <w:pPr>
              <w:ind w:left="80"/>
              <w:spacing w:after="0" w:line="110" w:lineRule="exact"/>
              <w:rPr>
                <w:sz w:val="20"/>
                <w:szCs w:val="20"/>
                <w:color w:val="auto"/>
              </w:rPr>
            </w:pPr>
            <w:r>
              <w:rPr>
                <w:rFonts w:ascii="Arial" w:cs="Arial" w:eastAsia="Arial" w:hAnsi="Arial"/>
                <w:sz w:val="12"/>
                <w:szCs w:val="12"/>
                <w:color w:val="auto"/>
              </w:rPr>
              <w:t>Advertising &amp; Marketing Services</w:t>
            </w:r>
          </w:p>
        </w:tc>
        <w:tc>
          <w:tcPr>
            <w:tcW w:w="2600" w:type="dxa"/>
            <w:vAlign w:val="bottom"/>
            <w:shd w:val="clear" w:color="auto" w:fill="CCEEFF"/>
          </w:tcPr>
          <w:p>
            <w:pPr>
              <w:ind w:left="100"/>
              <w:spacing w:after="0" w:line="110" w:lineRule="exact"/>
              <w:rPr>
                <w:sz w:val="20"/>
                <w:szCs w:val="20"/>
                <w:color w:val="auto"/>
              </w:rPr>
            </w:pPr>
            <w:r>
              <w:rPr>
                <w:rFonts w:ascii="Arial" w:cs="Arial" w:eastAsia="Arial" w:hAnsi="Arial"/>
                <w:sz w:val="12"/>
                <w:szCs w:val="12"/>
                <w:color w:val="auto"/>
              </w:rPr>
              <w:t>Series A-1 Preferred Stock (1,998</w:t>
            </w: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2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5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1,998</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2,370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30"/>
        </w:trPr>
        <w:tc>
          <w:tcPr>
            <w:tcW w:w="2560" w:type="dxa"/>
            <w:vAlign w:val="bottom"/>
          </w:tcPr>
          <w:p>
            <w:pPr>
              <w:spacing w:after="0" w:line="130" w:lineRule="exact"/>
              <w:rPr>
                <w:sz w:val="20"/>
                <w:szCs w:val="20"/>
                <w:color w:val="auto"/>
              </w:rPr>
            </w:pPr>
            <w:r>
              <w:rPr>
                <w:rFonts w:ascii="Arial" w:cs="Arial" w:eastAsia="Arial" w:hAnsi="Arial"/>
                <w:sz w:val="14"/>
                <w:szCs w:val="14"/>
                <w:color w:val="auto"/>
              </w:rPr>
              <w:t>GA Communications, Inc.</w:t>
            </w:r>
          </w:p>
        </w:tc>
        <w:tc>
          <w:tcPr>
            <w:tcW w:w="2160" w:type="dxa"/>
            <w:vAlign w:val="bottom"/>
          </w:tcPr>
          <w:p>
            <w:pPr>
              <w:ind w:left="80"/>
              <w:spacing w:after="0" w:line="130" w:lineRule="exact"/>
              <w:rPr>
                <w:sz w:val="20"/>
                <w:szCs w:val="20"/>
                <w:color w:val="auto"/>
              </w:rPr>
            </w:pPr>
            <w:r>
              <w:rPr>
                <w:rFonts w:ascii="Arial" w:cs="Arial" w:eastAsia="Arial" w:hAnsi="Arial"/>
                <w:sz w:val="14"/>
                <w:szCs w:val="14"/>
                <w:color w:val="auto"/>
              </w:rPr>
              <w:t>Advertising &amp; Marketing Services</w:t>
            </w:r>
          </w:p>
        </w:tc>
        <w:tc>
          <w:tcPr>
            <w:tcW w:w="2600" w:type="dxa"/>
            <w:vAlign w:val="bottom"/>
          </w:tcPr>
          <w:p>
            <w:pPr>
              <w:ind w:left="100"/>
              <w:spacing w:after="0" w:line="130" w:lineRule="exact"/>
              <w:rPr>
                <w:sz w:val="20"/>
                <w:szCs w:val="20"/>
                <w:color w:val="auto"/>
              </w:rPr>
            </w:pPr>
            <w:r>
              <w:rPr>
                <w:rFonts w:ascii="Arial" w:cs="Arial" w:eastAsia="Arial" w:hAnsi="Arial"/>
                <w:sz w:val="14"/>
                <w:szCs w:val="14"/>
                <w:color w:val="auto"/>
              </w:rPr>
              <w:t>Series B-1 Common Stock</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5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600" w:type="dxa"/>
            <w:vAlign w:val="bottom"/>
          </w:tcPr>
          <w:p>
            <w:pPr>
              <w:ind w:left="100"/>
              <w:spacing w:after="0"/>
              <w:rPr>
                <w:sz w:val="20"/>
                <w:szCs w:val="20"/>
                <w:color w:val="auto"/>
              </w:rPr>
            </w:pPr>
            <w:r>
              <w:rPr>
                <w:rFonts w:ascii="Arial" w:cs="Arial" w:eastAsia="Arial" w:hAnsi="Arial"/>
                <w:sz w:val="14"/>
                <w:szCs w:val="14"/>
                <w:color w:val="auto"/>
              </w:rPr>
              <w:t>(200,000 shares)</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2,541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2560" w:type="dxa"/>
            <w:vAlign w:val="bottom"/>
            <w:tcBorders>
              <w:top w:val="single" w:sz="8" w:color="CCEEFF"/>
            </w:tcBorders>
            <w:shd w:val="clear" w:color="auto" w:fill="CCEEFF"/>
          </w:tcPr>
          <w:p>
            <w:pPr>
              <w:spacing w:after="0"/>
              <w:rPr>
                <w:sz w:val="12"/>
                <w:szCs w:val="12"/>
                <w:color w:val="auto"/>
              </w:rPr>
            </w:pPr>
          </w:p>
        </w:tc>
        <w:tc>
          <w:tcPr>
            <w:tcW w:w="2160" w:type="dxa"/>
            <w:vAlign w:val="bottom"/>
            <w:tcBorders>
              <w:top w:val="single" w:sz="8" w:color="CCEEFF"/>
            </w:tcBorders>
            <w:shd w:val="clear" w:color="auto" w:fill="CCEEFF"/>
          </w:tcPr>
          <w:p>
            <w:pPr>
              <w:spacing w:after="0"/>
              <w:rPr>
                <w:sz w:val="12"/>
                <w:szCs w:val="12"/>
                <w:color w:val="auto"/>
              </w:rPr>
            </w:pPr>
          </w:p>
        </w:tc>
        <w:tc>
          <w:tcPr>
            <w:tcW w:w="26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2,000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4,911</w:t>
            </w:r>
          </w:p>
        </w:tc>
        <w:tc>
          <w:tcPr>
            <w:tcW w:w="2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2"/>
        </w:trPr>
        <w:tc>
          <w:tcPr>
            <w:tcW w:w="2560" w:type="dxa"/>
            <w:vAlign w:val="bottom"/>
          </w:tcPr>
          <w:p>
            <w:pPr>
              <w:spacing w:after="0" w:line="142" w:lineRule="exact"/>
              <w:rPr>
                <w:sz w:val="20"/>
                <w:szCs w:val="20"/>
                <w:color w:val="auto"/>
              </w:rPr>
            </w:pPr>
            <w:r>
              <w:rPr>
                <w:rFonts w:ascii="Arial" w:cs="Arial" w:eastAsia="Arial" w:hAnsi="Arial"/>
                <w:sz w:val="11"/>
                <w:szCs w:val="11"/>
                <w:color w:val="auto"/>
              </w:rPr>
              <w:t xml:space="preserve">Impresa Aerospace Holdings, LLC </w:t>
            </w:r>
            <w:r>
              <w:rPr>
                <w:rFonts w:ascii="Arial" w:cs="Arial" w:eastAsia="Arial" w:hAnsi="Arial"/>
                <w:sz w:val="16"/>
                <w:szCs w:val="16"/>
                <w:color w:val="auto"/>
                <w:vertAlign w:val="superscript"/>
              </w:rPr>
              <w:t>(3)</w:t>
            </w:r>
          </w:p>
        </w:tc>
        <w:tc>
          <w:tcPr>
            <w:tcW w:w="2160" w:type="dxa"/>
            <w:vAlign w:val="bottom"/>
          </w:tcPr>
          <w:p>
            <w:pPr>
              <w:ind w:left="80"/>
              <w:spacing w:after="0" w:line="142" w:lineRule="exact"/>
              <w:rPr>
                <w:sz w:val="20"/>
                <w:szCs w:val="20"/>
                <w:color w:val="auto"/>
              </w:rPr>
            </w:pPr>
            <w:r>
              <w:rPr>
                <w:rFonts w:ascii="Arial" w:cs="Arial" w:eastAsia="Arial" w:hAnsi="Arial"/>
                <w:sz w:val="14"/>
                <w:szCs w:val="14"/>
                <w:color w:val="auto"/>
              </w:rPr>
              <w:t>Aerospace Parts Manufacturer</w:t>
            </w:r>
          </w:p>
        </w:tc>
        <w:tc>
          <w:tcPr>
            <w:tcW w:w="2600" w:type="dxa"/>
            <w:vAlign w:val="bottom"/>
          </w:tcPr>
          <w:p>
            <w:pPr>
              <w:ind w:left="100"/>
              <w:spacing w:after="0" w:line="142" w:lineRule="exact"/>
              <w:rPr>
                <w:sz w:val="20"/>
                <w:szCs w:val="20"/>
                <w:color w:val="auto"/>
              </w:rPr>
            </w:pPr>
            <w:r>
              <w:rPr>
                <w:rFonts w:ascii="Arial" w:cs="Arial" w:eastAsia="Arial" w:hAnsi="Arial"/>
                <w:sz w:val="14"/>
                <w:szCs w:val="14"/>
                <w:color w:val="auto"/>
              </w:rPr>
              <w:t>Subordinated Debt (4.1% Cash,</w:t>
            </w: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13,274</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12,258</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10,064</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600" w:type="dxa"/>
            <w:vAlign w:val="bottom"/>
          </w:tcPr>
          <w:p>
            <w:pPr>
              <w:ind w:left="100"/>
              <w:spacing w:after="0" w:line="135" w:lineRule="exact"/>
              <w:rPr>
                <w:sz w:val="20"/>
                <w:szCs w:val="20"/>
                <w:color w:val="auto"/>
              </w:rPr>
            </w:pPr>
            <w:r>
              <w:rPr>
                <w:rFonts w:ascii="Arial" w:cs="Arial" w:eastAsia="Arial" w:hAnsi="Arial"/>
                <w:sz w:val="14"/>
                <w:szCs w:val="14"/>
                <w:color w:val="auto"/>
              </w:rPr>
              <w:t>Due 4/28/16)</w:t>
            </w: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Impresa Aerospace Holdings, LLC</w:t>
            </w:r>
          </w:p>
        </w:tc>
        <w:tc>
          <w:tcPr>
            <w:tcW w:w="21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Aerospace Parts Manufacturer</w:t>
            </w:r>
          </w:p>
        </w:tc>
        <w:tc>
          <w:tcPr>
            <w:tcW w:w="26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Class A Membership Units</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(1,006,621 units)</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560" w:type="dxa"/>
            <w:vAlign w:val="bottom"/>
          </w:tcPr>
          <w:p>
            <w:pPr>
              <w:spacing w:after="0" w:line="130" w:lineRule="exact"/>
              <w:rPr>
                <w:sz w:val="20"/>
                <w:szCs w:val="20"/>
                <w:color w:val="auto"/>
              </w:rPr>
            </w:pPr>
            <w:r>
              <w:rPr>
                <w:rFonts w:ascii="Arial" w:cs="Arial" w:eastAsia="Arial" w:hAnsi="Arial"/>
                <w:sz w:val="14"/>
                <w:szCs w:val="14"/>
                <w:color w:val="auto"/>
              </w:rPr>
              <w:t>Impresa Aerospace Holdings, LLC</w:t>
            </w:r>
          </w:p>
        </w:tc>
        <w:tc>
          <w:tcPr>
            <w:tcW w:w="2160" w:type="dxa"/>
            <w:vAlign w:val="bottom"/>
          </w:tcPr>
          <w:p>
            <w:pPr>
              <w:ind w:left="80"/>
              <w:spacing w:after="0" w:line="130" w:lineRule="exact"/>
              <w:rPr>
                <w:sz w:val="20"/>
                <w:szCs w:val="20"/>
                <w:color w:val="auto"/>
              </w:rPr>
            </w:pPr>
            <w:r>
              <w:rPr>
                <w:rFonts w:ascii="Arial" w:cs="Arial" w:eastAsia="Arial" w:hAnsi="Arial"/>
                <w:sz w:val="14"/>
                <w:szCs w:val="14"/>
                <w:color w:val="auto"/>
              </w:rPr>
              <w:t>Aerospace Parts Manufacturer</w:t>
            </w:r>
          </w:p>
        </w:tc>
        <w:tc>
          <w:tcPr>
            <w:tcW w:w="2600" w:type="dxa"/>
            <w:vAlign w:val="bottom"/>
          </w:tcPr>
          <w:p>
            <w:pPr>
              <w:ind w:left="100"/>
              <w:spacing w:after="0" w:line="130" w:lineRule="exact"/>
              <w:rPr>
                <w:sz w:val="20"/>
                <w:szCs w:val="20"/>
                <w:color w:val="auto"/>
              </w:rPr>
            </w:pPr>
            <w:r>
              <w:rPr>
                <w:rFonts w:ascii="Arial" w:cs="Arial" w:eastAsia="Arial" w:hAnsi="Arial"/>
                <w:sz w:val="14"/>
                <w:szCs w:val="14"/>
                <w:color w:val="auto"/>
              </w:rPr>
              <w:t>Class C Membership Units</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600" w:type="dxa"/>
            <w:vAlign w:val="bottom"/>
          </w:tcPr>
          <w:p>
            <w:pPr>
              <w:ind w:left="100"/>
              <w:spacing w:after="0"/>
              <w:rPr>
                <w:sz w:val="20"/>
                <w:szCs w:val="20"/>
                <w:color w:val="auto"/>
              </w:rPr>
            </w:pPr>
            <w:r>
              <w:rPr>
                <w:rFonts w:ascii="Arial" w:cs="Arial" w:eastAsia="Arial" w:hAnsi="Arial"/>
                <w:sz w:val="14"/>
                <w:szCs w:val="14"/>
                <w:color w:val="auto"/>
              </w:rPr>
              <w:t>(362,416 units)</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Impresa Aerospace Holdings, LLC</w:t>
            </w:r>
          </w:p>
        </w:tc>
        <w:tc>
          <w:tcPr>
            <w:tcW w:w="21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Aerospace Parts Manufacturer</w:t>
            </w:r>
          </w:p>
        </w:tc>
        <w:tc>
          <w:tcPr>
            <w:tcW w:w="26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Class F Membership Units</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56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(604,504 units)</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14,124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10,064</w:t>
            </w:r>
          </w:p>
        </w:tc>
        <w:tc>
          <w:tcPr>
            <w:tcW w:w="220" w:type="dxa"/>
            <w:vAlign w:val="bottom"/>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3.7</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Investment Interest Rate /</w:t>
            </w: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Principal</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Fair</w:t>
            </w:r>
          </w:p>
        </w:tc>
        <w:tc>
          <w:tcPr>
            <w:tcW w:w="102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3"/>
                <w:szCs w:val="23"/>
                <w:b w:val="1"/>
                <w:bCs w:val="1"/>
                <w:color w:val="auto"/>
                <w:vertAlign w:val="superscript"/>
              </w:rPr>
              <w:t>(4, 5)</w:t>
            </w:r>
          </w:p>
        </w:tc>
        <w:tc>
          <w:tcPr>
            <w:tcW w:w="20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1120" w:type="dxa"/>
            <w:vAlign w:val="bottom"/>
            <w:gridSpan w:val="2"/>
            <w:vMerge w:val="continue"/>
          </w:tcPr>
          <w:p>
            <w:pPr>
              <w:spacing w:after="0"/>
              <w:rPr>
                <w:sz w:val="12"/>
                <w:szCs w:val="12"/>
                <w:color w:val="auto"/>
              </w:rPr>
            </w:pPr>
          </w:p>
        </w:tc>
        <w:tc>
          <w:tcPr>
            <w:tcW w:w="1020" w:type="dxa"/>
            <w:vAlign w:val="bottom"/>
            <w:gridSpan w:val="2"/>
          </w:tcPr>
          <w:p>
            <w:pPr>
              <w:jc w:val="center"/>
              <w:ind w:right="88"/>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640" w:type="dxa"/>
            <w:vAlign w:val="bottom"/>
            <w:gridSpan w:val="2"/>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Maturity</w:t>
            </w: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120" w:type="dxa"/>
            <w:vAlign w:val="bottom"/>
            <w:gridSpan w:val="2"/>
            <w:vMerge w:val="continue"/>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102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3"/>
        </w:trPr>
        <w:tc>
          <w:tcPr>
            <w:tcW w:w="25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J&amp;J Produce Holdings, Inc.</w:t>
            </w:r>
          </w:p>
        </w:tc>
        <w:tc>
          <w:tcPr>
            <w:tcW w:w="120" w:type="dxa"/>
            <w:vAlign w:val="bottom"/>
            <w:tcBorders>
              <w:top w:val="single" w:sz="8" w:color="CCEEFF"/>
            </w:tcBorders>
            <w:shd w:val="clear" w:color="auto" w:fill="CCEEFF"/>
          </w:tcPr>
          <w:p>
            <w:pPr>
              <w:spacing w:after="0"/>
              <w:rPr>
                <w:sz w:val="10"/>
                <w:szCs w:val="10"/>
                <w:color w:val="auto"/>
              </w:rPr>
            </w:pPr>
          </w:p>
        </w:tc>
        <w:tc>
          <w:tcPr>
            <w:tcW w:w="20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Produce Distribution</w:t>
            </w:r>
          </w:p>
        </w:tc>
        <w:tc>
          <w:tcPr>
            <w:tcW w:w="120" w:type="dxa"/>
            <w:vAlign w:val="bottom"/>
            <w:tcBorders>
              <w:top w:val="single" w:sz="8" w:color="CCEEFF"/>
            </w:tcBorders>
            <w:shd w:val="clear" w:color="auto" w:fill="CCEEFF"/>
          </w:tcPr>
          <w:p>
            <w:pPr>
              <w:spacing w:after="0"/>
              <w:rPr>
                <w:sz w:val="10"/>
                <w:szCs w:val="10"/>
                <w:color w:val="auto"/>
              </w:rPr>
            </w:pPr>
          </w:p>
        </w:tc>
        <w:tc>
          <w:tcPr>
            <w:tcW w:w="20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92"/>
              </w:rPr>
              <w:t>Subordinated Debt (13% Cash, Due</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7/16/18)</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5,182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5,182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5,182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J&amp;J Produce Holdings, Inc.</w:t>
            </w: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Produce Distribution</w:t>
            </w:r>
          </w:p>
        </w:tc>
        <w:tc>
          <w:tcPr>
            <w:tcW w:w="23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Common Stock (8,182 Shares)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818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934</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0"/>
        </w:trPr>
        <w:tc>
          <w:tcPr>
            <w:tcW w:w="2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J&amp;J Produce Holdings, Inc.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Produce Distribution</w:t>
            </w:r>
          </w:p>
        </w:tc>
        <w:tc>
          <w:tcPr>
            <w:tcW w:w="23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Warrants (4,506</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5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6,000</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6,631</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6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LJS Partners, LLC</w:t>
            </w:r>
          </w:p>
        </w:tc>
        <w:tc>
          <w:tcPr>
            <w:tcW w:w="20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QSR Franchisor</w:t>
            </w:r>
          </w:p>
        </w:tc>
        <w:tc>
          <w:tcPr>
            <w:tcW w:w="2320" w:type="dxa"/>
            <w:vAlign w:val="bottom"/>
            <w:gridSpan w:val="3"/>
            <w:shd w:val="clear" w:color="auto" w:fill="CCEEFF"/>
          </w:tcPr>
          <w:p>
            <w:pPr>
              <w:ind w:left="120"/>
              <w:spacing w:after="0" w:line="142" w:lineRule="exact"/>
              <w:rPr>
                <w:sz w:val="20"/>
                <w:szCs w:val="20"/>
                <w:color w:val="auto"/>
              </w:rPr>
            </w:pPr>
            <w:r>
              <w:rPr>
                <w:rFonts w:ascii="Arial" w:cs="Arial" w:eastAsia="Arial" w:hAnsi="Arial"/>
                <w:sz w:val="14"/>
                <w:szCs w:val="14"/>
                <w:color w:val="auto"/>
              </w:rPr>
              <w:t>Common Stock (1,500,000 shares)</w:t>
            </w: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1,500</w:t>
            </w:r>
          </w:p>
        </w:tc>
        <w:tc>
          <w:tcPr>
            <w:tcW w:w="22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14,622</w:t>
            </w:r>
          </w:p>
        </w:tc>
        <w:tc>
          <w:tcPr>
            <w:tcW w:w="22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5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1,500</w:t>
            </w:r>
          </w:p>
        </w:tc>
        <w:tc>
          <w:tcPr>
            <w:tcW w:w="2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14,622</w:t>
            </w:r>
          </w:p>
        </w:tc>
        <w:tc>
          <w:tcPr>
            <w:tcW w:w="2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10"/>
        </w:trPr>
        <w:tc>
          <w:tcPr>
            <w:tcW w:w="2640" w:type="dxa"/>
            <w:vAlign w:val="bottom"/>
            <w:gridSpan w:val="2"/>
            <w:shd w:val="clear" w:color="auto" w:fill="CCEEFF"/>
          </w:tcPr>
          <w:p>
            <w:pPr>
              <w:spacing w:after="0" w:line="110" w:lineRule="exact"/>
              <w:rPr>
                <w:sz w:val="20"/>
                <w:szCs w:val="20"/>
                <w:color w:val="auto"/>
              </w:rPr>
            </w:pPr>
            <w:r>
              <w:rPr>
                <w:rFonts w:ascii="Arial" w:cs="Arial" w:eastAsia="Arial" w:hAnsi="Arial"/>
                <w:sz w:val="12"/>
                <w:szCs w:val="12"/>
                <w:color w:val="auto"/>
              </w:rPr>
              <w:t>MJC Holdings, LLC</w:t>
            </w:r>
          </w:p>
        </w:tc>
        <w:tc>
          <w:tcPr>
            <w:tcW w:w="206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Specialty Clothing</w:t>
            </w:r>
          </w:p>
        </w:tc>
        <w:tc>
          <w:tcPr>
            <w:tcW w:w="2320" w:type="dxa"/>
            <w:vAlign w:val="bottom"/>
            <w:gridSpan w:val="3"/>
            <w:shd w:val="clear" w:color="auto" w:fill="CCEEFF"/>
          </w:tcPr>
          <w:p>
            <w:pPr>
              <w:ind w:left="120"/>
              <w:spacing w:after="0" w:line="110" w:lineRule="exact"/>
              <w:rPr>
                <w:sz w:val="20"/>
                <w:szCs w:val="20"/>
                <w:color w:val="auto"/>
              </w:rPr>
            </w:pPr>
            <w:r>
              <w:rPr>
                <w:rFonts w:ascii="Arial" w:cs="Arial" w:eastAsia="Arial" w:hAnsi="Arial"/>
                <w:sz w:val="12"/>
                <w:szCs w:val="12"/>
                <w:color w:val="auto"/>
              </w:rPr>
              <w:t>Subordinated Debt (14%, 2% PIK</w:t>
            </w:r>
          </w:p>
        </w:tc>
        <w:tc>
          <w:tcPr>
            <w:tcW w:w="9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at company's option, Due 1/16/18)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30"/>
        </w:trPr>
        <w:tc>
          <w:tcPr>
            <w:tcW w:w="2640" w:type="dxa"/>
            <w:vAlign w:val="bottom"/>
            <w:gridSpan w:val="2"/>
          </w:tcPr>
          <w:p>
            <w:pPr>
              <w:spacing w:after="0" w:line="130" w:lineRule="exact"/>
              <w:rPr>
                <w:sz w:val="20"/>
                <w:szCs w:val="20"/>
                <w:color w:val="auto"/>
              </w:rPr>
            </w:pPr>
            <w:r>
              <w:rPr>
                <w:rFonts w:ascii="Arial" w:cs="Arial" w:eastAsia="Arial" w:hAnsi="Arial"/>
                <w:sz w:val="14"/>
                <w:szCs w:val="14"/>
                <w:color w:val="auto"/>
              </w:rPr>
              <w:t>MJC Holdings, LLC</w:t>
            </w: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Specialty Clothing</w:t>
            </w:r>
          </w:p>
        </w:tc>
        <w:tc>
          <w:tcPr>
            <w:tcW w:w="232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Series A Preferred Units</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(2,000,000 units)</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5,224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25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9,500</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12,724</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10"/>
        </w:trPr>
        <w:tc>
          <w:tcPr>
            <w:tcW w:w="2640" w:type="dxa"/>
            <w:vAlign w:val="bottom"/>
            <w:gridSpan w:val="2"/>
          </w:tcPr>
          <w:p>
            <w:pPr>
              <w:spacing w:after="0" w:line="110" w:lineRule="exact"/>
              <w:rPr>
                <w:sz w:val="20"/>
                <w:szCs w:val="20"/>
                <w:color w:val="auto"/>
              </w:rPr>
            </w:pPr>
            <w:r>
              <w:rPr>
                <w:rFonts w:ascii="Arial" w:cs="Arial" w:eastAsia="Arial" w:hAnsi="Arial"/>
                <w:sz w:val="12"/>
                <w:szCs w:val="12"/>
                <w:color w:val="auto"/>
              </w:rPr>
              <w:t>MMI Holdings, LLC</w:t>
            </w:r>
          </w:p>
        </w:tc>
        <w:tc>
          <w:tcPr>
            <w:tcW w:w="2060" w:type="dxa"/>
            <w:vAlign w:val="bottom"/>
          </w:tcPr>
          <w:p>
            <w:pPr>
              <w:spacing w:after="0" w:line="110" w:lineRule="exact"/>
              <w:rPr>
                <w:sz w:val="20"/>
                <w:szCs w:val="20"/>
                <w:color w:val="auto"/>
              </w:rPr>
            </w:pPr>
            <w:r>
              <w:rPr>
                <w:rFonts w:ascii="Arial" w:cs="Arial" w:eastAsia="Arial" w:hAnsi="Arial"/>
                <w:sz w:val="12"/>
                <w:szCs w:val="12"/>
                <w:color w:val="auto"/>
              </w:rPr>
              <w:t>Medical Device Distributor</w:t>
            </w:r>
          </w:p>
        </w:tc>
        <w:tc>
          <w:tcPr>
            <w:tcW w:w="2320" w:type="dxa"/>
            <w:vAlign w:val="bottom"/>
            <w:gridSpan w:val="3"/>
          </w:tcPr>
          <w:p>
            <w:pPr>
              <w:ind w:left="120"/>
              <w:spacing w:after="0" w:line="110" w:lineRule="exact"/>
              <w:rPr>
                <w:sz w:val="20"/>
                <w:szCs w:val="20"/>
                <w:color w:val="auto"/>
              </w:rPr>
            </w:pPr>
            <w:r>
              <w:rPr>
                <w:rFonts w:ascii="Arial" w:cs="Arial" w:eastAsia="Arial" w:hAnsi="Arial"/>
                <w:sz w:val="12"/>
                <w:szCs w:val="12"/>
                <w:color w:val="auto"/>
              </w:rPr>
              <w:t>Senior Secured Debt (12% Cash,</w:t>
            </w: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Due 10/17/14)</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2,600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2,600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2,600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30"/>
        </w:trPr>
        <w:tc>
          <w:tcPr>
            <w:tcW w:w="2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Medical Device Distributor</w:t>
            </w:r>
          </w:p>
        </w:tc>
        <w:tc>
          <w:tcPr>
            <w:tcW w:w="23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Subordinated Debt (6% Cash, Due</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8/15/15)</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MMI Holdings, LLC</w:t>
            </w: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Medical Device Distributor</w:t>
            </w:r>
          </w:p>
        </w:tc>
        <w:tc>
          <w:tcPr>
            <w:tcW w:w="23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Preferred Units (1,000 units)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1,052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2"/>
        </w:trPr>
        <w:tc>
          <w:tcPr>
            <w:tcW w:w="2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MMI Holdings, LLC</w:t>
            </w: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Medical Device Distributor</w:t>
            </w:r>
          </w:p>
        </w:tc>
        <w:tc>
          <w:tcPr>
            <w:tcW w:w="2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Common Units (45 units)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5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4,040</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4,325</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10"/>
        </w:trPr>
        <w:tc>
          <w:tcPr>
            <w:tcW w:w="2640" w:type="dxa"/>
            <w:vAlign w:val="bottom"/>
            <w:gridSpan w:val="2"/>
            <w:shd w:val="clear" w:color="auto" w:fill="CCEEFF"/>
          </w:tcPr>
          <w:p>
            <w:pPr>
              <w:spacing w:after="0" w:line="110" w:lineRule="exact"/>
              <w:rPr>
                <w:sz w:val="20"/>
                <w:szCs w:val="20"/>
                <w:color w:val="auto"/>
              </w:rPr>
            </w:pPr>
            <w:r>
              <w:rPr>
                <w:rFonts w:ascii="Arial" w:cs="Arial" w:eastAsia="Arial" w:hAnsi="Arial"/>
                <w:sz w:val="12"/>
                <w:szCs w:val="12"/>
                <w:color w:val="auto"/>
              </w:rPr>
              <w:t>MTI Holdings, LLC</w:t>
            </w:r>
          </w:p>
        </w:tc>
        <w:tc>
          <w:tcPr>
            <w:tcW w:w="206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Retail Display &amp; Security Services</w:t>
            </w:r>
          </w:p>
        </w:tc>
        <w:tc>
          <w:tcPr>
            <w:tcW w:w="2320" w:type="dxa"/>
            <w:vAlign w:val="bottom"/>
            <w:gridSpan w:val="3"/>
            <w:shd w:val="clear" w:color="auto" w:fill="CCEEFF"/>
          </w:tcPr>
          <w:p>
            <w:pPr>
              <w:ind w:left="120"/>
              <w:spacing w:after="0" w:line="110" w:lineRule="exact"/>
              <w:rPr>
                <w:sz w:val="20"/>
                <w:szCs w:val="20"/>
                <w:color w:val="auto"/>
              </w:rPr>
            </w:pPr>
            <w:r>
              <w:rPr>
                <w:rFonts w:ascii="Arial" w:cs="Arial" w:eastAsia="Arial" w:hAnsi="Arial"/>
                <w:sz w:val="12"/>
                <w:szCs w:val="12"/>
                <w:color w:val="auto"/>
              </w:rPr>
              <w:t>Subordinated Debt (12% Cash, Due</w:t>
            </w:r>
          </w:p>
        </w:tc>
        <w:tc>
          <w:tcPr>
            <w:tcW w:w="9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11/1/18)</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62"/>
        </w:trPr>
        <w:tc>
          <w:tcPr>
            <w:tcW w:w="2640" w:type="dxa"/>
            <w:vAlign w:val="bottom"/>
            <w:gridSpan w:val="2"/>
          </w:tcPr>
          <w:p>
            <w:pPr>
              <w:spacing w:after="0"/>
              <w:rPr>
                <w:sz w:val="20"/>
                <w:szCs w:val="20"/>
                <w:color w:val="auto"/>
              </w:rPr>
            </w:pPr>
            <w:r>
              <w:rPr>
                <w:rFonts w:ascii="Arial" w:cs="Arial" w:eastAsia="Arial" w:hAnsi="Arial"/>
                <w:sz w:val="14"/>
                <w:szCs w:val="14"/>
                <w:color w:val="auto"/>
              </w:rPr>
              <w:t>MTI Holdings, LLC</w:t>
            </w:r>
          </w:p>
        </w:tc>
        <w:tc>
          <w:tcPr>
            <w:tcW w:w="2060" w:type="dxa"/>
            <w:vAlign w:val="bottom"/>
          </w:tcPr>
          <w:p>
            <w:pPr>
              <w:spacing w:after="0"/>
              <w:rPr>
                <w:sz w:val="20"/>
                <w:szCs w:val="20"/>
                <w:color w:val="auto"/>
              </w:rPr>
            </w:pPr>
            <w:r>
              <w:rPr>
                <w:rFonts w:ascii="Arial" w:cs="Arial" w:eastAsia="Arial" w:hAnsi="Arial"/>
                <w:sz w:val="14"/>
                <w:szCs w:val="14"/>
                <w:color w:val="auto"/>
                <w:w w:val="96"/>
              </w:rPr>
              <w:t>Retail Display &amp; Security Services</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Capital Units (2,000,000 units)</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2,823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25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10,000</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10,823</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10"/>
        </w:trPr>
        <w:tc>
          <w:tcPr>
            <w:tcW w:w="2640" w:type="dxa"/>
            <w:vAlign w:val="bottom"/>
            <w:gridSpan w:val="2"/>
          </w:tcPr>
          <w:p>
            <w:pPr>
              <w:spacing w:after="0" w:line="110" w:lineRule="exact"/>
              <w:rPr>
                <w:sz w:val="20"/>
                <w:szCs w:val="20"/>
                <w:color w:val="auto"/>
              </w:rPr>
            </w:pPr>
            <w:r>
              <w:rPr>
                <w:rFonts w:ascii="Arial" w:cs="Arial" w:eastAsia="Arial" w:hAnsi="Arial"/>
                <w:sz w:val="12"/>
                <w:szCs w:val="12"/>
                <w:color w:val="auto"/>
              </w:rPr>
              <w:t>Source Capital ABUTEC, LLC</w:t>
            </w:r>
          </w:p>
        </w:tc>
        <w:tc>
          <w:tcPr>
            <w:tcW w:w="2060" w:type="dxa"/>
            <w:vAlign w:val="bottom"/>
          </w:tcPr>
          <w:p>
            <w:pPr>
              <w:spacing w:after="0" w:line="110" w:lineRule="exact"/>
              <w:rPr>
                <w:sz w:val="20"/>
                <w:szCs w:val="20"/>
                <w:color w:val="auto"/>
              </w:rPr>
            </w:pPr>
            <w:r>
              <w:rPr>
                <w:rFonts w:ascii="Arial" w:cs="Arial" w:eastAsia="Arial" w:hAnsi="Arial"/>
                <w:sz w:val="12"/>
                <w:szCs w:val="12"/>
                <w:color w:val="auto"/>
              </w:rPr>
              <w:t>Environmental Services Products</w:t>
            </w:r>
          </w:p>
        </w:tc>
        <w:tc>
          <w:tcPr>
            <w:tcW w:w="2320" w:type="dxa"/>
            <w:vAlign w:val="bottom"/>
            <w:gridSpan w:val="3"/>
          </w:tcPr>
          <w:p>
            <w:pPr>
              <w:ind w:left="120"/>
              <w:spacing w:after="0" w:line="110" w:lineRule="exact"/>
              <w:rPr>
                <w:sz w:val="20"/>
                <w:szCs w:val="20"/>
                <w:color w:val="auto"/>
              </w:rPr>
            </w:pPr>
            <w:r>
              <w:rPr>
                <w:rFonts w:ascii="Arial" w:cs="Arial" w:eastAsia="Arial" w:hAnsi="Arial"/>
                <w:sz w:val="12"/>
                <w:szCs w:val="12"/>
                <w:color w:val="auto"/>
              </w:rPr>
              <w:t>Senior Secured Debt (12% Cash,</w:t>
            </w: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3% PIK, Due 12/28/17)</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5,125</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5,125</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5,125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0"/>
        </w:trPr>
        <w:tc>
          <w:tcPr>
            <w:tcW w:w="2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Source Capital ABUTEC, LLC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Environmental Services Products</w:t>
            </w:r>
          </w:p>
        </w:tc>
        <w:tc>
          <w:tcPr>
            <w:tcW w:w="23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Preferred Membership Units</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(15.5% fully diluted)</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1,240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5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6,365</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5,185</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10"/>
        </w:trPr>
        <w:tc>
          <w:tcPr>
            <w:tcW w:w="2640" w:type="dxa"/>
            <w:vAlign w:val="bottom"/>
            <w:gridSpan w:val="2"/>
            <w:shd w:val="clear" w:color="auto" w:fill="CCEEFF"/>
          </w:tcPr>
          <w:p>
            <w:pPr>
              <w:spacing w:after="0" w:line="110" w:lineRule="exact"/>
              <w:rPr>
                <w:sz w:val="20"/>
                <w:szCs w:val="20"/>
                <w:color w:val="auto"/>
              </w:rPr>
            </w:pPr>
            <w:r>
              <w:rPr>
                <w:rFonts w:ascii="Arial" w:cs="Arial" w:eastAsia="Arial" w:hAnsi="Arial"/>
                <w:sz w:val="12"/>
                <w:szCs w:val="12"/>
                <w:color w:val="auto"/>
              </w:rPr>
              <w:t>Source Capital Penray, LLC</w:t>
            </w:r>
          </w:p>
        </w:tc>
        <w:tc>
          <w:tcPr>
            <w:tcW w:w="206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Automotive Chemicals &amp;</w:t>
            </w:r>
          </w:p>
        </w:tc>
        <w:tc>
          <w:tcPr>
            <w:tcW w:w="2320" w:type="dxa"/>
            <w:vAlign w:val="bottom"/>
            <w:gridSpan w:val="3"/>
            <w:shd w:val="clear" w:color="auto" w:fill="CCEEFF"/>
          </w:tcPr>
          <w:p>
            <w:pPr>
              <w:ind w:left="120"/>
              <w:spacing w:after="0" w:line="110" w:lineRule="exact"/>
              <w:rPr>
                <w:sz w:val="20"/>
                <w:szCs w:val="20"/>
                <w:color w:val="auto"/>
              </w:rPr>
            </w:pPr>
            <w:r>
              <w:rPr>
                <w:rFonts w:ascii="Arial" w:cs="Arial" w:eastAsia="Arial" w:hAnsi="Arial"/>
                <w:sz w:val="12"/>
                <w:szCs w:val="12"/>
                <w:color w:val="auto"/>
              </w:rPr>
              <w:t>Subordinated Debt (13% Cash, Due</w:t>
            </w:r>
          </w:p>
        </w:tc>
        <w:tc>
          <w:tcPr>
            <w:tcW w:w="9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Lubricants</w:t>
            </w: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2/17/17)</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30"/>
        </w:trPr>
        <w:tc>
          <w:tcPr>
            <w:tcW w:w="2640" w:type="dxa"/>
            <w:vAlign w:val="bottom"/>
            <w:gridSpan w:val="2"/>
          </w:tcPr>
          <w:p>
            <w:pPr>
              <w:spacing w:after="0" w:line="130" w:lineRule="exact"/>
              <w:rPr>
                <w:sz w:val="20"/>
                <w:szCs w:val="20"/>
                <w:color w:val="auto"/>
              </w:rPr>
            </w:pPr>
            <w:r>
              <w:rPr>
                <w:rFonts w:ascii="Arial" w:cs="Arial" w:eastAsia="Arial" w:hAnsi="Arial"/>
                <w:sz w:val="14"/>
                <w:szCs w:val="14"/>
                <w:color w:val="auto"/>
              </w:rPr>
              <w:t>Source Capital Penray, LLC</w:t>
            </w: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Automotive Chemicals &amp;</w:t>
            </w:r>
          </w:p>
        </w:tc>
        <w:tc>
          <w:tcPr>
            <w:tcW w:w="232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Membership Units (11.3% fully</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Lubricants</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diluted)</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750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810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0"/>
        </w:trPr>
        <w:tc>
          <w:tcPr>
            <w:tcW w:w="2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Source Capital Penray, LLC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Automotive Chemicals &amp;</w:t>
            </w:r>
          </w:p>
        </w:tc>
        <w:tc>
          <w:tcPr>
            <w:tcW w:w="23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Warrants (6.65%</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Lubricants</w:t>
            </w:r>
          </w:p>
        </w:tc>
        <w:tc>
          <w:tcPr>
            <w:tcW w:w="2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fully diluted)</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5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3,250</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3,886</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10"/>
        </w:trPr>
        <w:tc>
          <w:tcPr>
            <w:tcW w:w="2640" w:type="dxa"/>
            <w:vAlign w:val="bottom"/>
            <w:gridSpan w:val="2"/>
            <w:shd w:val="clear" w:color="auto" w:fill="CCEEFF"/>
          </w:tcPr>
          <w:p>
            <w:pPr>
              <w:spacing w:after="0" w:line="110" w:lineRule="exact"/>
              <w:rPr>
                <w:sz w:val="20"/>
                <w:szCs w:val="20"/>
                <w:color w:val="auto"/>
              </w:rPr>
            </w:pPr>
            <w:r>
              <w:rPr>
                <w:rFonts w:ascii="Arial" w:cs="Arial" w:eastAsia="Arial" w:hAnsi="Arial"/>
                <w:sz w:val="12"/>
                <w:szCs w:val="12"/>
                <w:color w:val="auto"/>
              </w:rPr>
              <w:t>Source Capital SSCR, LLC</w:t>
            </w:r>
          </w:p>
        </w:tc>
        <w:tc>
          <w:tcPr>
            <w:tcW w:w="206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Personal Product Manufacturer</w:t>
            </w:r>
          </w:p>
        </w:tc>
        <w:tc>
          <w:tcPr>
            <w:tcW w:w="2320" w:type="dxa"/>
            <w:vAlign w:val="bottom"/>
            <w:gridSpan w:val="3"/>
            <w:shd w:val="clear" w:color="auto" w:fill="CCEEFF"/>
          </w:tcPr>
          <w:p>
            <w:pPr>
              <w:ind w:left="120"/>
              <w:spacing w:after="0" w:line="110" w:lineRule="exact"/>
              <w:rPr>
                <w:sz w:val="20"/>
                <w:szCs w:val="20"/>
                <w:color w:val="auto"/>
              </w:rPr>
            </w:pPr>
            <w:r>
              <w:rPr>
                <w:rFonts w:ascii="Arial" w:cs="Arial" w:eastAsia="Arial" w:hAnsi="Arial"/>
                <w:sz w:val="12"/>
                <w:szCs w:val="12"/>
                <w:color w:val="auto"/>
              </w:rPr>
              <w:t>Senior Secured Term Debt (14%</w:t>
            </w:r>
          </w:p>
        </w:tc>
        <w:tc>
          <w:tcPr>
            <w:tcW w:w="9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Cash, Due 7/6/17)</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12,115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30"/>
        </w:trPr>
        <w:tc>
          <w:tcPr>
            <w:tcW w:w="2640" w:type="dxa"/>
            <w:vAlign w:val="bottom"/>
            <w:gridSpan w:val="2"/>
          </w:tcPr>
          <w:p>
            <w:pPr>
              <w:spacing w:after="0" w:line="130" w:lineRule="exact"/>
              <w:rPr>
                <w:sz w:val="20"/>
                <w:szCs w:val="20"/>
                <w:color w:val="auto"/>
              </w:rPr>
            </w:pPr>
            <w:r>
              <w:rPr>
                <w:rFonts w:ascii="Arial" w:cs="Arial" w:eastAsia="Arial" w:hAnsi="Arial"/>
                <w:sz w:val="14"/>
                <w:szCs w:val="14"/>
                <w:color w:val="auto"/>
              </w:rPr>
              <w:t>Source Capital SSCR, LLC</w:t>
            </w: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Personal Product Manufacturer</w:t>
            </w:r>
          </w:p>
        </w:tc>
        <w:tc>
          <w:tcPr>
            <w:tcW w:w="232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Senior Secured Term Debt (14%</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Cash, 5% PIK, Due 3/28/14)</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2,079</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2,079</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1,958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30"/>
        </w:trPr>
        <w:tc>
          <w:tcPr>
            <w:tcW w:w="2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Source Capital SSCR, LLC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Personal Product Manufacturer</w:t>
            </w:r>
          </w:p>
        </w:tc>
        <w:tc>
          <w:tcPr>
            <w:tcW w:w="23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Preferred Membership Units</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(14,718 units)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1,720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640" w:type="dxa"/>
            <w:vAlign w:val="bottom"/>
            <w:gridSpan w:val="2"/>
          </w:tcPr>
          <w:p>
            <w:pPr>
              <w:spacing w:after="0" w:line="130" w:lineRule="exact"/>
              <w:rPr>
                <w:sz w:val="20"/>
                <w:szCs w:val="20"/>
                <w:color w:val="auto"/>
              </w:rPr>
            </w:pPr>
            <w:r>
              <w:rPr>
                <w:rFonts w:ascii="Arial" w:cs="Arial" w:eastAsia="Arial" w:hAnsi="Arial"/>
                <w:sz w:val="14"/>
                <w:szCs w:val="14"/>
                <w:color w:val="auto"/>
              </w:rPr>
              <w:t>Source Capital SSCR, LLC</w:t>
            </w: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Personal Product Manufacturer</w:t>
            </w:r>
          </w:p>
        </w:tc>
        <w:tc>
          <w:tcPr>
            <w:tcW w:w="232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Membership Unit Warrants</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(0.987% fully diluted)</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5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18,799</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14,073</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640" w:type="dxa"/>
            <w:vAlign w:val="bottom"/>
            <w:gridSpan w:val="2"/>
          </w:tcPr>
          <w:p>
            <w:pPr>
              <w:spacing w:after="0" w:line="142" w:lineRule="exact"/>
              <w:rPr>
                <w:sz w:val="20"/>
                <w:szCs w:val="20"/>
                <w:color w:val="auto"/>
              </w:rPr>
            </w:pPr>
            <w:r>
              <w:rPr>
                <w:rFonts w:ascii="Arial" w:cs="Arial" w:eastAsia="Arial" w:hAnsi="Arial"/>
                <w:sz w:val="11"/>
                <w:szCs w:val="11"/>
                <w:color w:val="auto"/>
              </w:rPr>
              <w:t xml:space="preserve">Source Recycling, LLC </w:t>
            </w:r>
            <w:r>
              <w:rPr>
                <w:rFonts w:ascii="Arial" w:cs="Arial" w:eastAsia="Arial" w:hAnsi="Arial"/>
                <w:sz w:val="16"/>
                <w:szCs w:val="16"/>
                <w:color w:val="auto"/>
                <w:vertAlign w:val="superscript"/>
              </w:rPr>
              <w:t>(2)</w:t>
            </w:r>
          </w:p>
        </w:tc>
        <w:tc>
          <w:tcPr>
            <w:tcW w:w="2060" w:type="dxa"/>
            <w:vAlign w:val="bottom"/>
          </w:tcPr>
          <w:p>
            <w:pPr>
              <w:spacing w:after="0" w:line="142" w:lineRule="exact"/>
              <w:rPr>
                <w:sz w:val="20"/>
                <w:szCs w:val="20"/>
                <w:color w:val="auto"/>
              </w:rPr>
            </w:pPr>
            <w:r>
              <w:rPr>
                <w:rFonts w:ascii="Arial" w:cs="Arial" w:eastAsia="Arial" w:hAnsi="Arial"/>
                <w:sz w:val="14"/>
                <w:szCs w:val="14"/>
                <w:color w:val="auto"/>
              </w:rPr>
              <w:t>Metal Recycler</w:t>
            </w:r>
          </w:p>
        </w:tc>
        <w:tc>
          <w:tcPr>
            <w:tcW w:w="2320" w:type="dxa"/>
            <w:vAlign w:val="bottom"/>
            <w:gridSpan w:val="3"/>
          </w:tcPr>
          <w:p>
            <w:pPr>
              <w:ind w:left="120"/>
              <w:spacing w:after="0" w:line="142" w:lineRule="exact"/>
              <w:rPr>
                <w:sz w:val="20"/>
                <w:szCs w:val="20"/>
                <w:color w:val="auto"/>
              </w:rPr>
            </w:pPr>
            <w:r>
              <w:rPr>
                <w:rFonts w:ascii="Arial" w:cs="Arial" w:eastAsia="Arial" w:hAnsi="Arial"/>
                <w:sz w:val="14"/>
                <w:szCs w:val="14"/>
                <w:color w:val="auto"/>
                <w:w w:val="97"/>
              </w:rPr>
              <w:t>Subordinated Debt (13% Cash, Due</w:t>
            </w: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5,000</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5,000</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3,950</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20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9/2/16)</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Source Recycling, LLC</w:t>
            </w: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Metal Recycler</w:t>
            </w:r>
          </w:p>
        </w:tc>
        <w:tc>
          <w:tcPr>
            <w:tcW w:w="23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Membership Units (68,658 units)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1,590</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640" w:type="dxa"/>
            <w:vAlign w:val="bottom"/>
            <w:gridSpan w:val="2"/>
          </w:tcPr>
          <w:p>
            <w:pPr>
              <w:spacing w:after="0" w:line="130" w:lineRule="exact"/>
              <w:rPr>
                <w:sz w:val="20"/>
                <w:szCs w:val="20"/>
                <w:color w:val="auto"/>
              </w:rPr>
            </w:pPr>
            <w:r>
              <w:rPr>
                <w:rFonts w:ascii="Arial" w:cs="Arial" w:eastAsia="Arial" w:hAnsi="Arial"/>
                <w:sz w:val="14"/>
                <w:szCs w:val="14"/>
                <w:color w:val="auto"/>
              </w:rPr>
              <w:t>Source Recycling, LLC</w:t>
            </w: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Metal Recycler</w:t>
            </w:r>
          </w:p>
        </w:tc>
        <w:tc>
          <w:tcPr>
            <w:tcW w:w="232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Membership Unit Warrants (1%</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fully diluted)</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5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6,590</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3,950</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640" w:type="dxa"/>
            <w:vAlign w:val="bottom"/>
            <w:gridSpan w:val="2"/>
          </w:tcPr>
          <w:p>
            <w:pPr>
              <w:spacing w:after="0" w:line="142" w:lineRule="exact"/>
              <w:rPr>
                <w:sz w:val="20"/>
                <w:szCs w:val="20"/>
                <w:color w:val="auto"/>
              </w:rPr>
            </w:pPr>
            <w:r>
              <w:rPr>
                <w:rFonts w:ascii="Arial" w:cs="Arial" w:eastAsia="Arial" w:hAnsi="Arial"/>
                <w:sz w:val="11"/>
                <w:szCs w:val="11"/>
                <w:color w:val="auto"/>
              </w:rPr>
              <w:t>Sparus Holdings, Inc.</w:t>
            </w:r>
            <w:r>
              <w:rPr>
                <w:rFonts w:ascii="Arial" w:cs="Arial" w:eastAsia="Arial" w:hAnsi="Arial"/>
                <w:sz w:val="16"/>
                <w:szCs w:val="16"/>
                <w:color w:val="auto"/>
                <w:vertAlign w:val="superscript"/>
              </w:rPr>
              <w:t>(1)</w:t>
            </w:r>
          </w:p>
        </w:tc>
        <w:tc>
          <w:tcPr>
            <w:tcW w:w="2060" w:type="dxa"/>
            <w:vAlign w:val="bottom"/>
          </w:tcPr>
          <w:p>
            <w:pPr>
              <w:spacing w:after="0" w:line="142" w:lineRule="exact"/>
              <w:rPr>
                <w:sz w:val="20"/>
                <w:szCs w:val="20"/>
                <w:color w:val="auto"/>
              </w:rPr>
            </w:pPr>
            <w:r>
              <w:rPr>
                <w:rFonts w:ascii="Arial" w:cs="Arial" w:eastAsia="Arial" w:hAnsi="Arial"/>
                <w:sz w:val="14"/>
                <w:szCs w:val="14"/>
                <w:color w:val="auto"/>
              </w:rPr>
              <w:t>Energy Services</w:t>
            </w:r>
          </w:p>
        </w:tc>
        <w:tc>
          <w:tcPr>
            <w:tcW w:w="2320" w:type="dxa"/>
            <w:vAlign w:val="bottom"/>
            <w:gridSpan w:val="3"/>
          </w:tcPr>
          <w:p>
            <w:pPr>
              <w:ind w:left="120"/>
              <w:spacing w:after="0" w:line="142" w:lineRule="exact"/>
              <w:rPr>
                <w:sz w:val="20"/>
                <w:szCs w:val="20"/>
                <w:color w:val="auto"/>
              </w:rPr>
            </w:pPr>
            <w:r>
              <w:rPr>
                <w:rFonts w:ascii="Arial" w:cs="Arial" w:eastAsia="Arial" w:hAnsi="Arial"/>
                <w:sz w:val="14"/>
                <w:szCs w:val="14"/>
                <w:color w:val="auto"/>
                <w:w w:val="97"/>
              </w:rPr>
              <w:t>Subordinated Debt (12% Cash, Due</w:t>
            </w: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7,000</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7,000</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7,000</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00" w:type="dxa"/>
            <w:vAlign w:val="bottom"/>
            <w:gridSpan w:val="2"/>
          </w:tcPr>
          <w:p>
            <w:pPr>
              <w:ind w:left="120"/>
              <w:spacing w:after="0"/>
              <w:rPr>
                <w:sz w:val="20"/>
                <w:szCs w:val="20"/>
                <w:color w:val="auto"/>
              </w:rPr>
            </w:pPr>
            <w:r>
              <w:rPr>
                <w:rFonts w:ascii="Arial" w:cs="Arial" w:eastAsia="Arial" w:hAnsi="Arial"/>
                <w:sz w:val="14"/>
                <w:szCs w:val="14"/>
                <w:color w:val="auto"/>
              </w:rPr>
              <w:t>3/21/16)</w:t>
            </w: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Sparus Holdings, Inc.</w:t>
            </w:r>
          </w:p>
        </w:tc>
        <w:tc>
          <w:tcPr>
            <w:tcW w:w="2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Energy Services</w:t>
            </w:r>
          </w:p>
        </w:tc>
        <w:tc>
          <w:tcPr>
            <w:tcW w:w="2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Series B Preferred Stock (5,703</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1,173</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1,479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30"/>
        </w:trPr>
        <w:tc>
          <w:tcPr>
            <w:tcW w:w="2460" w:type="dxa"/>
            <w:vAlign w:val="bottom"/>
          </w:tcPr>
          <w:p>
            <w:pPr>
              <w:spacing w:after="0" w:line="130" w:lineRule="exact"/>
              <w:rPr>
                <w:sz w:val="20"/>
                <w:szCs w:val="20"/>
                <w:color w:val="auto"/>
              </w:rPr>
            </w:pPr>
            <w:r>
              <w:rPr>
                <w:rFonts w:ascii="Arial" w:cs="Arial" w:eastAsia="Arial" w:hAnsi="Arial"/>
                <w:sz w:val="14"/>
                <w:szCs w:val="14"/>
                <w:color w:val="auto"/>
              </w:rPr>
              <w:t>Sparus Holdings, Inc.</w:t>
            </w:r>
          </w:p>
        </w:tc>
        <w:tc>
          <w:tcPr>
            <w:tcW w:w="2240" w:type="dxa"/>
            <w:vAlign w:val="bottom"/>
          </w:tcPr>
          <w:p>
            <w:pPr>
              <w:ind w:left="180"/>
              <w:spacing w:after="0" w:line="130" w:lineRule="exact"/>
              <w:rPr>
                <w:sz w:val="20"/>
                <w:szCs w:val="20"/>
                <w:color w:val="auto"/>
              </w:rPr>
            </w:pPr>
            <w:r>
              <w:rPr>
                <w:rFonts w:ascii="Arial" w:cs="Arial" w:eastAsia="Arial" w:hAnsi="Arial"/>
                <w:sz w:val="14"/>
                <w:szCs w:val="14"/>
                <w:color w:val="auto"/>
              </w:rPr>
              <w:t>Energy Services</w:t>
            </w:r>
          </w:p>
        </w:tc>
        <w:tc>
          <w:tcPr>
            <w:tcW w:w="2260" w:type="dxa"/>
            <w:vAlign w:val="bottom"/>
          </w:tcPr>
          <w:p>
            <w:pPr>
              <w:ind w:left="120"/>
              <w:spacing w:after="0" w:line="130" w:lineRule="exact"/>
              <w:rPr>
                <w:sz w:val="20"/>
                <w:szCs w:val="20"/>
                <w:color w:val="auto"/>
              </w:rPr>
            </w:pPr>
            <w:r>
              <w:rPr>
                <w:rFonts w:ascii="Arial" w:cs="Arial" w:eastAsia="Arial" w:hAnsi="Arial"/>
                <w:sz w:val="14"/>
                <w:szCs w:val="14"/>
                <w:color w:val="auto"/>
              </w:rPr>
              <w:t>Common Stock Warrants (3,491</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4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260" w:type="dxa"/>
            <w:vAlign w:val="bottom"/>
          </w:tcPr>
          <w:p>
            <w:pPr>
              <w:ind w:left="120"/>
              <w:spacing w:after="0"/>
              <w:rPr>
                <w:sz w:val="20"/>
                <w:szCs w:val="20"/>
                <w:color w:val="auto"/>
              </w:rPr>
            </w:pPr>
            <w:r>
              <w:rPr>
                <w:rFonts w:ascii="Arial" w:cs="Arial" w:eastAsia="Arial" w:hAnsi="Arial"/>
                <w:sz w:val="14"/>
                <w:szCs w:val="14"/>
                <w:color w:val="auto"/>
              </w:rPr>
              <w:t>shares)</w:t>
            </w:r>
          </w:p>
        </w:tc>
        <w:tc>
          <w:tcPr>
            <w:tcW w:w="36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304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460" w:type="dxa"/>
            <w:vAlign w:val="bottom"/>
            <w:tcBorders>
              <w:top w:val="single" w:sz="8" w:color="CCEEFF"/>
            </w:tcBorders>
            <w:shd w:val="clear" w:color="auto" w:fill="CCEEFF"/>
          </w:tcPr>
          <w:p>
            <w:pPr>
              <w:spacing w:after="0"/>
              <w:rPr>
                <w:sz w:val="12"/>
                <w:szCs w:val="12"/>
                <w:color w:val="auto"/>
              </w:rPr>
            </w:pPr>
          </w:p>
        </w:tc>
        <w:tc>
          <w:tcPr>
            <w:tcW w:w="2240" w:type="dxa"/>
            <w:vAlign w:val="bottom"/>
            <w:tcBorders>
              <w:top w:val="single" w:sz="8" w:color="CCEEFF"/>
            </w:tcBorders>
            <w:shd w:val="clear" w:color="auto" w:fill="CCEEFF"/>
          </w:tcPr>
          <w:p>
            <w:pPr>
              <w:spacing w:after="0"/>
              <w:rPr>
                <w:sz w:val="12"/>
                <w:szCs w:val="12"/>
                <w:color w:val="auto"/>
              </w:rPr>
            </w:pPr>
          </w:p>
        </w:tc>
        <w:tc>
          <w:tcPr>
            <w:tcW w:w="22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8,173</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8,783</w:t>
            </w:r>
          </w:p>
        </w:tc>
        <w:tc>
          <w:tcPr>
            <w:tcW w:w="2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10"/>
        </w:trPr>
        <w:tc>
          <w:tcPr>
            <w:tcW w:w="2460" w:type="dxa"/>
            <w:vAlign w:val="bottom"/>
          </w:tcPr>
          <w:p>
            <w:pPr>
              <w:spacing w:after="0" w:line="110" w:lineRule="exact"/>
              <w:rPr>
                <w:sz w:val="20"/>
                <w:szCs w:val="20"/>
                <w:color w:val="auto"/>
              </w:rPr>
            </w:pPr>
            <w:r>
              <w:rPr>
                <w:rFonts w:ascii="Arial" w:cs="Arial" w:eastAsia="Arial" w:hAnsi="Arial"/>
                <w:sz w:val="12"/>
                <w:szCs w:val="12"/>
                <w:color w:val="auto"/>
              </w:rPr>
              <w:t>STX Healthcare Management Services,</w:t>
            </w:r>
          </w:p>
        </w:tc>
        <w:tc>
          <w:tcPr>
            <w:tcW w:w="2240" w:type="dxa"/>
            <w:vAlign w:val="bottom"/>
          </w:tcPr>
          <w:p>
            <w:pPr>
              <w:ind w:left="180"/>
              <w:spacing w:after="0" w:line="110" w:lineRule="exact"/>
              <w:rPr>
                <w:sz w:val="20"/>
                <w:szCs w:val="20"/>
                <w:color w:val="auto"/>
              </w:rPr>
            </w:pPr>
            <w:r>
              <w:rPr>
                <w:rFonts w:ascii="Arial" w:cs="Arial" w:eastAsia="Arial" w:hAnsi="Arial"/>
                <w:sz w:val="12"/>
                <w:szCs w:val="12"/>
                <w:color w:val="auto"/>
              </w:rPr>
              <w:t>Dental Practice Management</w:t>
            </w:r>
          </w:p>
        </w:tc>
        <w:tc>
          <w:tcPr>
            <w:tcW w:w="2260" w:type="dxa"/>
            <w:vAlign w:val="bottom"/>
          </w:tcPr>
          <w:p>
            <w:pPr>
              <w:ind w:left="120"/>
              <w:spacing w:after="0" w:line="110" w:lineRule="exact"/>
              <w:rPr>
                <w:sz w:val="20"/>
                <w:szCs w:val="20"/>
                <w:color w:val="auto"/>
              </w:rPr>
            </w:pPr>
            <w:r>
              <w:rPr>
                <w:rFonts w:ascii="Arial" w:cs="Arial" w:eastAsia="Arial" w:hAnsi="Arial"/>
                <w:sz w:val="12"/>
                <w:szCs w:val="12"/>
                <w:color w:val="auto"/>
              </w:rPr>
              <w:t>Subordinated Debt (14% Cash, Due</w:t>
            </w: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460" w:type="dxa"/>
            <w:vAlign w:val="bottom"/>
          </w:tcPr>
          <w:p>
            <w:pPr>
              <w:spacing w:after="0" w:line="208" w:lineRule="exact"/>
              <w:rPr>
                <w:sz w:val="20"/>
                <w:szCs w:val="20"/>
                <w:color w:val="auto"/>
              </w:rPr>
            </w:pPr>
            <w:r>
              <w:rPr>
                <w:rFonts w:ascii="Arial" w:cs="Arial" w:eastAsia="Arial" w:hAnsi="Arial"/>
                <w:sz w:val="14"/>
                <w:szCs w:val="14"/>
                <w:color w:val="auto"/>
              </w:rPr>
              <w:t xml:space="preserve">Inc. </w:t>
            </w:r>
            <w:r>
              <w:rPr>
                <w:rFonts w:ascii="Arial" w:cs="Arial" w:eastAsia="Arial" w:hAnsi="Arial"/>
                <w:sz w:val="23"/>
                <w:szCs w:val="23"/>
                <w:color w:val="auto"/>
                <w:vertAlign w:val="superscript"/>
              </w:rPr>
              <w:t>(1)</w:t>
            </w:r>
          </w:p>
        </w:tc>
        <w:tc>
          <w:tcPr>
            <w:tcW w:w="2240" w:type="dxa"/>
            <w:vAlign w:val="bottom"/>
          </w:tcPr>
          <w:p>
            <w:pPr>
              <w:spacing w:after="0"/>
              <w:rPr>
                <w:sz w:val="18"/>
                <w:szCs w:val="18"/>
                <w:color w:val="auto"/>
              </w:rPr>
            </w:pPr>
          </w:p>
        </w:tc>
        <w:tc>
          <w:tcPr>
            <w:tcW w:w="2260" w:type="dxa"/>
            <w:vAlign w:val="bottom"/>
          </w:tcPr>
          <w:p>
            <w:pPr>
              <w:ind w:left="120"/>
              <w:spacing w:after="0"/>
              <w:rPr>
                <w:sz w:val="20"/>
                <w:szCs w:val="20"/>
                <w:color w:val="auto"/>
              </w:rPr>
            </w:pPr>
            <w:r>
              <w:rPr>
                <w:rFonts w:ascii="Arial" w:cs="Arial" w:eastAsia="Arial" w:hAnsi="Arial"/>
                <w:sz w:val="14"/>
                <w:szCs w:val="14"/>
                <w:color w:val="auto"/>
              </w:rPr>
              <w:t>7/31/15)</w:t>
            </w:r>
          </w:p>
        </w:tc>
        <w:tc>
          <w:tcPr>
            <w:tcW w:w="360" w:type="dxa"/>
            <w:vAlign w:val="bottom"/>
          </w:tcPr>
          <w:p>
            <w:pPr>
              <w:spacing w:after="0"/>
              <w:rPr>
                <w:sz w:val="18"/>
                <w:szCs w:val="18"/>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7,425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7,425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7,425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30"/>
        </w:trPr>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STX Healthcare Management Services,</w:t>
            </w:r>
          </w:p>
        </w:tc>
        <w:tc>
          <w:tcPr>
            <w:tcW w:w="224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Dental Practice Management</w:t>
            </w:r>
          </w:p>
        </w:tc>
        <w:tc>
          <w:tcPr>
            <w:tcW w:w="22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Common Stock (1,200,000 shares)</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22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942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0"/>
        </w:trPr>
        <w:tc>
          <w:tcPr>
            <w:tcW w:w="2460" w:type="dxa"/>
            <w:vAlign w:val="bottom"/>
          </w:tcPr>
          <w:p>
            <w:pPr>
              <w:spacing w:after="0" w:line="130" w:lineRule="exact"/>
              <w:rPr>
                <w:sz w:val="20"/>
                <w:szCs w:val="20"/>
                <w:color w:val="auto"/>
              </w:rPr>
            </w:pPr>
            <w:r>
              <w:rPr>
                <w:rFonts w:ascii="Arial" w:cs="Arial" w:eastAsia="Arial" w:hAnsi="Arial"/>
                <w:sz w:val="14"/>
                <w:szCs w:val="14"/>
                <w:color w:val="auto"/>
                <w:w w:val="99"/>
              </w:rPr>
              <w:t>STX Healthcare Management Services,</w:t>
            </w:r>
          </w:p>
        </w:tc>
        <w:tc>
          <w:tcPr>
            <w:tcW w:w="2240" w:type="dxa"/>
            <w:vAlign w:val="bottom"/>
          </w:tcPr>
          <w:p>
            <w:pPr>
              <w:ind w:left="180"/>
              <w:spacing w:after="0" w:line="130" w:lineRule="exact"/>
              <w:rPr>
                <w:sz w:val="20"/>
                <w:szCs w:val="20"/>
                <w:color w:val="auto"/>
              </w:rPr>
            </w:pPr>
            <w:r>
              <w:rPr>
                <w:rFonts w:ascii="Arial" w:cs="Arial" w:eastAsia="Arial" w:hAnsi="Arial"/>
                <w:sz w:val="14"/>
                <w:szCs w:val="14"/>
                <w:color w:val="auto"/>
              </w:rPr>
              <w:t>Dental Practice Management</w:t>
            </w:r>
          </w:p>
        </w:tc>
        <w:tc>
          <w:tcPr>
            <w:tcW w:w="2260" w:type="dxa"/>
            <w:vAlign w:val="bottom"/>
          </w:tcPr>
          <w:p>
            <w:pPr>
              <w:ind w:left="120"/>
              <w:spacing w:after="0" w:line="130" w:lineRule="exact"/>
              <w:rPr>
                <w:sz w:val="20"/>
                <w:szCs w:val="20"/>
                <w:color w:val="auto"/>
              </w:rPr>
            </w:pPr>
            <w:r>
              <w:rPr>
                <w:rFonts w:ascii="Arial" w:cs="Arial" w:eastAsia="Arial" w:hAnsi="Arial"/>
                <w:sz w:val="14"/>
                <w:szCs w:val="14"/>
                <w:color w:val="auto"/>
              </w:rPr>
              <w:t>Common Stock Warrants</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460" w:type="dxa"/>
            <w:vAlign w:val="bottom"/>
          </w:tcPr>
          <w:p>
            <w:pPr>
              <w:spacing w:after="0"/>
              <w:rPr>
                <w:sz w:val="20"/>
                <w:szCs w:val="20"/>
                <w:color w:val="auto"/>
              </w:rPr>
            </w:pPr>
            <w:r>
              <w:rPr>
                <w:rFonts w:ascii="Arial" w:cs="Arial" w:eastAsia="Arial" w:hAnsi="Arial"/>
                <w:sz w:val="14"/>
                <w:szCs w:val="14"/>
                <w:color w:val="auto"/>
              </w:rPr>
              <w:t>Inc.</w:t>
            </w:r>
          </w:p>
        </w:tc>
        <w:tc>
          <w:tcPr>
            <w:tcW w:w="2240" w:type="dxa"/>
            <w:vAlign w:val="bottom"/>
          </w:tcPr>
          <w:p>
            <w:pPr>
              <w:spacing w:after="0"/>
              <w:rPr>
                <w:sz w:val="15"/>
                <w:szCs w:val="15"/>
                <w:color w:val="auto"/>
              </w:rPr>
            </w:pPr>
          </w:p>
        </w:tc>
        <w:tc>
          <w:tcPr>
            <w:tcW w:w="2260" w:type="dxa"/>
            <w:vAlign w:val="bottom"/>
          </w:tcPr>
          <w:p>
            <w:pPr>
              <w:ind w:left="120"/>
              <w:spacing w:after="0"/>
              <w:rPr>
                <w:sz w:val="20"/>
                <w:szCs w:val="20"/>
                <w:color w:val="auto"/>
              </w:rPr>
            </w:pPr>
            <w:r>
              <w:rPr>
                <w:rFonts w:ascii="Arial" w:cs="Arial" w:eastAsia="Arial" w:hAnsi="Arial"/>
                <w:sz w:val="14"/>
                <w:szCs w:val="14"/>
                <w:color w:val="auto"/>
              </w:rPr>
              <w:t>(1,154,254 shares)</w:t>
            </w:r>
          </w:p>
        </w:tc>
        <w:tc>
          <w:tcPr>
            <w:tcW w:w="36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906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460" w:type="dxa"/>
            <w:vAlign w:val="bottom"/>
            <w:tcBorders>
              <w:top w:val="single" w:sz="8" w:color="CCEEFF"/>
            </w:tcBorders>
            <w:shd w:val="clear" w:color="auto" w:fill="CCEEFF"/>
          </w:tcPr>
          <w:p>
            <w:pPr>
              <w:spacing w:after="0"/>
              <w:rPr>
                <w:sz w:val="12"/>
                <w:szCs w:val="12"/>
                <w:color w:val="auto"/>
              </w:rPr>
            </w:pPr>
          </w:p>
        </w:tc>
        <w:tc>
          <w:tcPr>
            <w:tcW w:w="2240" w:type="dxa"/>
            <w:vAlign w:val="bottom"/>
            <w:tcBorders>
              <w:top w:val="single" w:sz="8" w:color="CCEEFF"/>
            </w:tcBorders>
            <w:shd w:val="clear" w:color="auto" w:fill="CCEEFF"/>
          </w:tcPr>
          <w:p>
            <w:pPr>
              <w:spacing w:after="0"/>
              <w:rPr>
                <w:sz w:val="12"/>
                <w:szCs w:val="12"/>
                <w:color w:val="auto"/>
              </w:rPr>
            </w:pPr>
          </w:p>
        </w:tc>
        <w:tc>
          <w:tcPr>
            <w:tcW w:w="22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8,843</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9,273</w:t>
            </w:r>
          </w:p>
        </w:tc>
        <w:tc>
          <w:tcPr>
            <w:tcW w:w="2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2"/>
        </w:trPr>
        <w:tc>
          <w:tcPr>
            <w:tcW w:w="24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Take 5 Oil Change, LLC</w:t>
            </w:r>
          </w:p>
        </w:tc>
        <w:tc>
          <w:tcPr>
            <w:tcW w:w="2240" w:type="dxa"/>
            <w:vAlign w:val="bottom"/>
            <w:tcBorders>
              <w:bottom w:val="single" w:sz="8" w:color="CCEEFF"/>
            </w:tcBorders>
          </w:tcPr>
          <w:p>
            <w:pPr>
              <w:ind w:left="180"/>
              <w:spacing w:after="0" w:line="142" w:lineRule="exact"/>
              <w:rPr>
                <w:sz w:val="20"/>
                <w:szCs w:val="20"/>
                <w:color w:val="auto"/>
              </w:rPr>
            </w:pPr>
            <w:r>
              <w:rPr>
                <w:rFonts w:ascii="Arial" w:cs="Arial" w:eastAsia="Arial" w:hAnsi="Arial"/>
                <w:sz w:val="14"/>
                <w:szCs w:val="14"/>
                <w:color w:val="auto"/>
              </w:rPr>
              <w:t>Quick Lube Services</w:t>
            </w:r>
          </w:p>
        </w:tc>
        <w:tc>
          <w:tcPr>
            <w:tcW w:w="226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color w:val="auto"/>
              </w:rPr>
              <w:t>Common Stock (10,692 shares)</w:t>
            </w:r>
          </w:p>
        </w:tc>
        <w:tc>
          <w:tcPr>
            <w:tcW w:w="36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1,069</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1,604</w:t>
            </w:r>
          </w:p>
        </w:tc>
        <w:tc>
          <w:tcPr>
            <w:tcW w:w="2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2"/>
        </w:trPr>
        <w:tc>
          <w:tcPr>
            <w:tcW w:w="246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1,604</w:t>
            </w:r>
          </w:p>
        </w:tc>
        <w:tc>
          <w:tcPr>
            <w:tcW w:w="220" w:type="dxa"/>
            <w:vAlign w:val="bottom"/>
            <w:shd w:val="clear" w:color="auto" w:fill="CCEEFF"/>
          </w:tcPr>
          <w:p>
            <w:pPr>
              <w:spacing w:after="0"/>
              <w:rPr>
                <w:sz w:val="12"/>
                <w:szCs w:val="12"/>
                <w:color w:val="auto"/>
              </w:rPr>
            </w:pPr>
          </w:p>
        </w:tc>
        <w:tc>
          <w:tcPr>
            <w:tcW w:w="920" w:type="dxa"/>
            <w:vAlign w:val="bottom"/>
            <w:tcBorders>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10"/>
        </w:trPr>
        <w:tc>
          <w:tcPr>
            <w:tcW w:w="2460" w:type="dxa"/>
            <w:vAlign w:val="bottom"/>
          </w:tcPr>
          <w:p>
            <w:pPr>
              <w:spacing w:after="0" w:line="110" w:lineRule="exact"/>
              <w:rPr>
                <w:sz w:val="20"/>
                <w:szCs w:val="20"/>
                <w:color w:val="auto"/>
              </w:rPr>
            </w:pPr>
            <w:r>
              <w:rPr>
                <w:rFonts w:ascii="Arial" w:cs="Arial" w:eastAsia="Arial" w:hAnsi="Arial"/>
                <w:sz w:val="12"/>
                <w:szCs w:val="12"/>
                <w:color w:val="auto"/>
              </w:rPr>
              <w:t>TCE Holdings, Inc.</w:t>
            </w:r>
          </w:p>
        </w:tc>
        <w:tc>
          <w:tcPr>
            <w:tcW w:w="2240" w:type="dxa"/>
            <w:vAlign w:val="bottom"/>
          </w:tcPr>
          <w:p>
            <w:pPr>
              <w:ind w:left="180"/>
              <w:spacing w:after="0" w:line="110" w:lineRule="exact"/>
              <w:rPr>
                <w:sz w:val="20"/>
                <w:szCs w:val="20"/>
                <w:color w:val="auto"/>
              </w:rPr>
            </w:pPr>
            <w:r>
              <w:rPr>
                <w:rFonts w:ascii="Arial" w:cs="Arial" w:eastAsia="Arial" w:hAnsi="Arial"/>
                <w:sz w:val="12"/>
                <w:szCs w:val="12"/>
                <w:color w:val="auto"/>
              </w:rPr>
              <w:t>Oil &amp; Gas Services</w:t>
            </w:r>
          </w:p>
        </w:tc>
        <w:tc>
          <w:tcPr>
            <w:tcW w:w="2260" w:type="dxa"/>
            <w:vAlign w:val="bottom"/>
          </w:tcPr>
          <w:p>
            <w:pPr>
              <w:ind w:left="120"/>
              <w:spacing w:after="0" w:line="110" w:lineRule="exact"/>
              <w:rPr>
                <w:sz w:val="20"/>
                <w:szCs w:val="20"/>
                <w:color w:val="auto"/>
              </w:rPr>
            </w:pPr>
            <w:r>
              <w:rPr>
                <w:rFonts w:ascii="Arial" w:cs="Arial" w:eastAsia="Arial" w:hAnsi="Arial"/>
                <w:sz w:val="12"/>
                <w:szCs w:val="12"/>
                <w:color w:val="auto"/>
              </w:rPr>
              <w:t>Subordinated Debt (12% Cash, 2%</w:t>
            </w: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4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60" w:type="dxa"/>
            <w:vAlign w:val="bottom"/>
          </w:tcPr>
          <w:p>
            <w:pPr>
              <w:ind w:left="120"/>
              <w:spacing w:after="0"/>
              <w:rPr>
                <w:sz w:val="20"/>
                <w:szCs w:val="20"/>
                <w:color w:val="auto"/>
              </w:rPr>
            </w:pPr>
            <w:r>
              <w:rPr>
                <w:rFonts w:ascii="Arial" w:cs="Arial" w:eastAsia="Arial" w:hAnsi="Arial"/>
                <w:sz w:val="14"/>
                <w:szCs w:val="14"/>
                <w:color w:val="auto"/>
              </w:rPr>
              <w:t>PIK, Due 11/22/18)</w:t>
            </w:r>
          </w:p>
        </w:tc>
        <w:tc>
          <w:tcPr>
            <w:tcW w:w="3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12,088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12,088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12,088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30"/>
        </w:trPr>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TCE Holdings, Inc.</w:t>
            </w:r>
          </w:p>
        </w:tc>
        <w:tc>
          <w:tcPr>
            <w:tcW w:w="224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Oil &amp; Gas Services</w:t>
            </w:r>
          </w:p>
        </w:tc>
        <w:tc>
          <w:tcPr>
            <w:tcW w:w="22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Subordinated Debt (12% Cash, 2%</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PIK, Due 2/1/19)</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9,633</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9,633</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9,633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30"/>
        </w:trPr>
        <w:tc>
          <w:tcPr>
            <w:tcW w:w="2460" w:type="dxa"/>
            <w:vAlign w:val="bottom"/>
          </w:tcPr>
          <w:p>
            <w:pPr>
              <w:spacing w:after="0" w:line="130" w:lineRule="exact"/>
              <w:rPr>
                <w:sz w:val="20"/>
                <w:szCs w:val="20"/>
                <w:color w:val="auto"/>
              </w:rPr>
            </w:pPr>
            <w:r>
              <w:rPr>
                <w:rFonts w:ascii="Arial" w:cs="Arial" w:eastAsia="Arial" w:hAnsi="Arial"/>
                <w:sz w:val="14"/>
                <w:szCs w:val="14"/>
                <w:color w:val="auto"/>
              </w:rPr>
              <w:t>TCE Holdings, Inc.</w:t>
            </w:r>
          </w:p>
        </w:tc>
        <w:tc>
          <w:tcPr>
            <w:tcW w:w="2240" w:type="dxa"/>
            <w:vAlign w:val="bottom"/>
          </w:tcPr>
          <w:p>
            <w:pPr>
              <w:ind w:left="180"/>
              <w:spacing w:after="0" w:line="130" w:lineRule="exact"/>
              <w:rPr>
                <w:sz w:val="20"/>
                <w:szCs w:val="20"/>
                <w:color w:val="auto"/>
              </w:rPr>
            </w:pPr>
            <w:r>
              <w:rPr>
                <w:rFonts w:ascii="Arial" w:cs="Arial" w:eastAsia="Arial" w:hAnsi="Arial"/>
                <w:sz w:val="14"/>
                <w:szCs w:val="14"/>
                <w:color w:val="auto"/>
              </w:rPr>
              <w:t>Oil &amp; Gas Services</w:t>
            </w:r>
          </w:p>
        </w:tc>
        <w:tc>
          <w:tcPr>
            <w:tcW w:w="2260" w:type="dxa"/>
            <w:vAlign w:val="bottom"/>
          </w:tcPr>
          <w:p>
            <w:pPr>
              <w:ind w:left="120"/>
              <w:spacing w:after="0" w:line="130" w:lineRule="exact"/>
              <w:rPr>
                <w:sz w:val="20"/>
                <w:szCs w:val="20"/>
                <w:color w:val="auto"/>
              </w:rPr>
            </w:pPr>
            <w:r>
              <w:rPr>
                <w:rFonts w:ascii="Arial" w:cs="Arial" w:eastAsia="Arial" w:hAnsi="Arial"/>
                <w:sz w:val="14"/>
                <w:szCs w:val="14"/>
                <w:color w:val="auto"/>
              </w:rPr>
              <w:t>Class A Common Stock (3,600</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4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260" w:type="dxa"/>
            <w:vAlign w:val="bottom"/>
          </w:tcPr>
          <w:p>
            <w:pPr>
              <w:ind w:left="120"/>
              <w:spacing w:after="0"/>
              <w:rPr>
                <w:sz w:val="20"/>
                <w:szCs w:val="20"/>
                <w:color w:val="auto"/>
              </w:rPr>
            </w:pPr>
            <w:r>
              <w:rPr>
                <w:rFonts w:ascii="Arial" w:cs="Arial" w:eastAsia="Arial" w:hAnsi="Arial"/>
                <w:sz w:val="14"/>
                <w:szCs w:val="14"/>
                <w:color w:val="auto"/>
              </w:rPr>
              <w:t>shares)</w:t>
            </w:r>
          </w:p>
        </w:tc>
        <w:tc>
          <w:tcPr>
            <w:tcW w:w="36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3,600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3,600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460" w:type="dxa"/>
            <w:vAlign w:val="bottom"/>
            <w:tcBorders>
              <w:top w:val="single" w:sz="8" w:color="CCEEFF"/>
            </w:tcBorders>
            <w:shd w:val="clear" w:color="auto" w:fill="CCEEFF"/>
          </w:tcPr>
          <w:p>
            <w:pPr>
              <w:spacing w:after="0"/>
              <w:rPr>
                <w:sz w:val="12"/>
                <w:szCs w:val="12"/>
                <w:color w:val="auto"/>
              </w:rPr>
            </w:pPr>
          </w:p>
        </w:tc>
        <w:tc>
          <w:tcPr>
            <w:tcW w:w="2240" w:type="dxa"/>
            <w:vAlign w:val="bottom"/>
            <w:tcBorders>
              <w:top w:val="single" w:sz="8" w:color="CCEEFF"/>
            </w:tcBorders>
            <w:shd w:val="clear" w:color="auto" w:fill="CCEEFF"/>
          </w:tcPr>
          <w:p>
            <w:pPr>
              <w:spacing w:after="0"/>
              <w:rPr>
                <w:sz w:val="12"/>
                <w:szCs w:val="12"/>
                <w:color w:val="auto"/>
              </w:rPr>
            </w:pPr>
          </w:p>
        </w:tc>
        <w:tc>
          <w:tcPr>
            <w:tcW w:w="22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25,321</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25,321</w:t>
            </w:r>
          </w:p>
        </w:tc>
        <w:tc>
          <w:tcPr>
            <w:tcW w:w="2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2"/>
        </w:trPr>
        <w:tc>
          <w:tcPr>
            <w:tcW w:w="2460" w:type="dxa"/>
            <w:vAlign w:val="bottom"/>
          </w:tcPr>
          <w:p>
            <w:pPr>
              <w:spacing w:after="0" w:line="142" w:lineRule="exact"/>
              <w:rPr>
                <w:sz w:val="20"/>
                <w:szCs w:val="20"/>
                <w:color w:val="auto"/>
              </w:rPr>
            </w:pPr>
            <w:r>
              <w:rPr>
                <w:rFonts w:ascii="Arial" w:cs="Arial" w:eastAsia="Arial" w:hAnsi="Arial"/>
                <w:sz w:val="11"/>
                <w:szCs w:val="11"/>
                <w:color w:val="auto"/>
              </w:rPr>
              <w:t>V12 Holdings</w:t>
            </w:r>
            <w:r>
              <w:rPr>
                <w:rFonts w:ascii="Arial" w:cs="Arial" w:eastAsia="Arial" w:hAnsi="Arial"/>
                <w:sz w:val="16"/>
                <w:szCs w:val="16"/>
                <w:color w:val="auto"/>
                <w:vertAlign w:val="superscript"/>
              </w:rPr>
              <w:t>(1)</w:t>
            </w:r>
          </w:p>
        </w:tc>
        <w:tc>
          <w:tcPr>
            <w:tcW w:w="2240" w:type="dxa"/>
            <w:vAlign w:val="bottom"/>
          </w:tcPr>
          <w:p>
            <w:pPr>
              <w:ind w:left="180"/>
              <w:spacing w:after="0" w:line="142" w:lineRule="exact"/>
              <w:rPr>
                <w:sz w:val="20"/>
                <w:szCs w:val="20"/>
                <w:color w:val="auto"/>
              </w:rPr>
            </w:pPr>
            <w:r>
              <w:rPr>
                <w:rFonts w:ascii="Arial" w:cs="Arial" w:eastAsia="Arial" w:hAnsi="Arial"/>
                <w:sz w:val="14"/>
                <w:szCs w:val="14"/>
                <w:color w:val="auto"/>
              </w:rPr>
              <w:t>Data Processing &amp; Digital</w:t>
            </w:r>
          </w:p>
        </w:tc>
        <w:tc>
          <w:tcPr>
            <w:tcW w:w="2260" w:type="dxa"/>
            <w:vAlign w:val="bottom"/>
          </w:tcPr>
          <w:p>
            <w:pPr>
              <w:ind w:left="120"/>
              <w:spacing w:after="0" w:line="142" w:lineRule="exact"/>
              <w:rPr>
                <w:sz w:val="20"/>
                <w:szCs w:val="20"/>
                <w:color w:val="auto"/>
              </w:rPr>
            </w:pPr>
            <w:r>
              <w:rPr>
                <w:rFonts w:ascii="Arial" w:cs="Arial" w:eastAsia="Arial" w:hAnsi="Arial"/>
                <w:sz w:val="14"/>
                <w:szCs w:val="14"/>
                <w:color w:val="auto"/>
              </w:rPr>
              <w:t>Bridge Note (0% Cash, Due</w:t>
            </w:r>
          </w:p>
        </w:tc>
        <w:tc>
          <w:tcPr>
            <w:tcW w:w="360" w:type="dxa"/>
            <w:vAlign w:val="bottom"/>
          </w:tcPr>
          <w:p>
            <w:pPr>
              <w:spacing w:after="0"/>
              <w:rPr>
                <w:sz w:val="12"/>
                <w:szCs w:val="12"/>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663</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663</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2240" w:type="dxa"/>
            <w:vAlign w:val="bottom"/>
          </w:tcPr>
          <w:p>
            <w:pPr>
              <w:ind w:left="180"/>
              <w:spacing w:after="0" w:line="135" w:lineRule="exact"/>
              <w:rPr>
                <w:sz w:val="20"/>
                <w:szCs w:val="20"/>
                <w:color w:val="auto"/>
              </w:rPr>
            </w:pPr>
            <w:r>
              <w:rPr>
                <w:rFonts w:ascii="Arial" w:cs="Arial" w:eastAsia="Arial" w:hAnsi="Arial"/>
                <w:sz w:val="14"/>
                <w:szCs w:val="14"/>
                <w:color w:val="auto"/>
              </w:rPr>
              <w:t>Marketing</w:t>
            </w:r>
          </w:p>
        </w:tc>
        <w:tc>
          <w:tcPr>
            <w:tcW w:w="2260" w:type="dxa"/>
            <w:vAlign w:val="bottom"/>
          </w:tcPr>
          <w:p>
            <w:pPr>
              <w:ind w:left="120"/>
              <w:spacing w:after="0" w:line="135" w:lineRule="exact"/>
              <w:rPr>
                <w:sz w:val="20"/>
                <w:szCs w:val="20"/>
                <w:color w:val="auto"/>
              </w:rPr>
            </w:pPr>
            <w:r>
              <w:rPr>
                <w:rFonts w:ascii="Arial" w:cs="Arial" w:eastAsia="Arial" w:hAnsi="Arial"/>
                <w:sz w:val="14"/>
                <w:szCs w:val="14"/>
                <w:color w:val="auto"/>
              </w:rPr>
              <w:t>12/31/14)</w:t>
            </w:r>
          </w:p>
        </w:tc>
        <w:tc>
          <w:tcPr>
            <w:tcW w:w="3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V12 Holdings</w:t>
            </w:r>
            <w:r>
              <w:rPr>
                <w:rFonts w:ascii="Arial" w:cs="Arial" w:eastAsia="Arial" w:hAnsi="Arial"/>
                <w:sz w:val="18"/>
                <w:szCs w:val="18"/>
                <w:color w:val="auto"/>
                <w:vertAlign w:val="superscript"/>
              </w:rPr>
              <w:t>(1)</w:t>
            </w:r>
          </w:p>
        </w:tc>
        <w:tc>
          <w:tcPr>
            <w:tcW w:w="2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Data Processing &amp; Digital</w:t>
            </w:r>
          </w:p>
        </w:tc>
        <w:tc>
          <w:tcPr>
            <w:tcW w:w="2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Tier 2 Note (0% Cash, Due</w:t>
            </w:r>
          </w:p>
        </w:tc>
        <w:tc>
          <w:tcPr>
            <w:tcW w:w="3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81</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spacing w:after="0"/>
              <w:rPr>
                <w:sz w:val="11"/>
                <w:szCs w:val="11"/>
                <w:color w:val="auto"/>
              </w:rPr>
            </w:pPr>
          </w:p>
        </w:tc>
        <w:tc>
          <w:tcPr>
            <w:tcW w:w="224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Marketing</w:t>
            </w:r>
          </w:p>
        </w:tc>
        <w:tc>
          <w:tcPr>
            <w:tcW w:w="226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12/31/14)</w:t>
            </w:r>
          </w:p>
        </w:tc>
        <w:tc>
          <w:tcPr>
            <w:tcW w:w="36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line="162" w:lineRule="exact"/>
              <w:rPr>
                <w:sz w:val="20"/>
                <w:szCs w:val="20"/>
                <w:color w:val="auto"/>
              </w:rPr>
            </w:pPr>
            <w:r>
              <w:rPr>
                <w:rFonts w:ascii="Arial" w:cs="Arial" w:eastAsia="Arial" w:hAnsi="Arial"/>
                <w:sz w:val="12"/>
                <w:szCs w:val="12"/>
                <w:color w:val="auto"/>
              </w:rPr>
              <w:t>V12 Holdings</w:t>
            </w:r>
            <w:r>
              <w:rPr>
                <w:rFonts w:ascii="Arial" w:cs="Arial" w:eastAsia="Arial" w:hAnsi="Arial"/>
                <w:sz w:val="18"/>
                <w:szCs w:val="18"/>
                <w:color w:val="auto"/>
                <w:vertAlign w:val="superscript"/>
              </w:rPr>
              <w:t>(1)</w:t>
            </w:r>
          </w:p>
        </w:tc>
        <w:tc>
          <w:tcPr>
            <w:tcW w:w="2240" w:type="dxa"/>
            <w:vAlign w:val="bottom"/>
          </w:tcPr>
          <w:p>
            <w:pPr>
              <w:ind w:left="180"/>
              <w:spacing w:after="0"/>
              <w:rPr>
                <w:sz w:val="20"/>
                <w:szCs w:val="20"/>
                <w:color w:val="auto"/>
              </w:rPr>
            </w:pPr>
            <w:r>
              <w:rPr>
                <w:rFonts w:ascii="Arial" w:cs="Arial" w:eastAsia="Arial" w:hAnsi="Arial"/>
                <w:sz w:val="14"/>
                <w:szCs w:val="14"/>
                <w:color w:val="auto"/>
              </w:rPr>
              <w:t>Data Processing &amp; Digital</w:t>
            </w:r>
          </w:p>
        </w:tc>
        <w:tc>
          <w:tcPr>
            <w:tcW w:w="2260" w:type="dxa"/>
            <w:vAlign w:val="bottom"/>
          </w:tcPr>
          <w:p>
            <w:pPr>
              <w:ind w:left="120"/>
              <w:spacing w:after="0"/>
              <w:rPr>
                <w:sz w:val="20"/>
                <w:szCs w:val="20"/>
                <w:color w:val="auto"/>
              </w:rPr>
            </w:pPr>
            <w:r>
              <w:rPr>
                <w:rFonts w:ascii="Arial" w:cs="Arial" w:eastAsia="Arial" w:hAnsi="Arial"/>
                <w:sz w:val="14"/>
                <w:szCs w:val="14"/>
                <w:color w:val="auto"/>
              </w:rPr>
              <w:t>Senior Subordinated Note (0%</w:t>
            </w:r>
          </w:p>
        </w:tc>
        <w:tc>
          <w:tcPr>
            <w:tcW w:w="360" w:type="dxa"/>
            <w:vAlign w:val="bottom"/>
          </w:tcPr>
          <w:p>
            <w:pPr>
              <w:spacing w:after="0"/>
              <w:rPr>
                <w:sz w:val="14"/>
                <w:szCs w:val="14"/>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3,563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2,369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3,598</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2240" w:type="dxa"/>
            <w:vAlign w:val="bottom"/>
          </w:tcPr>
          <w:p>
            <w:pPr>
              <w:ind w:left="180"/>
              <w:spacing w:after="0" w:line="135" w:lineRule="exact"/>
              <w:rPr>
                <w:sz w:val="20"/>
                <w:szCs w:val="20"/>
                <w:color w:val="auto"/>
              </w:rPr>
            </w:pPr>
            <w:r>
              <w:rPr>
                <w:rFonts w:ascii="Arial" w:cs="Arial" w:eastAsia="Arial" w:hAnsi="Arial"/>
                <w:sz w:val="14"/>
                <w:szCs w:val="14"/>
                <w:color w:val="auto"/>
              </w:rPr>
              <w:t>Marketing</w:t>
            </w:r>
          </w:p>
        </w:tc>
        <w:tc>
          <w:tcPr>
            <w:tcW w:w="2260" w:type="dxa"/>
            <w:vAlign w:val="bottom"/>
          </w:tcPr>
          <w:p>
            <w:pPr>
              <w:ind w:left="120"/>
              <w:spacing w:after="0" w:line="135" w:lineRule="exact"/>
              <w:rPr>
                <w:sz w:val="20"/>
                <w:szCs w:val="20"/>
                <w:color w:val="auto"/>
              </w:rPr>
            </w:pPr>
            <w:r>
              <w:rPr>
                <w:rFonts w:ascii="Arial" w:cs="Arial" w:eastAsia="Arial" w:hAnsi="Arial"/>
                <w:sz w:val="14"/>
                <w:szCs w:val="14"/>
                <w:color w:val="auto"/>
              </w:rPr>
              <w:t>Cash, Due 12/31/14)</w:t>
            </w:r>
          </w:p>
        </w:tc>
        <w:tc>
          <w:tcPr>
            <w:tcW w:w="3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V12 Holdings</w:t>
            </w:r>
            <w:r>
              <w:rPr>
                <w:rFonts w:ascii="Arial" w:cs="Arial" w:eastAsia="Arial" w:hAnsi="Arial"/>
                <w:sz w:val="18"/>
                <w:szCs w:val="18"/>
                <w:color w:val="auto"/>
                <w:vertAlign w:val="superscript"/>
              </w:rPr>
              <w:t>(1)</w:t>
            </w:r>
          </w:p>
        </w:tc>
        <w:tc>
          <w:tcPr>
            <w:tcW w:w="2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Data Processing &amp; Digital</w:t>
            </w:r>
          </w:p>
        </w:tc>
        <w:tc>
          <w:tcPr>
            <w:tcW w:w="2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Tier 3 Note (0% Cash, Due</w:t>
            </w:r>
          </w:p>
        </w:tc>
        <w:tc>
          <w:tcPr>
            <w:tcW w:w="3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299</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206</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314</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spacing w:after="0"/>
              <w:rPr>
                <w:sz w:val="11"/>
                <w:szCs w:val="11"/>
                <w:color w:val="auto"/>
              </w:rPr>
            </w:pPr>
          </w:p>
        </w:tc>
        <w:tc>
          <w:tcPr>
            <w:tcW w:w="224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Marketing</w:t>
            </w:r>
          </w:p>
        </w:tc>
        <w:tc>
          <w:tcPr>
            <w:tcW w:w="226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12/31/14)</w:t>
            </w:r>
          </w:p>
        </w:tc>
        <w:tc>
          <w:tcPr>
            <w:tcW w:w="36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line="162" w:lineRule="exact"/>
              <w:rPr>
                <w:sz w:val="20"/>
                <w:szCs w:val="20"/>
                <w:color w:val="auto"/>
              </w:rPr>
            </w:pPr>
            <w:r>
              <w:rPr>
                <w:rFonts w:ascii="Arial" w:cs="Arial" w:eastAsia="Arial" w:hAnsi="Arial"/>
                <w:sz w:val="12"/>
                <w:szCs w:val="12"/>
                <w:color w:val="auto"/>
              </w:rPr>
              <w:t>V12 Holdings</w:t>
            </w:r>
            <w:r>
              <w:rPr>
                <w:rFonts w:ascii="Arial" w:cs="Arial" w:eastAsia="Arial" w:hAnsi="Arial"/>
                <w:sz w:val="18"/>
                <w:szCs w:val="18"/>
                <w:color w:val="auto"/>
                <w:vertAlign w:val="superscript"/>
              </w:rPr>
              <w:t>(1)</w:t>
            </w:r>
          </w:p>
        </w:tc>
        <w:tc>
          <w:tcPr>
            <w:tcW w:w="2240" w:type="dxa"/>
            <w:vAlign w:val="bottom"/>
          </w:tcPr>
          <w:p>
            <w:pPr>
              <w:ind w:left="180"/>
              <w:spacing w:after="0"/>
              <w:rPr>
                <w:sz w:val="20"/>
                <w:szCs w:val="20"/>
                <w:color w:val="auto"/>
              </w:rPr>
            </w:pPr>
            <w:r>
              <w:rPr>
                <w:rFonts w:ascii="Arial" w:cs="Arial" w:eastAsia="Arial" w:hAnsi="Arial"/>
                <w:sz w:val="14"/>
                <w:szCs w:val="14"/>
                <w:color w:val="auto"/>
              </w:rPr>
              <w:t>Data Processing &amp; Digital</w:t>
            </w:r>
          </w:p>
        </w:tc>
        <w:tc>
          <w:tcPr>
            <w:tcW w:w="2260" w:type="dxa"/>
            <w:vAlign w:val="bottom"/>
          </w:tcPr>
          <w:p>
            <w:pPr>
              <w:ind w:left="120"/>
              <w:spacing w:after="0"/>
              <w:rPr>
                <w:sz w:val="20"/>
                <w:szCs w:val="20"/>
                <w:color w:val="auto"/>
              </w:rPr>
            </w:pPr>
            <w:r>
              <w:rPr>
                <w:rFonts w:ascii="Arial" w:cs="Arial" w:eastAsia="Arial" w:hAnsi="Arial"/>
                <w:sz w:val="14"/>
                <w:szCs w:val="14"/>
                <w:color w:val="auto"/>
              </w:rPr>
              <w:t>Jr. Subordinated Note (0% Cash,</w:t>
            </w:r>
          </w:p>
        </w:tc>
        <w:tc>
          <w:tcPr>
            <w:tcW w:w="360" w:type="dxa"/>
            <w:vAlign w:val="bottom"/>
          </w:tcPr>
          <w:p>
            <w:pPr>
              <w:spacing w:after="0"/>
              <w:rPr>
                <w:sz w:val="14"/>
                <w:szCs w:val="14"/>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2,750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405</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2240" w:type="dxa"/>
            <w:vAlign w:val="bottom"/>
          </w:tcPr>
          <w:p>
            <w:pPr>
              <w:ind w:left="180"/>
              <w:spacing w:after="0" w:line="135" w:lineRule="exact"/>
              <w:rPr>
                <w:sz w:val="20"/>
                <w:szCs w:val="20"/>
                <w:color w:val="auto"/>
              </w:rPr>
            </w:pPr>
            <w:r>
              <w:rPr>
                <w:rFonts w:ascii="Arial" w:cs="Arial" w:eastAsia="Arial" w:hAnsi="Arial"/>
                <w:sz w:val="14"/>
                <w:szCs w:val="14"/>
                <w:color w:val="auto"/>
              </w:rPr>
              <w:t>Marketing</w:t>
            </w:r>
          </w:p>
        </w:tc>
        <w:tc>
          <w:tcPr>
            <w:tcW w:w="2260" w:type="dxa"/>
            <w:vAlign w:val="bottom"/>
          </w:tcPr>
          <w:p>
            <w:pPr>
              <w:ind w:left="120"/>
              <w:spacing w:after="0" w:line="135" w:lineRule="exact"/>
              <w:rPr>
                <w:sz w:val="20"/>
                <w:szCs w:val="20"/>
                <w:color w:val="auto"/>
              </w:rPr>
            </w:pPr>
            <w:r>
              <w:rPr>
                <w:rFonts w:ascii="Arial" w:cs="Arial" w:eastAsia="Arial" w:hAnsi="Arial"/>
                <w:sz w:val="14"/>
                <w:szCs w:val="14"/>
                <w:color w:val="auto"/>
              </w:rPr>
              <w:t>Due 12/31/14)</w:t>
            </w:r>
          </w:p>
        </w:tc>
        <w:tc>
          <w:tcPr>
            <w:tcW w:w="3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V12 Holdings</w:t>
            </w:r>
            <w:r>
              <w:rPr>
                <w:rFonts w:ascii="Arial" w:cs="Arial" w:eastAsia="Arial" w:hAnsi="Arial"/>
                <w:sz w:val="18"/>
                <w:szCs w:val="18"/>
                <w:color w:val="auto"/>
                <w:vertAlign w:val="superscript"/>
              </w:rPr>
              <w:t>(1)</w:t>
            </w:r>
          </w:p>
        </w:tc>
        <w:tc>
          <w:tcPr>
            <w:tcW w:w="2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Data Processing &amp; Digital</w:t>
            </w:r>
          </w:p>
        </w:tc>
        <w:tc>
          <w:tcPr>
            <w:tcW w:w="2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Tier 4 Note (0% Cash, Due</w:t>
            </w:r>
          </w:p>
        </w:tc>
        <w:tc>
          <w:tcPr>
            <w:tcW w:w="3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243</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spacing w:after="0"/>
              <w:rPr>
                <w:sz w:val="11"/>
                <w:szCs w:val="11"/>
                <w:color w:val="auto"/>
              </w:rPr>
            </w:pPr>
          </w:p>
        </w:tc>
        <w:tc>
          <w:tcPr>
            <w:tcW w:w="224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Marketing</w:t>
            </w:r>
          </w:p>
        </w:tc>
        <w:tc>
          <w:tcPr>
            <w:tcW w:w="226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12/31/14)</w:t>
            </w:r>
          </w:p>
        </w:tc>
        <w:tc>
          <w:tcPr>
            <w:tcW w:w="36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460" w:type="dxa"/>
            <w:vAlign w:val="bottom"/>
          </w:tcPr>
          <w:p>
            <w:pPr>
              <w:spacing w:after="0" w:line="130" w:lineRule="exact"/>
              <w:rPr>
                <w:sz w:val="20"/>
                <w:szCs w:val="20"/>
                <w:color w:val="auto"/>
              </w:rPr>
            </w:pPr>
            <w:r>
              <w:rPr>
                <w:rFonts w:ascii="Arial" w:cs="Arial" w:eastAsia="Arial" w:hAnsi="Arial"/>
                <w:sz w:val="14"/>
                <w:szCs w:val="14"/>
                <w:color w:val="auto"/>
              </w:rPr>
              <w:t>V12 Holdings</w:t>
            </w:r>
          </w:p>
        </w:tc>
        <w:tc>
          <w:tcPr>
            <w:tcW w:w="2240" w:type="dxa"/>
            <w:vAlign w:val="bottom"/>
          </w:tcPr>
          <w:p>
            <w:pPr>
              <w:ind w:left="180"/>
              <w:spacing w:after="0" w:line="130" w:lineRule="exact"/>
              <w:rPr>
                <w:sz w:val="20"/>
                <w:szCs w:val="20"/>
                <w:color w:val="auto"/>
              </w:rPr>
            </w:pPr>
            <w:r>
              <w:rPr>
                <w:rFonts w:ascii="Arial" w:cs="Arial" w:eastAsia="Arial" w:hAnsi="Arial"/>
                <w:sz w:val="14"/>
                <w:szCs w:val="14"/>
                <w:color w:val="auto"/>
              </w:rPr>
              <w:t>Data Processing &amp; Digital</w:t>
            </w:r>
          </w:p>
        </w:tc>
        <w:tc>
          <w:tcPr>
            <w:tcW w:w="2260" w:type="dxa"/>
            <w:vAlign w:val="bottom"/>
          </w:tcPr>
          <w:p>
            <w:pPr>
              <w:ind w:left="120"/>
              <w:spacing w:after="0" w:line="130" w:lineRule="exact"/>
              <w:rPr>
                <w:sz w:val="20"/>
                <w:szCs w:val="20"/>
                <w:color w:val="auto"/>
              </w:rPr>
            </w:pPr>
            <w:r>
              <w:rPr>
                <w:rFonts w:ascii="Arial" w:cs="Arial" w:eastAsia="Arial" w:hAnsi="Arial"/>
                <w:sz w:val="14"/>
                <w:szCs w:val="14"/>
                <w:color w:val="auto"/>
              </w:rPr>
              <w:t>Series A-1 Preferred Stock</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60" w:type="dxa"/>
            <w:vAlign w:val="bottom"/>
          </w:tcPr>
          <w:p>
            <w:pPr>
              <w:spacing w:after="0"/>
              <w:rPr>
                <w:sz w:val="14"/>
                <w:szCs w:val="14"/>
                <w:color w:val="auto"/>
              </w:rPr>
            </w:pPr>
          </w:p>
        </w:tc>
        <w:tc>
          <w:tcPr>
            <w:tcW w:w="2240" w:type="dxa"/>
            <w:vAlign w:val="bottom"/>
          </w:tcPr>
          <w:p>
            <w:pPr>
              <w:ind w:left="180"/>
              <w:spacing w:after="0"/>
              <w:rPr>
                <w:sz w:val="20"/>
                <w:szCs w:val="20"/>
                <w:color w:val="auto"/>
              </w:rPr>
            </w:pPr>
            <w:r>
              <w:rPr>
                <w:rFonts w:ascii="Arial" w:cs="Arial" w:eastAsia="Arial" w:hAnsi="Arial"/>
                <w:sz w:val="14"/>
                <w:szCs w:val="14"/>
                <w:color w:val="auto"/>
              </w:rPr>
              <w:t>Marketing</w:t>
            </w:r>
          </w:p>
        </w:tc>
        <w:tc>
          <w:tcPr>
            <w:tcW w:w="2260" w:type="dxa"/>
            <w:vAlign w:val="bottom"/>
          </w:tcPr>
          <w:p>
            <w:pPr>
              <w:ind w:left="120"/>
              <w:spacing w:after="0"/>
              <w:rPr>
                <w:sz w:val="20"/>
                <w:szCs w:val="20"/>
                <w:color w:val="auto"/>
              </w:rPr>
            </w:pPr>
            <w:r>
              <w:rPr>
                <w:rFonts w:ascii="Arial" w:cs="Arial" w:eastAsia="Arial" w:hAnsi="Arial"/>
                <w:sz w:val="14"/>
                <w:szCs w:val="14"/>
                <w:color w:val="auto"/>
              </w:rPr>
              <w:t>(255,102 shares)</w:t>
            </w:r>
          </w:p>
        </w:tc>
        <w:tc>
          <w:tcPr>
            <w:tcW w:w="3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w:t>
            </w:r>
          </w:p>
        </w:tc>
        <w:tc>
          <w:tcPr>
            <w:tcW w:w="224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w:t>
            </w:r>
          </w:p>
        </w:tc>
        <w:tc>
          <w:tcPr>
            <w:tcW w:w="22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Series A-3 Preferred Stock (88,194</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460" w:type="dxa"/>
            <w:vAlign w:val="bottom"/>
          </w:tcPr>
          <w:p>
            <w:pPr>
              <w:spacing w:after="0" w:line="130" w:lineRule="exact"/>
              <w:rPr>
                <w:sz w:val="20"/>
                <w:szCs w:val="20"/>
                <w:color w:val="auto"/>
              </w:rPr>
            </w:pPr>
            <w:r>
              <w:rPr>
                <w:rFonts w:ascii="Arial" w:cs="Arial" w:eastAsia="Arial" w:hAnsi="Arial"/>
                <w:sz w:val="14"/>
                <w:szCs w:val="14"/>
                <w:color w:val="auto"/>
              </w:rPr>
              <w:t>V12 Holdings</w:t>
            </w:r>
          </w:p>
        </w:tc>
        <w:tc>
          <w:tcPr>
            <w:tcW w:w="2240" w:type="dxa"/>
            <w:vAlign w:val="bottom"/>
          </w:tcPr>
          <w:p>
            <w:pPr>
              <w:ind w:left="180"/>
              <w:spacing w:after="0" w:line="130" w:lineRule="exact"/>
              <w:rPr>
                <w:sz w:val="20"/>
                <w:szCs w:val="20"/>
                <w:color w:val="auto"/>
              </w:rPr>
            </w:pPr>
            <w:r>
              <w:rPr>
                <w:rFonts w:ascii="Arial" w:cs="Arial" w:eastAsia="Arial" w:hAnsi="Arial"/>
                <w:sz w:val="14"/>
                <w:szCs w:val="14"/>
                <w:color w:val="auto"/>
              </w:rPr>
              <w:t>Data Processing &amp; Digital</w:t>
            </w:r>
          </w:p>
        </w:tc>
        <w:tc>
          <w:tcPr>
            <w:tcW w:w="2260" w:type="dxa"/>
            <w:vAlign w:val="bottom"/>
          </w:tcPr>
          <w:p>
            <w:pPr>
              <w:ind w:left="120"/>
              <w:spacing w:after="0" w:line="130" w:lineRule="exact"/>
              <w:rPr>
                <w:sz w:val="20"/>
                <w:szCs w:val="20"/>
                <w:color w:val="auto"/>
              </w:rPr>
            </w:pPr>
            <w:r>
              <w:rPr>
                <w:rFonts w:ascii="Arial" w:cs="Arial" w:eastAsia="Arial" w:hAnsi="Arial"/>
                <w:sz w:val="14"/>
                <w:szCs w:val="14"/>
                <w:color w:val="auto"/>
                <w:w w:val="97"/>
              </w:rPr>
              <w:t>Series A-5 Preferred Stock (20,530</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60" w:type="dxa"/>
            <w:vAlign w:val="bottom"/>
          </w:tcPr>
          <w:p>
            <w:pPr>
              <w:spacing w:after="0"/>
              <w:rPr>
                <w:sz w:val="14"/>
                <w:szCs w:val="14"/>
                <w:color w:val="auto"/>
              </w:rPr>
            </w:pPr>
          </w:p>
        </w:tc>
        <w:tc>
          <w:tcPr>
            <w:tcW w:w="2240" w:type="dxa"/>
            <w:vAlign w:val="bottom"/>
          </w:tcPr>
          <w:p>
            <w:pPr>
              <w:ind w:left="180"/>
              <w:spacing w:after="0"/>
              <w:rPr>
                <w:sz w:val="20"/>
                <w:szCs w:val="20"/>
                <w:color w:val="auto"/>
              </w:rPr>
            </w:pPr>
            <w:r>
              <w:rPr>
                <w:rFonts w:ascii="Arial" w:cs="Arial" w:eastAsia="Arial" w:hAnsi="Arial"/>
                <w:sz w:val="14"/>
                <w:szCs w:val="14"/>
                <w:color w:val="auto"/>
              </w:rPr>
              <w:t>Marketing</w:t>
            </w:r>
          </w:p>
        </w:tc>
        <w:tc>
          <w:tcPr>
            <w:tcW w:w="2260" w:type="dxa"/>
            <w:vAlign w:val="bottom"/>
          </w:tcPr>
          <w:p>
            <w:pPr>
              <w:ind w:left="120"/>
              <w:spacing w:after="0"/>
              <w:rPr>
                <w:sz w:val="20"/>
                <w:szCs w:val="20"/>
                <w:color w:val="auto"/>
              </w:rPr>
            </w:pPr>
            <w:r>
              <w:rPr>
                <w:rFonts w:ascii="Arial" w:cs="Arial" w:eastAsia="Arial" w:hAnsi="Arial"/>
                <w:sz w:val="14"/>
                <w:szCs w:val="14"/>
                <w:color w:val="auto"/>
              </w:rPr>
              <w:t>shares)</w:t>
            </w:r>
          </w:p>
        </w:tc>
        <w:tc>
          <w:tcPr>
            <w:tcW w:w="3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V12 Holdings</w:t>
            </w:r>
          </w:p>
        </w:tc>
        <w:tc>
          <w:tcPr>
            <w:tcW w:w="224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Data Processing &amp; Digital</w:t>
            </w:r>
          </w:p>
        </w:tc>
        <w:tc>
          <w:tcPr>
            <w:tcW w:w="22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Warrants</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spacing w:after="0"/>
              <w:rPr>
                <w:sz w:val="15"/>
                <w:szCs w:val="15"/>
                <w:color w:val="auto"/>
              </w:rPr>
            </w:pPr>
          </w:p>
        </w:tc>
        <w:tc>
          <w:tcPr>
            <w:tcW w:w="2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Marketing</w:t>
            </w:r>
          </w:p>
        </w:tc>
        <w:tc>
          <w:tcPr>
            <w:tcW w:w="2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(2,063,629 warrants)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46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2,980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5,061</w:t>
            </w:r>
          </w:p>
        </w:tc>
        <w:tc>
          <w:tcPr>
            <w:tcW w:w="2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2"/>
        </w:trPr>
        <w:tc>
          <w:tcPr>
            <w:tcW w:w="24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Sub Total Affiliate investments</w:t>
            </w:r>
          </w:p>
        </w:tc>
        <w:tc>
          <w:tcPr>
            <w:tcW w:w="224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159,104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189,098</w:t>
            </w:r>
          </w:p>
        </w:tc>
        <w:tc>
          <w:tcPr>
            <w:tcW w:w="220" w:type="dxa"/>
            <w:vAlign w:val="bottom"/>
            <w:shd w:val="clear" w:color="auto" w:fill="CCEEFF"/>
          </w:tcPr>
          <w:p>
            <w:pPr>
              <w:spacing w:after="0"/>
              <w:rPr>
                <w:sz w:val="12"/>
                <w:szCs w:val="12"/>
                <w:color w:val="auto"/>
              </w:rPr>
            </w:pPr>
          </w:p>
        </w:tc>
        <w:tc>
          <w:tcPr>
            <w:tcW w:w="920" w:type="dxa"/>
            <w:vAlign w:val="bottom"/>
            <w:tcBorders>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70.4</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2"/>
        </w:trPr>
        <w:tc>
          <w:tcPr>
            <w:tcW w:w="2460" w:type="dxa"/>
            <w:vAlign w:val="bottom"/>
          </w:tcPr>
          <w:p>
            <w:pPr>
              <w:spacing w:after="0" w:line="142" w:lineRule="exact"/>
              <w:rPr>
                <w:sz w:val="20"/>
                <w:szCs w:val="20"/>
                <w:color w:val="auto"/>
              </w:rPr>
            </w:pPr>
            <w:r>
              <w:rPr>
                <w:rFonts w:ascii="Arial" w:cs="Arial" w:eastAsia="Arial" w:hAnsi="Arial"/>
                <w:sz w:val="14"/>
                <w:szCs w:val="14"/>
                <w:b w:val="1"/>
                <w:bCs w:val="1"/>
                <w:color w:val="auto"/>
              </w:rPr>
              <w:t>Control investments - 28.4%</w:t>
            </w:r>
          </w:p>
        </w:tc>
        <w:tc>
          <w:tcPr>
            <w:tcW w:w="22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224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Computer Supply Retail</w:t>
            </w:r>
          </w:p>
        </w:tc>
        <w:tc>
          <w:tcPr>
            <w:tcW w:w="22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Debt (12% Cash,</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4% PIK, Due 5/24/18)</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6,585</w:t>
            </w:r>
          </w:p>
        </w:tc>
        <w:tc>
          <w:tcPr>
            <w:tcW w:w="36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6,585</w:t>
            </w:r>
          </w:p>
        </w:tc>
        <w:tc>
          <w:tcPr>
            <w:tcW w:w="36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6,585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20"/>
                <w:szCs w:val="20"/>
                <w:color w:val="auto"/>
              </w:rPr>
            </w:pPr>
            <w:r>
              <w:rPr>
                <w:rFonts w:ascii="Arial" w:cs="Arial" w:eastAsia="Arial" w:hAnsi="Arial"/>
                <w:sz w:val="14"/>
                <w:szCs w:val="14"/>
                <w:color w:val="auto"/>
              </w:rPr>
              <w:t>CableOrganizer Acquisition, LLC</w:t>
            </w:r>
          </w:p>
        </w:tc>
        <w:tc>
          <w:tcPr>
            <w:tcW w:w="2240" w:type="dxa"/>
            <w:vAlign w:val="bottom"/>
          </w:tcPr>
          <w:p>
            <w:pPr>
              <w:ind w:left="180"/>
              <w:spacing w:after="0"/>
              <w:rPr>
                <w:sz w:val="20"/>
                <w:szCs w:val="20"/>
                <w:color w:val="auto"/>
              </w:rPr>
            </w:pPr>
            <w:r>
              <w:rPr>
                <w:rFonts w:ascii="Arial" w:cs="Arial" w:eastAsia="Arial" w:hAnsi="Arial"/>
                <w:sz w:val="14"/>
                <w:szCs w:val="14"/>
                <w:color w:val="auto"/>
              </w:rPr>
              <w:t>Computer Supply Retail</w:t>
            </w:r>
          </w:p>
        </w:tc>
        <w:tc>
          <w:tcPr>
            <w:tcW w:w="2260" w:type="dxa"/>
            <w:vAlign w:val="bottom"/>
          </w:tcPr>
          <w:p>
            <w:pPr>
              <w:ind w:left="120"/>
              <w:spacing w:after="0"/>
              <w:rPr>
                <w:sz w:val="20"/>
                <w:szCs w:val="20"/>
                <w:color w:val="auto"/>
              </w:rPr>
            </w:pPr>
            <w:r>
              <w:rPr>
                <w:rFonts w:ascii="Arial" w:cs="Arial" w:eastAsia="Arial" w:hAnsi="Arial"/>
                <w:sz w:val="14"/>
                <w:szCs w:val="14"/>
                <w:color w:val="auto"/>
                <w:w w:val="97"/>
              </w:rPr>
              <w:t>Common Stock (1,125,000 shares)</w:t>
            </w:r>
          </w:p>
        </w:tc>
        <w:tc>
          <w:tcPr>
            <w:tcW w:w="3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1,125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88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460" w:type="dxa"/>
            <w:vAlign w:val="bottom"/>
            <w:tcBorders>
              <w:top w:val="single" w:sz="8" w:color="CCEEFF"/>
            </w:tcBorders>
            <w:shd w:val="clear" w:color="auto" w:fill="CCEEFF"/>
          </w:tcPr>
          <w:p>
            <w:pPr>
              <w:spacing w:after="0"/>
              <w:rPr>
                <w:sz w:val="12"/>
                <w:szCs w:val="12"/>
                <w:color w:val="auto"/>
              </w:rPr>
            </w:pPr>
          </w:p>
        </w:tc>
        <w:tc>
          <w:tcPr>
            <w:tcW w:w="2240" w:type="dxa"/>
            <w:vAlign w:val="bottom"/>
            <w:tcBorders>
              <w:top w:val="single" w:sz="8" w:color="CCEEFF"/>
            </w:tcBorders>
            <w:shd w:val="clear" w:color="auto" w:fill="CCEEFF"/>
          </w:tcPr>
          <w:p>
            <w:pPr>
              <w:spacing w:after="0"/>
              <w:rPr>
                <w:sz w:val="12"/>
                <w:szCs w:val="12"/>
                <w:color w:val="auto"/>
              </w:rPr>
            </w:pPr>
          </w:p>
        </w:tc>
        <w:tc>
          <w:tcPr>
            <w:tcW w:w="22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7,710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6,673</w:t>
            </w:r>
          </w:p>
        </w:tc>
        <w:tc>
          <w:tcPr>
            <w:tcW w:w="2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2"/>
        </w:trPr>
        <w:tc>
          <w:tcPr>
            <w:tcW w:w="2460" w:type="dxa"/>
            <w:vAlign w:val="bottom"/>
          </w:tcPr>
          <w:p>
            <w:pPr>
              <w:spacing w:after="0" w:line="142" w:lineRule="exact"/>
              <w:rPr>
                <w:sz w:val="20"/>
                <w:szCs w:val="20"/>
                <w:color w:val="auto"/>
              </w:rPr>
            </w:pPr>
            <w:r>
              <w:rPr>
                <w:rFonts w:ascii="Arial" w:cs="Arial" w:eastAsia="Arial" w:hAnsi="Arial"/>
                <w:sz w:val="11"/>
                <w:szCs w:val="11"/>
                <w:color w:val="auto"/>
              </w:rPr>
              <w:t xml:space="preserve">KBP Investments, LLC </w:t>
            </w:r>
            <w:r>
              <w:rPr>
                <w:rFonts w:ascii="Arial" w:cs="Arial" w:eastAsia="Arial" w:hAnsi="Arial"/>
                <w:sz w:val="16"/>
                <w:szCs w:val="16"/>
                <w:color w:val="auto"/>
                <w:vertAlign w:val="superscript"/>
              </w:rPr>
              <w:t>(6) (7)</w:t>
            </w:r>
          </w:p>
        </w:tc>
        <w:tc>
          <w:tcPr>
            <w:tcW w:w="2240" w:type="dxa"/>
            <w:vAlign w:val="bottom"/>
          </w:tcPr>
          <w:p>
            <w:pPr>
              <w:ind w:left="180"/>
              <w:spacing w:after="0" w:line="142" w:lineRule="exact"/>
              <w:rPr>
                <w:sz w:val="20"/>
                <w:szCs w:val="20"/>
                <w:color w:val="auto"/>
              </w:rPr>
            </w:pPr>
            <w:r>
              <w:rPr>
                <w:rFonts w:ascii="Arial" w:cs="Arial" w:eastAsia="Arial" w:hAnsi="Arial"/>
                <w:sz w:val="14"/>
                <w:szCs w:val="14"/>
                <w:color w:val="auto"/>
              </w:rPr>
              <w:t>QSR Franchisee</w:t>
            </w:r>
          </w:p>
        </w:tc>
        <w:tc>
          <w:tcPr>
            <w:tcW w:w="2260" w:type="dxa"/>
            <w:vAlign w:val="bottom"/>
          </w:tcPr>
          <w:p>
            <w:pPr>
              <w:ind w:left="120"/>
              <w:spacing w:after="0" w:line="142" w:lineRule="exact"/>
              <w:rPr>
                <w:sz w:val="20"/>
                <w:szCs w:val="20"/>
                <w:color w:val="auto"/>
              </w:rPr>
            </w:pPr>
            <w:r>
              <w:rPr>
                <w:rFonts w:ascii="Arial" w:cs="Arial" w:eastAsia="Arial" w:hAnsi="Arial"/>
                <w:sz w:val="14"/>
                <w:szCs w:val="14"/>
                <w:color w:val="auto"/>
              </w:rPr>
              <w:t>Class A Preferred Stock (8,270</w:t>
            </w:r>
          </w:p>
        </w:tc>
        <w:tc>
          <w:tcPr>
            <w:tcW w:w="360" w:type="dxa"/>
            <w:vAlign w:val="bottom"/>
          </w:tcPr>
          <w:p>
            <w:pPr>
              <w:spacing w:after="0"/>
              <w:rPr>
                <w:sz w:val="12"/>
                <w:szCs w:val="12"/>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8,269</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8,269</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260" w:type="dxa"/>
            <w:vAlign w:val="bottom"/>
          </w:tcPr>
          <w:p>
            <w:pPr>
              <w:ind w:left="120"/>
              <w:spacing w:after="0" w:line="135" w:lineRule="exact"/>
              <w:rPr>
                <w:sz w:val="20"/>
                <w:szCs w:val="20"/>
                <w:color w:val="auto"/>
              </w:rPr>
            </w:pPr>
            <w:r>
              <w:rPr>
                <w:rFonts w:ascii="Arial" w:cs="Arial" w:eastAsia="Arial" w:hAnsi="Arial"/>
                <w:sz w:val="14"/>
                <w:szCs w:val="14"/>
                <w:color w:val="auto"/>
              </w:rPr>
              <w:t>shares, 10% Dividend)</w:t>
            </w:r>
          </w:p>
        </w:tc>
        <w:tc>
          <w:tcPr>
            <w:tcW w:w="3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KBP Investments, LLC</w:t>
            </w:r>
          </w:p>
        </w:tc>
        <w:tc>
          <w:tcPr>
            <w:tcW w:w="224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QSR Franchisee</w:t>
            </w:r>
          </w:p>
        </w:tc>
        <w:tc>
          <w:tcPr>
            <w:tcW w:w="22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A Common Stock (380,413</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16,518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2"/>
        </w:trPr>
        <w:tc>
          <w:tcPr>
            <w:tcW w:w="246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8,269</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24,787</w:t>
            </w:r>
          </w:p>
        </w:tc>
        <w:tc>
          <w:tcPr>
            <w:tcW w:w="2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10"/>
        </w:trPr>
        <w:tc>
          <w:tcPr>
            <w:tcW w:w="246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Market E’s, LLC</w:t>
            </w:r>
          </w:p>
        </w:tc>
        <w:tc>
          <w:tcPr>
            <w:tcW w:w="2240" w:type="dxa"/>
            <w:vAlign w:val="bottom"/>
            <w:shd w:val="clear" w:color="auto" w:fill="CCEEFF"/>
          </w:tcPr>
          <w:p>
            <w:pPr>
              <w:ind w:left="180"/>
              <w:spacing w:after="0" w:line="110" w:lineRule="exact"/>
              <w:rPr>
                <w:sz w:val="20"/>
                <w:szCs w:val="20"/>
                <w:color w:val="auto"/>
              </w:rPr>
            </w:pPr>
            <w:r>
              <w:rPr>
                <w:rFonts w:ascii="Arial" w:cs="Arial" w:eastAsia="Arial" w:hAnsi="Arial"/>
                <w:sz w:val="12"/>
                <w:szCs w:val="12"/>
                <w:color w:val="auto"/>
              </w:rPr>
              <w:t>Online Travel Sales &amp; Marketing</w:t>
            </w:r>
          </w:p>
        </w:tc>
        <w:tc>
          <w:tcPr>
            <w:tcW w:w="2260" w:type="dxa"/>
            <w:vAlign w:val="bottom"/>
            <w:shd w:val="clear" w:color="auto" w:fill="CCEEFF"/>
          </w:tcPr>
          <w:p>
            <w:pPr>
              <w:ind w:left="120"/>
              <w:spacing w:after="0" w:line="110" w:lineRule="exact"/>
              <w:rPr>
                <w:sz w:val="20"/>
                <w:szCs w:val="20"/>
                <w:color w:val="auto"/>
              </w:rPr>
            </w:pPr>
            <w:r>
              <w:rPr>
                <w:rFonts w:ascii="Arial" w:cs="Arial" w:eastAsia="Arial" w:hAnsi="Arial"/>
                <w:sz w:val="12"/>
                <w:szCs w:val="12"/>
                <w:color w:val="auto"/>
              </w:rPr>
              <w:t>Senior Secured Debt (10% Cash,</w:t>
            </w:r>
          </w:p>
        </w:tc>
        <w:tc>
          <w:tcPr>
            <w:tcW w:w="3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2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Due 12/31/14)</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2460" w:type="dxa"/>
            <w:vAlign w:val="bottom"/>
          </w:tcPr>
          <w:p>
            <w:pPr>
              <w:spacing w:after="0" w:line="162" w:lineRule="exact"/>
              <w:rPr>
                <w:sz w:val="20"/>
                <w:szCs w:val="20"/>
                <w:color w:val="auto"/>
              </w:rPr>
            </w:pPr>
            <w:r>
              <w:rPr>
                <w:rFonts w:ascii="Arial" w:cs="Arial" w:eastAsia="Arial" w:hAnsi="Arial"/>
                <w:sz w:val="12"/>
                <w:szCs w:val="12"/>
                <w:color w:val="auto"/>
              </w:rPr>
              <w:t xml:space="preserve">Market E’s, LLC </w:t>
            </w:r>
            <w:r>
              <w:rPr>
                <w:rFonts w:ascii="Arial" w:cs="Arial" w:eastAsia="Arial" w:hAnsi="Arial"/>
                <w:sz w:val="18"/>
                <w:szCs w:val="18"/>
                <w:color w:val="auto"/>
                <w:vertAlign w:val="superscript"/>
              </w:rPr>
              <w:t>(1)(2)</w:t>
            </w:r>
          </w:p>
        </w:tc>
        <w:tc>
          <w:tcPr>
            <w:tcW w:w="2240" w:type="dxa"/>
            <w:vAlign w:val="bottom"/>
          </w:tcPr>
          <w:p>
            <w:pPr>
              <w:ind w:left="180"/>
              <w:spacing w:after="0"/>
              <w:rPr>
                <w:sz w:val="20"/>
                <w:szCs w:val="20"/>
                <w:color w:val="auto"/>
              </w:rPr>
            </w:pPr>
            <w:r>
              <w:rPr>
                <w:rFonts w:ascii="Arial" w:cs="Arial" w:eastAsia="Arial" w:hAnsi="Arial"/>
                <w:sz w:val="14"/>
                <w:szCs w:val="14"/>
                <w:color w:val="auto"/>
              </w:rPr>
              <w:t>Online Travel Sales &amp; Marketing</w:t>
            </w:r>
          </w:p>
        </w:tc>
        <w:tc>
          <w:tcPr>
            <w:tcW w:w="2260" w:type="dxa"/>
            <w:vAlign w:val="bottom"/>
          </w:tcPr>
          <w:p>
            <w:pPr>
              <w:ind w:left="120"/>
              <w:spacing w:after="0"/>
              <w:rPr>
                <w:sz w:val="20"/>
                <w:szCs w:val="20"/>
                <w:color w:val="auto"/>
              </w:rPr>
            </w:pPr>
            <w:r>
              <w:rPr>
                <w:rFonts w:ascii="Arial" w:cs="Arial" w:eastAsia="Arial" w:hAnsi="Arial"/>
                <w:sz w:val="14"/>
                <w:szCs w:val="14"/>
                <w:color w:val="auto"/>
              </w:rPr>
              <w:t>Senior Subordinated Debt (14%</w:t>
            </w:r>
          </w:p>
        </w:tc>
        <w:tc>
          <w:tcPr>
            <w:tcW w:w="360" w:type="dxa"/>
            <w:vAlign w:val="bottom"/>
          </w:tcPr>
          <w:p>
            <w:pPr>
              <w:spacing w:after="0"/>
              <w:rPr>
                <w:sz w:val="14"/>
                <w:szCs w:val="14"/>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3,014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2,832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988</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260" w:type="dxa"/>
            <w:vAlign w:val="bottom"/>
          </w:tcPr>
          <w:p>
            <w:pPr>
              <w:ind w:left="120"/>
              <w:spacing w:after="0" w:line="135" w:lineRule="exact"/>
              <w:rPr>
                <w:sz w:val="20"/>
                <w:szCs w:val="20"/>
                <w:color w:val="auto"/>
              </w:rPr>
            </w:pPr>
            <w:r>
              <w:rPr>
                <w:rFonts w:ascii="Arial" w:cs="Arial" w:eastAsia="Arial" w:hAnsi="Arial"/>
                <w:sz w:val="14"/>
                <w:szCs w:val="14"/>
                <w:color w:val="auto"/>
              </w:rPr>
              <w:t>Cash, 3% PIK, Due 12/31/14)</w:t>
            </w:r>
          </w:p>
        </w:tc>
        <w:tc>
          <w:tcPr>
            <w:tcW w:w="3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Market E’s, LLC</w:t>
            </w:r>
          </w:p>
        </w:tc>
        <w:tc>
          <w:tcPr>
            <w:tcW w:w="224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Online Travel Sales &amp; Marketing</w:t>
            </w:r>
          </w:p>
        </w:tc>
        <w:tc>
          <w:tcPr>
            <w:tcW w:w="22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A Preferred Stock (600</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460" w:type="dxa"/>
            <w:vAlign w:val="bottom"/>
          </w:tcPr>
          <w:p>
            <w:pPr>
              <w:spacing w:after="0" w:line="130" w:lineRule="exact"/>
              <w:rPr>
                <w:sz w:val="20"/>
                <w:szCs w:val="20"/>
                <w:color w:val="auto"/>
              </w:rPr>
            </w:pPr>
            <w:r>
              <w:rPr>
                <w:rFonts w:ascii="Arial" w:cs="Arial" w:eastAsia="Arial" w:hAnsi="Arial"/>
                <w:sz w:val="14"/>
                <w:szCs w:val="14"/>
                <w:color w:val="auto"/>
              </w:rPr>
              <w:t>Market E’s, LLC</w:t>
            </w:r>
          </w:p>
        </w:tc>
        <w:tc>
          <w:tcPr>
            <w:tcW w:w="2240" w:type="dxa"/>
            <w:vAlign w:val="bottom"/>
          </w:tcPr>
          <w:p>
            <w:pPr>
              <w:ind w:left="180"/>
              <w:spacing w:after="0" w:line="130" w:lineRule="exact"/>
              <w:rPr>
                <w:sz w:val="20"/>
                <w:szCs w:val="20"/>
                <w:color w:val="auto"/>
              </w:rPr>
            </w:pPr>
            <w:r>
              <w:rPr>
                <w:rFonts w:ascii="Arial" w:cs="Arial" w:eastAsia="Arial" w:hAnsi="Arial"/>
                <w:sz w:val="14"/>
                <w:szCs w:val="14"/>
                <w:color w:val="auto"/>
              </w:rPr>
              <w:t>Online Travel Sales &amp; Marketing</w:t>
            </w:r>
          </w:p>
        </w:tc>
        <w:tc>
          <w:tcPr>
            <w:tcW w:w="2260" w:type="dxa"/>
            <w:vAlign w:val="bottom"/>
          </w:tcPr>
          <w:p>
            <w:pPr>
              <w:ind w:left="120"/>
              <w:spacing w:after="0" w:line="130" w:lineRule="exact"/>
              <w:rPr>
                <w:sz w:val="20"/>
                <w:szCs w:val="20"/>
                <w:color w:val="auto"/>
              </w:rPr>
            </w:pPr>
            <w:r>
              <w:rPr>
                <w:rFonts w:ascii="Arial" w:cs="Arial" w:eastAsia="Arial" w:hAnsi="Arial"/>
                <w:sz w:val="14"/>
                <w:szCs w:val="14"/>
                <w:color w:val="auto"/>
              </w:rPr>
              <w:t>Class B Preferred Stock (2,411</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60" w:type="dxa"/>
            <w:vAlign w:val="bottom"/>
          </w:tcPr>
          <w:p>
            <w:pPr>
              <w:ind w:left="120"/>
              <w:spacing w:after="0"/>
              <w:rPr>
                <w:sz w:val="20"/>
                <w:szCs w:val="20"/>
                <w:color w:val="auto"/>
              </w:rPr>
            </w:pPr>
            <w:r>
              <w:rPr>
                <w:rFonts w:ascii="Arial" w:cs="Arial" w:eastAsia="Arial" w:hAnsi="Arial"/>
                <w:sz w:val="14"/>
                <w:szCs w:val="14"/>
                <w:color w:val="auto"/>
              </w:rPr>
              <w:t>shares)</w:t>
            </w:r>
          </w:p>
        </w:tc>
        <w:tc>
          <w:tcPr>
            <w:tcW w:w="3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965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Market E’s, LLC</w:t>
            </w:r>
          </w:p>
        </w:tc>
        <w:tc>
          <w:tcPr>
            <w:tcW w:w="224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Online Travel Sales &amp; Marketing</w:t>
            </w:r>
          </w:p>
        </w:tc>
        <w:tc>
          <w:tcPr>
            <w:tcW w:w="22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Class A Common Stock (600</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4,687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1,638</w:t>
            </w:r>
          </w:p>
        </w:tc>
        <w:tc>
          <w:tcPr>
            <w:tcW w:w="220" w:type="dxa"/>
            <w:vAlign w:val="bottom"/>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0.6</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5"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Micro Precision, LLC</w:t>
            </w:r>
          </w:p>
        </w:tc>
        <w:tc>
          <w:tcPr>
            <w:tcW w:w="2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Conglomerate</w:t>
            </w:r>
          </w:p>
        </w:tc>
        <w:tc>
          <w:tcPr>
            <w:tcW w:w="2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Subordinated Debt (10% Cash, Due</w:t>
            </w: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9/16/16)</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1,862</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1,862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1,862</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30"/>
        </w:trPr>
        <w:tc>
          <w:tcPr>
            <w:tcW w:w="2400" w:type="dxa"/>
            <w:vAlign w:val="bottom"/>
          </w:tcPr>
          <w:p>
            <w:pPr>
              <w:spacing w:after="0" w:line="130" w:lineRule="exact"/>
              <w:rPr>
                <w:sz w:val="20"/>
                <w:szCs w:val="20"/>
                <w:color w:val="auto"/>
              </w:rPr>
            </w:pPr>
            <w:r>
              <w:rPr>
                <w:rFonts w:ascii="Arial" w:cs="Arial" w:eastAsia="Arial" w:hAnsi="Arial"/>
                <w:sz w:val="14"/>
                <w:szCs w:val="14"/>
                <w:color w:val="auto"/>
              </w:rPr>
              <w:t>Micro Precision, LLC</w:t>
            </w:r>
          </w:p>
        </w:tc>
        <w:tc>
          <w:tcPr>
            <w:tcW w:w="2280" w:type="dxa"/>
            <w:vAlign w:val="bottom"/>
          </w:tcPr>
          <w:p>
            <w:pPr>
              <w:ind w:left="240"/>
              <w:spacing w:after="0" w:line="130" w:lineRule="exact"/>
              <w:rPr>
                <w:sz w:val="20"/>
                <w:szCs w:val="20"/>
                <w:color w:val="auto"/>
              </w:rPr>
            </w:pPr>
            <w:r>
              <w:rPr>
                <w:rFonts w:ascii="Arial" w:cs="Arial" w:eastAsia="Arial" w:hAnsi="Arial"/>
                <w:sz w:val="14"/>
                <w:szCs w:val="14"/>
                <w:color w:val="auto"/>
              </w:rPr>
              <w:t>Conglomerate</w:t>
            </w:r>
          </w:p>
        </w:tc>
        <w:tc>
          <w:tcPr>
            <w:tcW w:w="2560" w:type="dxa"/>
            <w:vAlign w:val="bottom"/>
          </w:tcPr>
          <w:p>
            <w:pPr>
              <w:ind w:left="140"/>
              <w:spacing w:after="0" w:line="130" w:lineRule="exact"/>
              <w:rPr>
                <w:sz w:val="20"/>
                <w:szCs w:val="20"/>
                <w:color w:val="auto"/>
              </w:rPr>
            </w:pPr>
            <w:r>
              <w:rPr>
                <w:rFonts w:ascii="Arial" w:cs="Arial" w:eastAsia="Arial" w:hAnsi="Arial"/>
                <w:sz w:val="14"/>
                <w:szCs w:val="14"/>
                <w:color w:val="auto"/>
              </w:rPr>
              <w:t>Subordinated Debt (14% Cash, 4%</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560" w:type="dxa"/>
            <w:vAlign w:val="bottom"/>
          </w:tcPr>
          <w:p>
            <w:pPr>
              <w:ind w:left="140"/>
              <w:spacing w:after="0"/>
              <w:rPr>
                <w:sz w:val="20"/>
                <w:szCs w:val="20"/>
                <w:color w:val="auto"/>
              </w:rPr>
            </w:pPr>
            <w:r>
              <w:rPr>
                <w:rFonts w:ascii="Arial" w:cs="Arial" w:eastAsia="Arial" w:hAnsi="Arial"/>
                <w:sz w:val="14"/>
                <w:szCs w:val="14"/>
                <w:color w:val="auto"/>
              </w:rPr>
              <w:t>PIK, Due 9/16/16)</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3,557</w:t>
            </w:r>
          </w:p>
        </w:tc>
        <w:tc>
          <w:tcPr>
            <w:tcW w:w="2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3,557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3,557</w:t>
            </w:r>
          </w:p>
        </w:tc>
        <w:tc>
          <w:tcPr>
            <w:tcW w:w="1060" w:type="dxa"/>
            <w:vAlign w:val="bottom"/>
            <w:gridSpan w:val="3"/>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Micro Precision, LLC</w:t>
            </w:r>
          </w:p>
        </w:tc>
        <w:tc>
          <w:tcPr>
            <w:tcW w:w="2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Conglomerate</w:t>
            </w:r>
          </w:p>
        </w:tc>
        <w:tc>
          <w:tcPr>
            <w:tcW w:w="2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 (47 units)</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1,629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2,210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40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256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7,048</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7,629</w:t>
            </w:r>
          </w:p>
        </w:tc>
        <w:tc>
          <w:tcPr>
            <w:tcW w:w="20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w:t>
            </w:r>
          </w:p>
        </w:tc>
        <w:tc>
          <w:tcPr>
            <w:tcW w:w="14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10"/>
        </w:trPr>
        <w:tc>
          <w:tcPr>
            <w:tcW w:w="240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Navis Holdings, Inc.</w:t>
            </w:r>
          </w:p>
        </w:tc>
        <w:tc>
          <w:tcPr>
            <w:tcW w:w="2280" w:type="dxa"/>
            <w:vAlign w:val="bottom"/>
            <w:shd w:val="clear" w:color="auto" w:fill="CCEEFF"/>
          </w:tcPr>
          <w:p>
            <w:pPr>
              <w:ind w:left="240"/>
              <w:spacing w:after="0" w:line="110" w:lineRule="exact"/>
              <w:rPr>
                <w:sz w:val="20"/>
                <w:szCs w:val="20"/>
                <w:color w:val="auto"/>
              </w:rPr>
            </w:pPr>
            <w:r>
              <w:rPr>
                <w:rFonts w:ascii="Arial" w:cs="Arial" w:eastAsia="Arial" w:hAnsi="Arial"/>
                <w:sz w:val="12"/>
                <w:szCs w:val="12"/>
                <w:color w:val="auto"/>
              </w:rPr>
              <w:t>Textile Equipment Manufacturer</w:t>
            </w:r>
          </w:p>
        </w:tc>
        <w:tc>
          <w:tcPr>
            <w:tcW w:w="2560" w:type="dxa"/>
            <w:vAlign w:val="bottom"/>
            <w:shd w:val="clear" w:color="auto" w:fill="CCEEFF"/>
          </w:tcPr>
          <w:p>
            <w:pPr>
              <w:ind w:left="140"/>
              <w:spacing w:after="0" w:line="110" w:lineRule="exact"/>
              <w:rPr>
                <w:sz w:val="20"/>
                <w:szCs w:val="20"/>
                <w:color w:val="auto"/>
              </w:rPr>
            </w:pPr>
            <w:r>
              <w:rPr>
                <w:rFonts w:ascii="Arial" w:cs="Arial" w:eastAsia="Arial" w:hAnsi="Arial"/>
                <w:sz w:val="12"/>
                <w:szCs w:val="12"/>
                <w:color w:val="auto"/>
              </w:rPr>
              <w:t>Senior Secured Term Debt (17%,</w:t>
            </w:r>
          </w:p>
        </w:tc>
        <w:tc>
          <w:tcPr>
            <w:tcW w:w="8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25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3% PIK at company's option, Due</w:t>
            </w: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2/1/16)</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6,753</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6,753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6,753</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30"/>
        </w:trPr>
        <w:tc>
          <w:tcPr>
            <w:tcW w:w="2400" w:type="dxa"/>
            <w:vAlign w:val="bottom"/>
          </w:tcPr>
          <w:p>
            <w:pPr>
              <w:spacing w:after="0" w:line="130" w:lineRule="exact"/>
              <w:rPr>
                <w:sz w:val="20"/>
                <w:szCs w:val="20"/>
                <w:color w:val="auto"/>
              </w:rPr>
            </w:pPr>
            <w:r>
              <w:rPr>
                <w:rFonts w:ascii="Arial" w:cs="Arial" w:eastAsia="Arial" w:hAnsi="Arial"/>
                <w:sz w:val="14"/>
                <w:szCs w:val="14"/>
                <w:color w:val="auto"/>
              </w:rPr>
              <w:t>Navis Holdings, Inc.</w:t>
            </w:r>
          </w:p>
        </w:tc>
        <w:tc>
          <w:tcPr>
            <w:tcW w:w="2280" w:type="dxa"/>
            <w:vAlign w:val="bottom"/>
          </w:tcPr>
          <w:p>
            <w:pPr>
              <w:ind w:left="240"/>
              <w:spacing w:after="0" w:line="130" w:lineRule="exact"/>
              <w:rPr>
                <w:sz w:val="20"/>
                <w:szCs w:val="20"/>
                <w:color w:val="auto"/>
              </w:rPr>
            </w:pPr>
            <w:r>
              <w:rPr>
                <w:rFonts w:ascii="Arial" w:cs="Arial" w:eastAsia="Arial" w:hAnsi="Arial"/>
                <w:sz w:val="14"/>
                <w:szCs w:val="14"/>
                <w:color w:val="auto"/>
              </w:rPr>
              <w:t>Textile Equipment Manufacturer</w:t>
            </w:r>
          </w:p>
        </w:tc>
        <w:tc>
          <w:tcPr>
            <w:tcW w:w="2560" w:type="dxa"/>
            <w:vAlign w:val="bottom"/>
          </w:tcPr>
          <w:p>
            <w:pPr>
              <w:ind w:left="140"/>
              <w:spacing w:after="0" w:line="130" w:lineRule="exact"/>
              <w:rPr>
                <w:sz w:val="20"/>
                <w:szCs w:val="20"/>
                <w:color w:val="auto"/>
              </w:rPr>
            </w:pPr>
            <w:r>
              <w:rPr>
                <w:rFonts w:ascii="Arial" w:cs="Arial" w:eastAsia="Arial" w:hAnsi="Arial"/>
                <w:sz w:val="14"/>
                <w:szCs w:val="14"/>
                <w:color w:val="auto"/>
              </w:rPr>
              <w:t>Class A Preferred Stock (1,000</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560" w:type="dxa"/>
            <w:vAlign w:val="bottom"/>
          </w:tcPr>
          <w:p>
            <w:pPr>
              <w:ind w:left="140"/>
              <w:spacing w:after="0"/>
              <w:rPr>
                <w:sz w:val="20"/>
                <w:szCs w:val="20"/>
                <w:color w:val="auto"/>
              </w:rPr>
            </w:pPr>
            <w:r>
              <w:rPr>
                <w:rFonts w:ascii="Arial" w:cs="Arial" w:eastAsia="Arial" w:hAnsi="Arial"/>
                <w:sz w:val="14"/>
                <w:szCs w:val="14"/>
                <w:color w:val="auto"/>
              </w:rPr>
              <w:t>shares)</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1,200</w:t>
            </w:r>
          </w:p>
        </w:tc>
        <w:tc>
          <w:tcPr>
            <w:tcW w:w="1060" w:type="dxa"/>
            <w:vAlign w:val="bottom"/>
            <w:gridSpan w:val="3"/>
          </w:tcPr>
          <w:p>
            <w:pPr>
              <w:jc w:val="right"/>
              <w:ind w:right="2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Navis Holdings, Inc.</w:t>
            </w:r>
          </w:p>
        </w:tc>
        <w:tc>
          <w:tcPr>
            <w:tcW w:w="2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Textile Equipment Manufacturer</w:t>
            </w:r>
          </w:p>
        </w:tc>
        <w:tc>
          <w:tcPr>
            <w:tcW w:w="2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 (300,000 shares)</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1,079</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40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256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7,754</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9,032</w:t>
            </w:r>
          </w:p>
        </w:tc>
        <w:tc>
          <w:tcPr>
            <w:tcW w:w="20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w:t>
            </w:r>
          </w:p>
        </w:tc>
        <w:tc>
          <w:tcPr>
            <w:tcW w:w="14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10"/>
        </w:trPr>
        <w:tc>
          <w:tcPr>
            <w:tcW w:w="240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On-Site Fuel Services, Inc.</w:t>
            </w:r>
          </w:p>
        </w:tc>
        <w:tc>
          <w:tcPr>
            <w:tcW w:w="2280" w:type="dxa"/>
            <w:vAlign w:val="bottom"/>
            <w:shd w:val="clear" w:color="auto" w:fill="CCEEFF"/>
          </w:tcPr>
          <w:p>
            <w:pPr>
              <w:ind w:left="240"/>
              <w:spacing w:after="0" w:line="110" w:lineRule="exact"/>
              <w:rPr>
                <w:sz w:val="20"/>
                <w:szCs w:val="20"/>
                <w:color w:val="auto"/>
              </w:rPr>
            </w:pPr>
            <w:r>
              <w:rPr>
                <w:rFonts w:ascii="Arial" w:cs="Arial" w:eastAsia="Arial" w:hAnsi="Arial"/>
                <w:sz w:val="12"/>
                <w:szCs w:val="12"/>
                <w:color w:val="auto"/>
              </w:rPr>
              <w:t>Fuel Transportation Services</w:t>
            </w:r>
          </w:p>
        </w:tc>
        <w:tc>
          <w:tcPr>
            <w:tcW w:w="2560" w:type="dxa"/>
            <w:vAlign w:val="bottom"/>
            <w:shd w:val="clear" w:color="auto" w:fill="CCEEFF"/>
          </w:tcPr>
          <w:p>
            <w:pPr>
              <w:ind w:left="140"/>
              <w:spacing w:after="0" w:line="110" w:lineRule="exact"/>
              <w:rPr>
                <w:sz w:val="20"/>
                <w:szCs w:val="20"/>
                <w:color w:val="auto"/>
              </w:rPr>
            </w:pPr>
            <w:r>
              <w:rPr>
                <w:rFonts w:ascii="Arial" w:cs="Arial" w:eastAsia="Arial" w:hAnsi="Arial"/>
                <w:sz w:val="12"/>
                <w:szCs w:val="12"/>
                <w:color w:val="auto"/>
              </w:rPr>
              <w:t>Subordinated Debt (14% Cash, 4%</w:t>
            </w:r>
          </w:p>
        </w:tc>
        <w:tc>
          <w:tcPr>
            <w:tcW w:w="8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4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PIK, Due 12/19/16)</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4,848</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4,848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4,848</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0"/>
        </w:trPr>
        <w:tc>
          <w:tcPr>
            <w:tcW w:w="2400" w:type="dxa"/>
            <w:vAlign w:val="bottom"/>
          </w:tcPr>
          <w:p>
            <w:pPr>
              <w:spacing w:after="0" w:line="130" w:lineRule="exact"/>
              <w:rPr>
                <w:sz w:val="20"/>
                <w:szCs w:val="20"/>
                <w:color w:val="auto"/>
              </w:rPr>
            </w:pPr>
            <w:r>
              <w:rPr>
                <w:rFonts w:ascii="Arial" w:cs="Arial" w:eastAsia="Arial" w:hAnsi="Arial"/>
                <w:sz w:val="14"/>
                <w:szCs w:val="14"/>
                <w:color w:val="auto"/>
              </w:rPr>
              <w:t>On-Site Fuel Services, Inc.</w:t>
            </w:r>
          </w:p>
        </w:tc>
        <w:tc>
          <w:tcPr>
            <w:tcW w:w="2280" w:type="dxa"/>
            <w:vAlign w:val="bottom"/>
          </w:tcPr>
          <w:p>
            <w:pPr>
              <w:ind w:left="240"/>
              <w:spacing w:after="0" w:line="130" w:lineRule="exact"/>
              <w:rPr>
                <w:sz w:val="20"/>
                <w:szCs w:val="20"/>
                <w:color w:val="auto"/>
              </w:rPr>
            </w:pPr>
            <w:r>
              <w:rPr>
                <w:rFonts w:ascii="Arial" w:cs="Arial" w:eastAsia="Arial" w:hAnsi="Arial"/>
                <w:sz w:val="14"/>
                <w:szCs w:val="14"/>
                <w:color w:val="auto"/>
              </w:rPr>
              <w:t>Fuel Transportation Services</w:t>
            </w:r>
          </w:p>
        </w:tc>
        <w:tc>
          <w:tcPr>
            <w:tcW w:w="2560" w:type="dxa"/>
            <w:vAlign w:val="bottom"/>
          </w:tcPr>
          <w:p>
            <w:pPr>
              <w:ind w:left="140"/>
              <w:spacing w:after="0" w:line="130" w:lineRule="exact"/>
              <w:rPr>
                <w:sz w:val="20"/>
                <w:szCs w:val="20"/>
                <w:color w:val="auto"/>
              </w:rPr>
            </w:pPr>
            <w:r>
              <w:rPr>
                <w:rFonts w:ascii="Arial" w:cs="Arial" w:eastAsia="Arial" w:hAnsi="Arial"/>
                <w:sz w:val="14"/>
                <w:szCs w:val="14"/>
                <w:color w:val="auto"/>
              </w:rPr>
              <w:t>Series A Preferred Stock (32,782</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560" w:type="dxa"/>
            <w:vAlign w:val="bottom"/>
          </w:tcPr>
          <w:p>
            <w:pPr>
              <w:ind w:left="140"/>
              <w:spacing w:after="0"/>
              <w:rPr>
                <w:sz w:val="20"/>
                <w:szCs w:val="20"/>
                <w:color w:val="auto"/>
              </w:rPr>
            </w:pPr>
            <w:r>
              <w:rPr>
                <w:rFonts w:ascii="Arial" w:cs="Arial" w:eastAsia="Arial" w:hAnsi="Arial"/>
                <w:sz w:val="14"/>
                <w:szCs w:val="14"/>
                <w:color w:val="auto"/>
              </w:rPr>
              <w:t>shares)</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3,278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2,719</w:t>
            </w:r>
          </w:p>
        </w:tc>
        <w:tc>
          <w:tcPr>
            <w:tcW w:w="1060" w:type="dxa"/>
            <w:vAlign w:val="bottom"/>
            <w:gridSpan w:val="3"/>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On-Site Fuel Services, Inc. </w:t>
            </w:r>
            <w:r>
              <w:rPr>
                <w:rFonts w:ascii="Arial" w:cs="Arial" w:eastAsia="Arial" w:hAnsi="Arial"/>
                <w:sz w:val="18"/>
                <w:szCs w:val="18"/>
                <w:color w:val="auto"/>
                <w:vertAlign w:val="superscript"/>
              </w:rPr>
              <w:t>(6)</w:t>
            </w:r>
          </w:p>
        </w:tc>
        <w:tc>
          <w:tcPr>
            <w:tcW w:w="2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Fuel Transportation Services</w:t>
            </w:r>
          </w:p>
        </w:tc>
        <w:tc>
          <w:tcPr>
            <w:tcW w:w="2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Series B Preferred Stock (23,648</w:t>
            </w:r>
          </w:p>
        </w:tc>
        <w:tc>
          <w:tcPr>
            <w:tcW w:w="88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2,451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2,707</w:t>
            </w:r>
          </w:p>
        </w:tc>
        <w:tc>
          <w:tcPr>
            <w:tcW w:w="10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5"/>
        </w:trPr>
        <w:tc>
          <w:tcPr>
            <w:tcW w:w="240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256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shares)</w:t>
            </w:r>
          </w:p>
        </w:tc>
        <w:tc>
          <w:tcPr>
            <w:tcW w:w="880" w:type="dxa"/>
            <w:vAlign w:val="bottom"/>
            <w:vMerge w:val="continue"/>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1060" w:type="dxa"/>
            <w:vAlign w:val="bottom"/>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20"/>
                <w:szCs w:val="20"/>
                <w:color w:val="auto"/>
              </w:rPr>
            </w:pPr>
            <w:r>
              <w:rPr>
                <w:rFonts w:ascii="Arial" w:cs="Arial" w:eastAsia="Arial" w:hAnsi="Arial"/>
                <w:sz w:val="14"/>
                <w:szCs w:val="14"/>
                <w:color w:val="auto"/>
              </w:rPr>
              <w:t>On-Site Fuel Services, Inc.</w:t>
            </w:r>
          </w:p>
        </w:tc>
        <w:tc>
          <w:tcPr>
            <w:tcW w:w="2280" w:type="dxa"/>
            <w:vAlign w:val="bottom"/>
          </w:tcPr>
          <w:p>
            <w:pPr>
              <w:ind w:left="240"/>
              <w:spacing w:after="0"/>
              <w:rPr>
                <w:sz w:val="20"/>
                <w:szCs w:val="20"/>
                <w:color w:val="auto"/>
              </w:rPr>
            </w:pPr>
            <w:r>
              <w:rPr>
                <w:rFonts w:ascii="Arial" w:cs="Arial" w:eastAsia="Arial" w:hAnsi="Arial"/>
                <w:sz w:val="14"/>
                <w:szCs w:val="14"/>
                <w:color w:val="auto"/>
              </w:rPr>
              <w:t>Fuel Transportation Services</w:t>
            </w:r>
          </w:p>
        </w:tc>
        <w:tc>
          <w:tcPr>
            <w:tcW w:w="2560" w:type="dxa"/>
            <w:vAlign w:val="bottom"/>
          </w:tcPr>
          <w:p>
            <w:pPr>
              <w:ind w:left="140"/>
              <w:spacing w:after="0"/>
              <w:rPr>
                <w:sz w:val="20"/>
                <w:szCs w:val="20"/>
                <w:color w:val="auto"/>
              </w:rPr>
            </w:pPr>
            <w:r>
              <w:rPr>
                <w:rFonts w:ascii="Arial" w:cs="Arial" w:eastAsia="Arial" w:hAnsi="Arial"/>
                <w:sz w:val="14"/>
                <w:szCs w:val="14"/>
                <w:color w:val="auto"/>
              </w:rPr>
              <w:t>Common Stock (33,107 shares)</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40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CCEEFF"/>
            </w:tcBorders>
            <w:shd w:val="clear" w:color="auto" w:fill="CCEEFF"/>
          </w:tcPr>
          <w:p>
            <w:pPr>
              <w:spacing w:after="0"/>
              <w:rPr>
                <w:sz w:val="12"/>
                <w:szCs w:val="12"/>
                <w:color w:val="auto"/>
              </w:rPr>
            </w:pPr>
          </w:p>
        </w:tc>
        <w:tc>
          <w:tcPr>
            <w:tcW w:w="25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10,610</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10,274</w:t>
            </w: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w:t>
            </w:r>
          </w:p>
        </w:tc>
        <w:tc>
          <w:tcPr>
            <w:tcW w:w="14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2"/>
        </w:trPr>
        <w:tc>
          <w:tcPr>
            <w:tcW w:w="2400" w:type="dxa"/>
            <w:vAlign w:val="bottom"/>
          </w:tcPr>
          <w:p>
            <w:pPr>
              <w:spacing w:after="0" w:line="142" w:lineRule="exact"/>
              <w:rPr>
                <w:sz w:val="20"/>
                <w:szCs w:val="20"/>
                <w:color w:val="auto"/>
              </w:rPr>
            </w:pPr>
            <w:r>
              <w:rPr>
                <w:rFonts w:ascii="Arial" w:cs="Arial" w:eastAsia="Arial" w:hAnsi="Arial"/>
                <w:sz w:val="11"/>
                <w:szCs w:val="11"/>
                <w:color w:val="auto"/>
              </w:rPr>
              <w:t xml:space="preserve">Print Direction, Inc. </w:t>
            </w:r>
            <w:r>
              <w:rPr>
                <w:rFonts w:ascii="Arial" w:cs="Arial" w:eastAsia="Arial" w:hAnsi="Arial"/>
                <w:sz w:val="16"/>
                <w:szCs w:val="16"/>
                <w:color w:val="auto"/>
                <w:vertAlign w:val="superscript"/>
              </w:rPr>
              <w:t>(1)</w:t>
            </w:r>
          </w:p>
        </w:tc>
        <w:tc>
          <w:tcPr>
            <w:tcW w:w="2280" w:type="dxa"/>
            <w:vAlign w:val="bottom"/>
          </w:tcPr>
          <w:p>
            <w:pPr>
              <w:ind w:left="240"/>
              <w:spacing w:after="0" w:line="142" w:lineRule="exact"/>
              <w:rPr>
                <w:sz w:val="20"/>
                <w:szCs w:val="20"/>
                <w:color w:val="auto"/>
              </w:rPr>
            </w:pPr>
            <w:r>
              <w:rPr>
                <w:rFonts w:ascii="Arial" w:cs="Arial" w:eastAsia="Arial" w:hAnsi="Arial"/>
                <w:sz w:val="14"/>
                <w:szCs w:val="14"/>
                <w:color w:val="auto"/>
              </w:rPr>
              <w:t>Printing Services</w:t>
            </w:r>
          </w:p>
        </w:tc>
        <w:tc>
          <w:tcPr>
            <w:tcW w:w="2560" w:type="dxa"/>
            <w:vAlign w:val="bottom"/>
          </w:tcPr>
          <w:p>
            <w:pPr>
              <w:ind w:left="140"/>
              <w:spacing w:after="0" w:line="142" w:lineRule="exact"/>
              <w:rPr>
                <w:sz w:val="20"/>
                <w:szCs w:val="20"/>
                <w:color w:val="auto"/>
              </w:rPr>
            </w:pPr>
            <w:r>
              <w:rPr>
                <w:rFonts w:ascii="Arial" w:cs="Arial" w:eastAsia="Arial" w:hAnsi="Arial"/>
                <w:sz w:val="14"/>
                <w:szCs w:val="14"/>
                <w:color w:val="auto"/>
              </w:rPr>
              <w:t>Subordinated Debt (12% Cash, 6%</w:t>
            </w:r>
          </w:p>
        </w:tc>
        <w:tc>
          <w:tcPr>
            <w:tcW w:w="880" w:type="dxa"/>
            <w:vAlign w:val="bottom"/>
            <w:vMerge w:val="restart"/>
          </w:tcPr>
          <w:p>
            <w:pPr>
              <w:jc w:val="right"/>
              <w:ind w:right="148"/>
              <w:spacing w:after="0"/>
              <w:rPr>
                <w:sz w:val="20"/>
                <w:szCs w:val="20"/>
                <w:color w:val="auto"/>
              </w:rPr>
            </w:pPr>
            <w:r>
              <w:rPr>
                <w:rFonts w:ascii="Arial" w:cs="Arial" w:eastAsia="Arial" w:hAnsi="Arial"/>
                <w:sz w:val="14"/>
                <w:szCs w:val="14"/>
                <w:color w:val="auto"/>
              </w:rPr>
              <w:t>4,424</w:t>
            </w:r>
          </w:p>
        </w:tc>
        <w:tc>
          <w:tcPr>
            <w:tcW w:w="26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4,389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4,424</w:t>
            </w:r>
          </w:p>
        </w:tc>
        <w:tc>
          <w:tcPr>
            <w:tcW w:w="106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560" w:type="dxa"/>
            <w:vAlign w:val="bottom"/>
          </w:tcPr>
          <w:p>
            <w:pPr>
              <w:ind w:left="140"/>
              <w:spacing w:after="0" w:line="135" w:lineRule="exact"/>
              <w:rPr>
                <w:sz w:val="20"/>
                <w:szCs w:val="20"/>
                <w:color w:val="auto"/>
              </w:rPr>
            </w:pPr>
            <w:r>
              <w:rPr>
                <w:rFonts w:ascii="Arial" w:cs="Arial" w:eastAsia="Arial" w:hAnsi="Arial"/>
                <w:sz w:val="14"/>
                <w:szCs w:val="14"/>
                <w:color w:val="auto"/>
              </w:rPr>
              <w:t>PIK, Due 7/25/2018)</w:t>
            </w:r>
          </w:p>
        </w:tc>
        <w:tc>
          <w:tcPr>
            <w:tcW w:w="8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 xml:space="preserve">Print Direction, Inc. </w:t>
            </w:r>
            <w:r>
              <w:rPr>
                <w:rFonts w:ascii="Arial" w:cs="Arial" w:eastAsia="Arial" w:hAnsi="Arial"/>
                <w:sz w:val="18"/>
                <w:szCs w:val="18"/>
                <w:color w:val="auto"/>
                <w:vertAlign w:val="superscript"/>
              </w:rPr>
              <w:t>(1)</w:t>
            </w:r>
          </w:p>
        </w:tc>
        <w:tc>
          <w:tcPr>
            <w:tcW w:w="2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Printing Services</w:t>
            </w:r>
          </w:p>
        </w:tc>
        <w:tc>
          <w:tcPr>
            <w:tcW w:w="2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Subordinated Debt (14% Cash, Due</w:t>
            </w:r>
          </w:p>
        </w:tc>
        <w:tc>
          <w:tcPr>
            <w:tcW w:w="88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4,600</w:t>
            </w:r>
          </w:p>
        </w:tc>
        <w:tc>
          <w:tcPr>
            <w:tcW w:w="2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4,600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4,600</w:t>
            </w:r>
          </w:p>
        </w:tc>
        <w:tc>
          <w:tcPr>
            <w:tcW w:w="10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5"/>
        </w:trPr>
        <w:tc>
          <w:tcPr>
            <w:tcW w:w="240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256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7/31/18)</w:t>
            </w:r>
          </w:p>
        </w:tc>
        <w:tc>
          <w:tcPr>
            <w:tcW w:w="880" w:type="dxa"/>
            <w:vAlign w:val="bottom"/>
            <w:vMerge w:val="continue"/>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1060" w:type="dxa"/>
            <w:vAlign w:val="bottom"/>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line="149" w:lineRule="exact"/>
              <w:rPr>
                <w:sz w:val="20"/>
                <w:szCs w:val="20"/>
                <w:color w:val="auto"/>
              </w:rPr>
            </w:pPr>
            <w:r>
              <w:rPr>
                <w:rFonts w:ascii="Arial" w:cs="Arial" w:eastAsia="Arial" w:hAnsi="Arial"/>
                <w:sz w:val="14"/>
                <w:szCs w:val="14"/>
                <w:color w:val="auto"/>
              </w:rPr>
              <w:t>Print Direction, Inc.</w:t>
            </w:r>
          </w:p>
        </w:tc>
        <w:tc>
          <w:tcPr>
            <w:tcW w:w="2280" w:type="dxa"/>
            <w:vAlign w:val="bottom"/>
          </w:tcPr>
          <w:p>
            <w:pPr>
              <w:ind w:left="240"/>
              <w:spacing w:after="0" w:line="149" w:lineRule="exact"/>
              <w:rPr>
                <w:sz w:val="20"/>
                <w:szCs w:val="20"/>
                <w:color w:val="auto"/>
              </w:rPr>
            </w:pPr>
            <w:r>
              <w:rPr>
                <w:rFonts w:ascii="Arial" w:cs="Arial" w:eastAsia="Arial" w:hAnsi="Arial"/>
                <w:sz w:val="14"/>
                <w:szCs w:val="14"/>
                <w:color w:val="auto"/>
              </w:rPr>
              <w:t>Printing Services</w:t>
            </w:r>
          </w:p>
        </w:tc>
        <w:tc>
          <w:tcPr>
            <w:tcW w:w="2560" w:type="dxa"/>
            <w:vAlign w:val="bottom"/>
          </w:tcPr>
          <w:p>
            <w:pPr>
              <w:ind w:left="140"/>
              <w:spacing w:after="0" w:line="149" w:lineRule="exact"/>
              <w:rPr>
                <w:sz w:val="20"/>
                <w:szCs w:val="20"/>
                <w:color w:val="auto"/>
              </w:rPr>
            </w:pPr>
            <w:r>
              <w:rPr>
                <w:rFonts w:ascii="Arial" w:cs="Arial" w:eastAsia="Arial" w:hAnsi="Arial"/>
                <w:sz w:val="14"/>
                <w:szCs w:val="14"/>
                <w:color w:val="auto"/>
              </w:rPr>
              <w:t>Common Stock (19,363 shares)</w:t>
            </w:r>
          </w:p>
        </w:tc>
        <w:tc>
          <w:tcPr>
            <w:tcW w:w="8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2,990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7,110</w:t>
            </w:r>
          </w:p>
        </w:tc>
        <w:tc>
          <w:tcPr>
            <w:tcW w:w="10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30"/>
        </w:trPr>
        <w:tc>
          <w:tcPr>
            <w:tcW w:w="24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Print Direction, Inc.</w:t>
            </w:r>
          </w:p>
        </w:tc>
        <w:tc>
          <w:tcPr>
            <w:tcW w:w="228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Printing Services</w:t>
            </w:r>
          </w:p>
        </w:tc>
        <w:tc>
          <w:tcPr>
            <w:tcW w:w="256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Common Stock Warrants (3% fully</w:t>
            </w: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4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2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20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40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256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11,979</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16,448</w:t>
            </w:r>
          </w:p>
        </w:tc>
        <w:tc>
          <w:tcPr>
            <w:tcW w:w="20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w:t>
            </w:r>
          </w:p>
        </w:tc>
        <w:tc>
          <w:tcPr>
            <w:tcW w:w="14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2"/>
        </w:trPr>
        <w:tc>
          <w:tcPr>
            <w:tcW w:w="24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Sub Total Control investments</w:t>
            </w:r>
          </w:p>
        </w:tc>
        <w:tc>
          <w:tcPr>
            <w:tcW w:w="228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58,057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76,481</w:t>
            </w:r>
          </w:p>
        </w:tc>
        <w:tc>
          <w:tcPr>
            <w:tcW w:w="20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28.4</w:t>
            </w:r>
          </w:p>
        </w:tc>
        <w:tc>
          <w:tcPr>
            <w:tcW w:w="1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56"/>
        </w:trPr>
        <w:tc>
          <w:tcPr>
            <w:tcW w:w="2400" w:type="dxa"/>
            <w:vAlign w:val="bottom"/>
          </w:tcPr>
          <w:p>
            <w:pPr>
              <w:spacing w:after="0" w:line="155" w:lineRule="exact"/>
              <w:rPr>
                <w:sz w:val="20"/>
                <w:szCs w:val="20"/>
                <w:color w:val="auto"/>
              </w:rPr>
            </w:pPr>
            <w:r>
              <w:rPr>
                <w:rFonts w:ascii="Arial" w:cs="Arial" w:eastAsia="Arial" w:hAnsi="Arial"/>
                <w:sz w:val="14"/>
                <w:szCs w:val="14"/>
                <w:b w:val="1"/>
                <w:bCs w:val="1"/>
                <w:color w:val="auto"/>
              </w:rPr>
              <w:t>TOTAL INVESTMENTS - 135.7%</w:t>
            </w:r>
          </w:p>
        </w:tc>
        <w:tc>
          <w:tcPr>
            <w:tcW w:w="22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b w:val="1"/>
                <w:bCs w:val="1"/>
                <w:color w:val="auto"/>
                <w:w w:val="76"/>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301,299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364,719</w:t>
            </w:r>
          </w:p>
        </w:tc>
        <w:tc>
          <w:tcPr>
            <w:tcW w:w="20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135.7</w:t>
            </w:r>
          </w:p>
        </w:tc>
        <w:tc>
          <w:tcPr>
            <w:tcW w:w="1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220" w:hanging="212"/>
        <w:spacing w:after="0"/>
        <w:tabs>
          <w:tab w:leader="none" w:pos="220"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The maturity date of the original investment has been extended.</w:t>
      </w:r>
    </w:p>
    <w:p>
      <w:pPr>
        <w:spacing w:after="0" w:line="42" w:lineRule="exact"/>
        <w:rPr>
          <w:rFonts w:ascii="Arial" w:cs="Arial" w:eastAsia="Arial" w:hAnsi="Arial"/>
          <w:sz w:val="26"/>
          <w:szCs w:val="26"/>
          <w:color w:val="auto"/>
          <w:vertAlign w:val="superscript"/>
        </w:rPr>
      </w:pPr>
    </w:p>
    <w:p>
      <w:pPr>
        <w:ind w:left="220" w:hanging="212"/>
        <w:spacing w:after="0" w:line="186" w:lineRule="auto"/>
        <w:tabs>
          <w:tab w:leader="none" w:pos="22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Due to deterioration in credit quality, this investment is on non- accrual status.</w:t>
      </w:r>
    </w:p>
    <w:p>
      <w:pPr>
        <w:spacing w:after="0" w:line="42" w:lineRule="exact"/>
        <w:rPr>
          <w:rFonts w:ascii="Arial" w:cs="Arial" w:eastAsia="Arial" w:hAnsi="Arial"/>
          <w:sz w:val="24"/>
          <w:szCs w:val="24"/>
          <w:color w:val="auto"/>
          <w:vertAlign w:val="superscript"/>
        </w:rPr>
      </w:pPr>
    </w:p>
    <w:p>
      <w:pPr>
        <w:ind w:left="220" w:hanging="212"/>
        <w:spacing w:after="0" w:line="186" w:lineRule="auto"/>
        <w:tabs>
          <w:tab w:leader="none" w:pos="22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The debt investment is accruing interest based on the terms of the forebearance agreement.</w:t>
      </w:r>
    </w:p>
    <w:p>
      <w:pPr>
        <w:spacing w:after="0" w:line="42" w:lineRule="exact"/>
        <w:rPr>
          <w:rFonts w:ascii="Arial" w:cs="Arial" w:eastAsia="Arial" w:hAnsi="Arial"/>
          <w:sz w:val="24"/>
          <w:szCs w:val="24"/>
          <w:color w:val="auto"/>
          <w:vertAlign w:val="superscript"/>
        </w:rPr>
      </w:pPr>
    </w:p>
    <w:p>
      <w:pPr>
        <w:ind w:left="220" w:hanging="212"/>
        <w:spacing w:after="0" w:line="186" w:lineRule="auto"/>
        <w:tabs>
          <w:tab w:leader="none" w:pos="22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All debt investments are income producing. Equity and warrant investments are non-income producing, unless otherwise noted.</w:t>
      </w:r>
    </w:p>
    <w:p>
      <w:pPr>
        <w:spacing w:after="0" w:line="42" w:lineRule="exact"/>
        <w:rPr>
          <w:rFonts w:ascii="Arial" w:cs="Arial" w:eastAsia="Arial" w:hAnsi="Arial"/>
          <w:sz w:val="24"/>
          <w:szCs w:val="24"/>
          <w:color w:val="auto"/>
          <w:vertAlign w:val="superscript"/>
        </w:rPr>
      </w:pPr>
    </w:p>
    <w:p>
      <w:pPr>
        <w:ind w:left="220" w:hanging="212"/>
        <w:spacing w:after="0" w:line="186" w:lineRule="auto"/>
        <w:tabs>
          <w:tab w:leader="none" w:pos="22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Percentages are based on net assets of $268,670 as of December 31, 2013.</w:t>
      </w:r>
    </w:p>
    <w:p>
      <w:pPr>
        <w:spacing w:after="0" w:line="42" w:lineRule="exact"/>
        <w:rPr>
          <w:rFonts w:ascii="Arial" w:cs="Arial" w:eastAsia="Arial" w:hAnsi="Arial"/>
          <w:sz w:val="24"/>
          <w:szCs w:val="24"/>
          <w:color w:val="auto"/>
          <w:vertAlign w:val="superscript"/>
        </w:rPr>
      </w:pPr>
    </w:p>
    <w:p>
      <w:pPr>
        <w:ind w:left="220" w:hanging="212"/>
        <w:spacing w:after="0" w:line="186" w:lineRule="auto"/>
        <w:tabs>
          <w:tab w:leader="none" w:pos="22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The equity investment is income producing, based on cash rate disclosed.</w:t>
      </w:r>
    </w:p>
    <w:p>
      <w:pPr>
        <w:spacing w:after="0" w:line="42" w:lineRule="exact"/>
        <w:rPr>
          <w:rFonts w:ascii="Arial" w:cs="Arial" w:eastAsia="Arial" w:hAnsi="Arial"/>
          <w:sz w:val="24"/>
          <w:szCs w:val="24"/>
          <w:color w:val="auto"/>
          <w:vertAlign w:val="superscript"/>
        </w:rPr>
      </w:pPr>
    </w:p>
    <w:p>
      <w:pPr>
        <w:ind w:left="220" w:hanging="212"/>
        <w:spacing w:after="0" w:line="186" w:lineRule="auto"/>
        <w:tabs>
          <w:tab w:leader="none" w:pos="22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During the fourth quarter of 2013, the Company accepted a consent fee that waives its right to dividends through September 30, 2014.</w:t>
      </w:r>
    </w:p>
    <w:p>
      <w:pPr>
        <w:spacing w:after="0" w:line="42" w:lineRule="exact"/>
        <w:rPr>
          <w:rFonts w:ascii="Arial" w:cs="Arial" w:eastAsia="Arial" w:hAnsi="Arial"/>
          <w:sz w:val="24"/>
          <w:szCs w:val="24"/>
          <w:color w:val="auto"/>
          <w:vertAlign w:val="superscript"/>
        </w:rPr>
      </w:pPr>
    </w:p>
    <w:p>
      <w:pPr>
        <w:ind w:left="220" w:hanging="212"/>
        <w:spacing w:after="0" w:line="186" w:lineRule="auto"/>
        <w:tabs>
          <w:tab w:leader="none" w:pos="220"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The equity investment has an exercisable put option.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5"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ind w:right="100" w:firstLine="881"/>
        <w:spacing w:after="0" w:line="270" w:lineRule="auto"/>
        <w:rPr>
          <w:sz w:val="20"/>
          <w:szCs w:val="20"/>
          <w:color w:val="auto"/>
        </w:rPr>
      </w:pPr>
      <w:r>
        <w:rPr>
          <w:rFonts w:ascii="Arial" w:cs="Arial" w:eastAsia="Arial" w:hAnsi="Arial"/>
          <w:sz w:val="17"/>
          <w:szCs w:val="17"/>
          <w:color w:val="auto"/>
        </w:rPr>
        <w:t>Capitala Finance Corp. (the “Company”, “we”, “us”, and “our”) is a newly formed, externally managed non-diversified closed-end management investment company incorporated in Maryland that has elected to be regulated as a business development company (“BDC”) under the Investment Company Act of 1940, as amended (the “1940 Act”). We are an “emerging growth company” within the meaning of the Jumpstart Our Business Startups Act of 2012 (the “JOBS Act”), and as such, are subject to reduced public company reporting requirements. We commenced operations on May 24, 2013 and completed our initial public offering (“IPO”) on September 30, 2013. The Company is managed by Capitala Investment Advisors, LLC (the “Investment Advisor”), an investment adviser that is registered as an investment adviser under the Investment Advisers Act of 1940, as amended (the “Advisers Act”), and Capitala Advisors Corp. (the “Administrator”) provides the administrative services necessary for us to operate. In addition, for U.S. federal income tax purposes, the Company intends to elect to be treated as a regulated investment company (“RIC”), under Subchapter M of the Internal Revenue Code of 1986, as amended (the “Code”) commencing with our tax year ending August 31, 2014.</w:t>
      </w:r>
    </w:p>
    <w:p>
      <w:pPr>
        <w:spacing w:after="0" w:line="182" w:lineRule="exact"/>
        <w:rPr>
          <w:sz w:val="20"/>
          <w:szCs w:val="20"/>
          <w:color w:val="auto"/>
        </w:rPr>
      </w:pPr>
    </w:p>
    <w:p>
      <w:pPr>
        <w:ind w:right="100" w:firstLine="881"/>
        <w:spacing w:after="0" w:line="297" w:lineRule="auto"/>
        <w:rPr>
          <w:sz w:val="20"/>
          <w:szCs w:val="20"/>
          <w:color w:val="auto"/>
        </w:rPr>
      </w:pPr>
      <w:r>
        <w:rPr>
          <w:rFonts w:ascii="Arial" w:cs="Arial" w:eastAsia="Arial" w:hAnsi="Arial"/>
          <w:sz w:val="16"/>
          <w:szCs w:val="16"/>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smaller and lower middle market companies.</w:t>
      </w:r>
    </w:p>
    <w:p>
      <w:pPr>
        <w:spacing w:after="0" w:line="158" w:lineRule="exact"/>
        <w:rPr>
          <w:sz w:val="20"/>
          <w:szCs w:val="20"/>
          <w:color w:val="auto"/>
        </w:rPr>
      </w:pPr>
    </w:p>
    <w:p>
      <w:pPr>
        <w:ind w:right="20" w:firstLine="881"/>
        <w:spacing w:after="0" w:line="297" w:lineRule="auto"/>
        <w:rPr>
          <w:sz w:val="20"/>
          <w:szCs w:val="20"/>
          <w:color w:val="auto"/>
        </w:rPr>
      </w:pPr>
      <w:r>
        <w:rPr>
          <w:rFonts w:ascii="Arial" w:cs="Arial" w:eastAsia="Arial" w:hAnsi="Arial"/>
          <w:sz w:val="16"/>
          <w:szCs w:val="16"/>
          <w:color w:val="auto"/>
        </w:rPr>
        <w:t>The Company’s investment objective is to generate both current income and capital appreciation through debt and equity investments. Both directly and through our subsidiaries that are licensed by the U.S. Small Business Administration (“SBA”) under the Small Business Investment Company (“SBIC”) Act, we offer customized financing to business owners, management teams and financial sponsors for change of ownership transactions, recapitalizations, strategic acquisitions, business expansion and other growth initiatives. We invest primarily in traditional mezzanine, senior subordinated and unitranche debt, as well as senior and second-lien loans and, to a lesser extent, equity securities issued by smaller and lower middle-market companies.</w:t>
      </w:r>
    </w:p>
    <w:p>
      <w:pPr>
        <w:spacing w:after="0" w:line="158" w:lineRule="exact"/>
        <w:rPr>
          <w:sz w:val="20"/>
          <w:szCs w:val="20"/>
          <w:color w:val="auto"/>
        </w:rPr>
      </w:pPr>
    </w:p>
    <w:p>
      <w:pPr>
        <w:ind w:firstLine="881"/>
        <w:spacing w:after="0" w:line="286" w:lineRule="auto"/>
        <w:rPr>
          <w:sz w:val="20"/>
          <w:szCs w:val="20"/>
          <w:color w:val="auto"/>
        </w:rPr>
      </w:pPr>
      <w:r>
        <w:rPr>
          <w:rFonts w:ascii="Arial" w:cs="Arial" w:eastAsia="Arial" w:hAnsi="Arial"/>
          <w:sz w:val="16"/>
          <w:szCs w:val="16"/>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wholly-owned subsidiaries. Fund II and Fund III retained their SBIC licenses and continue to hold their existing investments and continue to make new investments. The IPO consisted of the sale of</w:t>
      </w:r>
    </w:p>
    <w:p>
      <w:pPr>
        <w:spacing w:after="0" w:line="2" w:lineRule="exact"/>
        <w:rPr>
          <w:sz w:val="20"/>
          <w:szCs w:val="20"/>
          <w:color w:val="auto"/>
        </w:rPr>
      </w:pPr>
    </w:p>
    <w:p>
      <w:pPr>
        <w:jc w:val="both"/>
        <w:ind w:right="160"/>
        <w:spacing w:after="0" w:line="277" w:lineRule="auto"/>
        <w:rPr>
          <w:sz w:val="20"/>
          <w:szCs w:val="20"/>
          <w:color w:val="auto"/>
        </w:rPr>
      </w:pPr>
      <w:r>
        <w:rPr>
          <w:rFonts w:ascii="Arial" w:cs="Arial" w:eastAsia="Arial" w:hAnsi="Arial"/>
          <w:sz w:val="17"/>
          <w:szCs w:val="17"/>
          <w:color w:val="auto"/>
        </w:rPr>
        <w:t>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As of June 30, 2014, the Company had 12,974,420 shares of common stock outstanding.</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0" w:firstLine="881"/>
        <w:spacing w:after="0" w:line="269" w:lineRule="auto"/>
        <w:rPr>
          <w:sz w:val="20"/>
          <w:szCs w:val="20"/>
          <w:color w:val="auto"/>
        </w:rPr>
      </w:pPr>
      <w:r>
        <w:rPr>
          <w:rFonts w:ascii="Arial" w:cs="Arial" w:eastAsia="Arial" w:hAnsi="Arial"/>
          <w:sz w:val="17"/>
          <w:szCs w:val="17"/>
          <w:color w:val="auto"/>
        </w:rPr>
        <w:t>The accompanying unaudited financial statements are presented in conformity with United States generally accepted accounting principles (“U.S. GAAP”) for interim financial information and pursuant to the requirements for reporting on Form 10-Q and Article 10 of Regulation S-X. Accordingly, certain disclosures accompanying annual consolidated financial statements prepared in accordance with U.S. GAAP are omitted. In the opinion of management, all adjustments, consisting solely of normal recurring adjustments necessary for the fair presentation of financial statements for the interim period, have been reflected in the unaudited consolidated financial statements. 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period ended December 31, 2013, filed with the U.S Securities and Exchange Commission (“SEC”) on March 28, 2014. Financial statements prepared on a U.S. GAAP basis require management to make estimates and assumptions that affect the amounts and disclosures reported in the consolidated financial statements and accompanying notes. Such estimates and assumptions could change in the future as more information becomes known, which could impact the amounts reported and disclosed herein.</w:t>
      </w:r>
    </w:p>
    <w:p>
      <w:pPr>
        <w:spacing w:after="0" w:line="183"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 xml:space="preserve">The consolidated financial statements of the Company include the accounts of the Company and its wholly-owned subsidiaries as described in the Formation Transactions presented in Note 1. The transactions related to Fund II, Fund III, and the Florida Sidecar constitute an exchange of shares between entities under common control and will be accounted for in accordance with the Accounting Standards Codification (“ASC”), Topic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(“ASC 805”). As such, the results of the Company’s operations and cash flows for the three and six months ended June 30, 2013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on a combined basis in order to provide comparative information with respect to prior periods. The Formation Transactions also included an asset acquisition of certain assets in Fund I and Fund III Parent. In accordance with ASC 805, the assets acquired were recorded at fair value at the date of acquisition, September 24, 2013.</w:t>
      </w:r>
    </w:p>
    <w:p>
      <w:pPr>
        <w:spacing w:after="0" w:line="189" w:lineRule="exact"/>
        <w:rPr>
          <w:sz w:val="20"/>
          <w:szCs w:val="20"/>
          <w:color w:val="auto"/>
        </w:rPr>
      </w:pPr>
    </w:p>
    <w:p>
      <w:pPr>
        <w:ind w:right="120" w:firstLine="881"/>
        <w:spacing w:after="0" w:line="302" w:lineRule="auto"/>
        <w:rPr>
          <w:sz w:val="20"/>
          <w:szCs w:val="20"/>
          <w:color w:val="auto"/>
        </w:rPr>
      </w:pPr>
      <w:r>
        <w:rPr>
          <w:rFonts w:ascii="Arial" w:cs="Arial" w:eastAsia="Arial" w:hAnsi="Arial"/>
          <w:sz w:val="16"/>
          <w:szCs w:val="16"/>
          <w:color w:val="auto"/>
        </w:rPr>
        <w:t>The Company’s financial position as of June 30, 2014 is presented on a consolidated basis. The effects of all intercompany transactions between the Company and its subsidiaries (Fund II, Fund III, and the Florida Sidecar)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229" w:lineRule="exact"/>
        <w:rPr>
          <w:sz w:val="20"/>
          <w:szCs w:val="20"/>
          <w:color w:val="auto"/>
        </w:rPr>
      </w:pPr>
    </w:p>
    <w:p>
      <w:pPr>
        <w:ind w:right="20" w:firstLine="881"/>
        <w:spacing w:after="0" w:line="342"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In accordance with ASC Topic 280 -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Company has determined that it has a single reporting segment and operating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structure.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120" w:firstLine="881"/>
        <w:spacing w:after="0" w:line="264" w:lineRule="auto"/>
        <w:rPr>
          <w:sz w:val="20"/>
          <w:szCs w:val="20"/>
          <w:color w:val="auto"/>
        </w:rPr>
      </w:pPr>
      <w:r>
        <w:rPr>
          <w:rFonts w:ascii="Arial" w:cs="Arial" w:eastAsia="Arial" w:hAnsi="Arial"/>
          <w:sz w:val="18"/>
          <w:szCs w:val="18"/>
          <w:color w:val="auto"/>
        </w:rPr>
        <w:t>The Company considers cash equivalents to be highly liquid investments with original maturities of three months or less at the date of purchase. Cash and cash equivalents include deposits in money market accounts. The Company deposits its cash in financial institutions and, at times, such balances may be in excess of the Federal Deposit Insurance Corporation (“FDIC”) insurance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Classification</w:t>
      </w:r>
    </w:p>
    <w:p>
      <w:pPr>
        <w:spacing w:after="0" w:line="229" w:lineRule="exact"/>
        <w:rPr>
          <w:sz w:val="20"/>
          <w:szCs w:val="20"/>
          <w:color w:val="auto"/>
        </w:rPr>
      </w:pPr>
    </w:p>
    <w:p>
      <w:pPr>
        <w:ind w:right="120" w:firstLine="881"/>
        <w:spacing w:after="0" w:line="291" w:lineRule="auto"/>
        <w:rPr>
          <w:sz w:val="20"/>
          <w:szCs w:val="20"/>
          <w:color w:val="auto"/>
        </w:rPr>
      </w:pPr>
      <w:r>
        <w:rPr>
          <w:rFonts w:ascii="Arial" w:cs="Arial" w:eastAsia="Arial" w:hAnsi="Arial"/>
          <w:sz w:val="16"/>
          <w:szCs w:val="16"/>
          <w:color w:val="auto"/>
        </w:rPr>
        <w:t>In accordance with the provisions of the 1940 Act, the Company classifies investment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between 5% and 25% of the voting securities of such company.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Valuation of Investments</w:t>
      </w:r>
    </w:p>
    <w:p>
      <w:pPr>
        <w:spacing w:after="0" w:line="229"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 xml:space="preserve">The Company applies fair value accounting to all of its financial instruments in accordance with the 1940 Act and ASC Topic 820 -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(“ASC 820”). ASC 820 defines fair value, establishes a framework used to measure fair value and requires disclosures for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measurements. In accordance with ASC 820, the Company has categorized its financial instruments carried at fair value, based on the priority of the valuation technique, into a three-level fair value hierarchy as discussed in Note 4.</w:t>
      </w:r>
    </w:p>
    <w:p>
      <w:pPr>
        <w:spacing w:after="0" w:line="187" w:lineRule="exact"/>
        <w:rPr>
          <w:sz w:val="20"/>
          <w:szCs w:val="20"/>
          <w:color w:val="auto"/>
        </w:rPr>
      </w:pPr>
    </w:p>
    <w:p>
      <w:pPr>
        <w:ind w:right="20" w:firstLine="881"/>
        <w:spacing w:after="0" w:line="312" w:lineRule="auto"/>
        <w:rPr>
          <w:sz w:val="20"/>
          <w:szCs w:val="20"/>
          <w:color w:val="auto"/>
        </w:rPr>
      </w:pPr>
      <w:r>
        <w:rPr>
          <w:rFonts w:ascii="Arial" w:cs="Arial" w:eastAsia="Arial" w:hAnsi="Arial"/>
          <w:sz w:val="16"/>
          <w:szCs w:val="16"/>
          <w:color w:val="auto"/>
        </w:rPr>
        <w:t>In determining fair value, our board of directors (the “Board”) uses various valuation approaches, and engages a third-party valuation firm, which provides an independent review of certain investments.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47" w:lineRule="exact"/>
        <w:rPr>
          <w:sz w:val="20"/>
          <w:szCs w:val="20"/>
          <w:color w:val="auto"/>
        </w:rPr>
      </w:pPr>
    </w:p>
    <w:p>
      <w:pPr>
        <w:ind w:right="60" w:firstLine="881"/>
        <w:spacing w:after="0" w:line="264"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w:t>
      </w:r>
    </w:p>
    <w:p>
      <w:pPr>
        <w:spacing w:after="0" w:line="181" w:lineRule="exact"/>
        <w:rPr>
          <w:sz w:val="20"/>
          <w:szCs w:val="20"/>
          <w:color w:val="auto"/>
        </w:rPr>
      </w:pPr>
    </w:p>
    <w:p>
      <w:pPr>
        <w:ind w:firstLine="881"/>
        <w:spacing w:after="0" w:line="289" w:lineRule="auto"/>
        <w:rPr>
          <w:sz w:val="20"/>
          <w:szCs w:val="20"/>
          <w:color w:val="auto"/>
        </w:rPr>
      </w:pPr>
      <w:r>
        <w:rPr>
          <w:rFonts w:ascii="Arial" w:cs="Arial" w:eastAsia="Arial" w:hAnsi="Arial"/>
          <w:sz w:val="16"/>
          <w:szCs w:val="16"/>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in determining fair value is greatest for securities categorized in Level 3 (as defined below).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67"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Senior and Subordinated Secured Loans</w:t>
      </w:r>
    </w:p>
    <w:p>
      <w:pPr>
        <w:spacing w:after="0" w:line="225" w:lineRule="exact"/>
        <w:rPr>
          <w:sz w:val="20"/>
          <w:szCs w:val="20"/>
          <w:color w:val="auto"/>
        </w:rPr>
      </w:pPr>
    </w:p>
    <w:p>
      <w:pPr>
        <w:ind w:right="120" w:firstLine="881"/>
        <w:spacing w:after="0" w:line="293" w:lineRule="auto"/>
        <w:rPr>
          <w:sz w:val="20"/>
          <w:szCs w:val="20"/>
          <w:color w:val="auto"/>
        </w:rPr>
      </w:pPr>
      <w:r>
        <w:rPr>
          <w:rFonts w:ascii="Arial" w:cs="Arial" w:eastAsia="Arial" w:hAnsi="Arial"/>
          <w:sz w:val="16"/>
          <w:szCs w:val="16"/>
          <w:color w:val="auto"/>
        </w:rPr>
        <w:t>The Company’s portfolio primarily consists of private debt instruments (“Level 3 debt”). We consider our Level 3 debt to be performing loans if the borrower is not in default, the borrower is remitting payments in a timely manner, the loan is in covenant compliance or is otherwise not deemed to be impaired. In determining the fair value of the performing Level 3 debt, the Company’s Board considers fluctuations in current interest rates, the trends in yields of debt instruments with similar credit ratings (if applicable), the financial condition of the borrower, economic conditions and other relevant factors, both qualitative and quantitative. In the event that a Level 3 debt instrument is not performing, as defined above, the Board will evaluate the value of the collateral utilizing the same framework described above for a performing loan to determine the value of the Level 3 debt instrument.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20" w:name="page21"/>
    <w:bookmarkEnd w:id="20"/>
    <w:p>
      <w:pPr>
        <w:jc w:val="both"/>
        <w:ind w:right="100" w:firstLine="881"/>
        <w:spacing w:after="0" w:line="259" w:lineRule="auto"/>
        <w:rPr>
          <w:sz w:val="20"/>
          <w:szCs w:val="20"/>
          <w:color w:val="auto"/>
        </w:rPr>
      </w:pPr>
      <w:r>
        <w:rPr>
          <w:rFonts w:ascii="Arial" w:cs="Arial" w:eastAsia="Arial" w:hAnsi="Arial"/>
          <w:sz w:val="18"/>
          <w:szCs w:val="18"/>
          <w:color w:val="auto"/>
        </w:rPr>
        <w:t>This evaluation will be updated no less than quarterly for Level 3 debt instruments that are not performing, and more frequently for time periods where there are significant changes in the collateral or significant changes in the perceived performance of the underlying portfolio company. The collateral value will be analyzed on an ongoing basis using internal metrics, appraisals, third-party valuation agents and other data as may be acquired and analyzed by our management and Board.</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Equity Investments in Private Companies</w:t>
      </w:r>
    </w:p>
    <w:p>
      <w:pPr>
        <w:spacing w:after="0" w:line="225" w:lineRule="exact"/>
        <w:rPr>
          <w:sz w:val="20"/>
          <w:szCs w:val="20"/>
          <w:color w:val="auto"/>
        </w:rPr>
      </w:pPr>
    </w:p>
    <w:p>
      <w:pPr>
        <w:ind w:right="80" w:firstLine="881"/>
        <w:spacing w:after="0" w:line="312" w:lineRule="auto"/>
        <w:rPr>
          <w:sz w:val="20"/>
          <w:szCs w:val="20"/>
          <w:color w:val="auto"/>
        </w:rPr>
      </w:pPr>
      <w:r>
        <w:rPr>
          <w:rFonts w:ascii="Arial" w:cs="Arial" w:eastAsia="Arial" w:hAnsi="Arial"/>
          <w:sz w:val="16"/>
          <w:szCs w:val="16"/>
          <w:color w:val="auto"/>
        </w:rPr>
        <w:t>Our Board determines the fair value of its investments in private companies by incorporating valuations that consider the evaluation of financing and sale transactions with third-parties, expected cash flows and market-based information, including comparable transactions, and performance multiples, among other factors, and may use third-party valuation agents. Such non-public investments are included in Level 3 of the fair value hierarchy.</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ind w:right="220" w:firstLine="881"/>
        <w:spacing w:after="0" w:line="264" w:lineRule="auto"/>
        <w:rPr>
          <w:sz w:val="20"/>
          <w:szCs w:val="20"/>
          <w:color w:val="auto"/>
        </w:rPr>
      </w:pPr>
      <w:r>
        <w:rPr>
          <w:rFonts w:ascii="Arial" w:cs="Arial" w:eastAsia="Arial" w:hAnsi="Arial"/>
          <w:sz w:val="18"/>
          <w:szCs w:val="18"/>
          <w:color w:val="auto"/>
        </w:rPr>
        <w:t>Our Board will ascribe value to warrants based on the fair value of holdings to which they are associated that can include discounted cash flow analyses, option pricing models, comparable analyses and other techniques as deemed appropriate. Such warrants are included in Level 3 of the fair value hierarchy to the extent issued by non-public companies.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ind w:firstLine="881"/>
        <w:spacing w:after="0" w:line="302" w:lineRule="auto"/>
        <w:rPr>
          <w:sz w:val="20"/>
          <w:szCs w:val="20"/>
          <w:color w:val="auto"/>
        </w:rPr>
      </w:pPr>
      <w:r>
        <w:rPr>
          <w:rFonts w:ascii="Arial" w:cs="Arial" w:eastAsia="Arial" w:hAnsi="Arial"/>
          <w:sz w:val="16"/>
          <w:szCs w:val="16"/>
          <w:i w:val="1"/>
          <w:iCs w:val="1"/>
          <w:color w:val="auto"/>
        </w:rPr>
        <w:t xml:space="preserve">Interest Income and Paid-in Kind Interest Income: </w:t>
      </w:r>
      <w:r>
        <w:rPr>
          <w:rFonts w:ascii="Arial" w:cs="Arial" w:eastAsia="Arial" w:hAnsi="Arial"/>
          <w:sz w:val="16"/>
          <w:szCs w:val="16"/>
          <w:color w:val="auto"/>
        </w:rPr>
        <w:t>Interest income is recorded on the accrual basis to the extent that such amounts are expected to</w:t>
      </w:r>
      <w:r>
        <w:rPr>
          <w:rFonts w:ascii="Arial" w:cs="Arial" w:eastAsia="Arial" w:hAnsi="Arial"/>
          <w:sz w:val="16"/>
          <w:szCs w:val="16"/>
          <w:i w:val="1"/>
          <w:iCs w:val="1"/>
          <w:color w:val="auto"/>
        </w:rPr>
        <w:t xml:space="preserve"> </w:t>
      </w:r>
      <w:r>
        <w:rPr>
          <w:rFonts w:ascii="Arial" w:cs="Arial" w:eastAsia="Arial" w:hAnsi="Arial"/>
          <w:sz w:val="16"/>
          <w:szCs w:val="16"/>
          <w:color w:val="auto"/>
        </w:rPr>
        <w:t>be collected. The company has loans in the portfolio that contain a payment-in-kind (“PIK”) provision. The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154"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i w:val="1"/>
          <w:iCs w:val="1"/>
          <w:color w:val="auto"/>
        </w:rPr>
        <w:t xml:space="preserve">Non-accrual income: </w:t>
      </w:r>
      <w:r>
        <w:rPr>
          <w:rFonts w:ascii="Arial" w:cs="Arial" w:eastAsia="Arial" w:hAnsi="Arial"/>
          <w:sz w:val="17"/>
          <w:szCs w:val="17"/>
          <w:color w:val="auto"/>
        </w:rPr>
        <w:t>Generally, when interest and/or principal payments on a loan become materially past due, or if the Company otherwise does</w:t>
      </w:r>
      <w:r>
        <w:rPr>
          <w:rFonts w:ascii="Arial" w:cs="Arial" w:eastAsia="Arial" w:hAnsi="Arial"/>
          <w:sz w:val="17"/>
          <w:szCs w:val="17"/>
          <w:i w:val="1"/>
          <w:iCs w:val="1"/>
          <w:color w:val="auto"/>
        </w:rPr>
        <w:t xml:space="preserve"> </w:t>
      </w:r>
      <w:r>
        <w:rPr>
          <w:rFonts w:ascii="Arial" w:cs="Arial" w:eastAsia="Arial" w:hAnsi="Arial"/>
          <w:sz w:val="17"/>
          <w:szCs w:val="17"/>
          <w:color w:val="auto"/>
        </w:rPr>
        <w:t>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The company may elect to cease accruing PIK interest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11" w:lineRule="exact"/>
        <w:rPr>
          <w:sz w:val="20"/>
          <w:szCs w:val="20"/>
          <w:color w:val="auto"/>
        </w:rPr>
      </w:pPr>
    </w:p>
    <w:p>
      <w:pPr>
        <w:ind w:firstLine="881"/>
        <w:spacing w:after="0" w:line="293" w:lineRule="auto"/>
        <w:rPr>
          <w:sz w:val="20"/>
          <w:szCs w:val="20"/>
          <w:color w:val="auto"/>
        </w:rPr>
      </w:pPr>
      <w:r>
        <w:rPr>
          <w:rFonts w:ascii="Arial" w:cs="Arial" w:eastAsia="Arial" w:hAnsi="Arial"/>
          <w:sz w:val="16"/>
          <w:szCs w:val="16"/>
          <w:i w:val="1"/>
          <w:iCs w:val="1"/>
          <w:color w:val="auto"/>
        </w:rPr>
        <w:t xml:space="preserve">Dividend Income and Paid-in-kind Dividends: </w:t>
      </w:r>
      <w:r>
        <w:rPr>
          <w:rFonts w:ascii="Arial" w:cs="Arial" w:eastAsia="Arial" w:hAnsi="Arial"/>
          <w:sz w:val="16"/>
          <w:szCs w:val="16"/>
          <w:color w:val="auto"/>
        </w:rPr>
        <w:t>Dividend income is recognized on the date dividends are declared. The Company holds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collection of PIK dividends are unlikely to be collected. If management determines that a decline in fair value is temporary in nature and the PIK dividends are more likely than not to be collected, management may elect to continue accruing PIK dividends.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1" w:name="page22"/>
    <w:bookmarkEnd w:id="21"/>
    <w:p>
      <w:pPr>
        <w:ind w:right="260" w:firstLine="881"/>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amendment, consent, closing and/or commitment fees associated with investments in portfolio companies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as income when the investment transaction closes. Prepayment penalties received by the Company for debt instruments repaid prior to maturity date are recorded as income upon receipt.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ind w:right="120" w:firstLine="881"/>
        <w:spacing w:after="0" w:line="264" w:lineRule="auto"/>
        <w:rPr>
          <w:sz w:val="20"/>
          <w:szCs w:val="20"/>
          <w:color w:val="auto"/>
        </w:rPr>
      </w:pPr>
      <w:r>
        <w:rPr>
          <w:rFonts w:ascii="Arial" w:cs="Arial" w:eastAsia="Arial" w:hAnsi="Arial"/>
          <w:sz w:val="18"/>
          <w:szCs w:val="18"/>
          <w:color w:val="auto"/>
        </w:rPr>
        <w:t>General and administrative expenses are accrued as incurred. The Company’s general and administrative expenses include personnel expenses allocable to the Company under the Administration Agreement, legal and audit fees, director fees, director and officer insurance, and other expenses payable under the Administration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Fees</w:t>
      </w:r>
    </w:p>
    <w:p>
      <w:pPr>
        <w:spacing w:after="0" w:line="229" w:lineRule="exact"/>
        <w:rPr>
          <w:sz w:val="20"/>
          <w:szCs w:val="20"/>
          <w:color w:val="auto"/>
        </w:rPr>
      </w:pPr>
    </w:p>
    <w:p>
      <w:pPr>
        <w:ind w:right="120" w:firstLine="881"/>
        <w:spacing w:after="0" w:line="277" w:lineRule="auto"/>
        <w:rPr>
          <w:sz w:val="20"/>
          <w:szCs w:val="20"/>
          <w:color w:val="auto"/>
        </w:rPr>
      </w:pPr>
      <w:r>
        <w:rPr>
          <w:rFonts w:ascii="Arial" w:cs="Arial" w:eastAsia="Arial" w:hAnsi="Arial"/>
          <w:sz w:val="18"/>
          <w:szCs w:val="18"/>
          <w:color w:val="auto"/>
        </w:rPr>
        <w:t>Costs incurred to issue the SBA-guaranteed debentures and notes payable are capitalized and are amortized over the term of the debt agreements under the effective interest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360" w:firstLine="881"/>
        <w:spacing w:after="0" w:line="277" w:lineRule="auto"/>
        <w:rPr>
          <w:sz w:val="20"/>
          <w:szCs w:val="20"/>
          <w:color w:val="auto"/>
        </w:rPr>
      </w:pPr>
      <w:r>
        <w:rPr>
          <w:rFonts w:ascii="Arial" w:cs="Arial" w:eastAsia="Arial" w:hAnsi="Arial"/>
          <w:sz w:val="18"/>
          <w:szCs w:val="18"/>
          <w:color w:val="auto"/>
        </w:rPr>
        <w:t>As of June 30, 2014 and December 31, 2013, the Company had $1.3 million and $0 of outstanding unfunded commitments, respectively. The Company’s unfunded commitments are comprised solely of unused lines of credit of existing portfolio companies.</w:t>
      </w:r>
    </w:p>
    <w:p>
      <w:pPr>
        <w:spacing w:after="0" w:line="170" w:lineRule="exact"/>
        <w:rPr>
          <w:sz w:val="20"/>
          <w:szCs w:val="20"/>
          <w:color w:val="auto"/>
        </w:rPr>
      </w:pPr>
    </w:p>
    <w:p>
      <w:pPr>
        <w:ind w:right="300" w:firstLine="881"/>
        <w:spacing w:after="0" w:line="264" w:lineRule="auto"/>
        <w:rPr>
          <w:sz w:val="20"/>
          <w:szCs w:val="20"/>
          <w:color w:val="auto"/>
        </w:rPr>
      </w:pPr>
      <w:r>
        <w:rPr>
          <w:rFonts w:ascii="Arial" w:cs="Arial" w:eastAsia="Arial" w:hAnsi="Arial"/>
          <w:sz w:val="18"/>
          <w:szCs w:val="18"/>
          <w:color w:val="auto"/>
        </w:rPr>
        <w:t>In the ordinary course of its business, the Company may enter into contracts or agreements that contain indemnifications or warranties. Future events could occur that lead to the execution of these provisions against the Company. Based on its history and experience, management feels that the likelihood of such an event is remote.</w:t>
      </w:r>
    </w:p>
    <w:p>
      <w:pPr>
        <w:spacing w:after="0" w:line="181" w:lineRule="exact"/>
        <w:rPr>
          <w:sz w:val="20"/>
          <w:szCs w:val="20"/>
          <w:color w:val="auto"/>
        </w:rPr>
      </w:pPr>
    </w:p>
    <w:p>
      <w:pPr>
        <w:ind w:right="120" w:firstLine="881"/>
        <w:spacing w:after="0" w:line="259" w:lineRule="auto"/>
        <w:rPr>
          <w:sz w:val="20"/>
          <w:szCs w:val="20"/>
          <w:color w:val="auto"/>
        </w:rPr>
      </w:pPr>
      <w:r>
        <w:rPr>
          <w:rFonts w:ascii="Arial" w:cs="Arial" w:eastAsia="Arial" w:hAnsi="Arial"/>
          <w:sz w:val="18"/>
          <w:szCs w:val="18"/>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As of June 30, 2014, resolution of any outstanding claims is not expected to materially affect the Company’s business, financial position, results of operation, or liquidity.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520" w:firstLine="881"/>
        <w:spacing w:after="0" w:line="264" w:lineRule="auto"/>
        <w:rPr>
          <w:sz w:val="20"/>
          <w:szCs w:val="20"/>
          <w:color w:val="auto"/>
        </w:rPr>
      </w:pPr>
      <w:r>
        <w:rPr>
          <w:rFonts w:ascii="Arial" w:cs="Arial" w:eastAsia="Arial" w:hAnsi="Arial"/>
          <w:sz w:val="18"/>
          <w:szCs w:val="18"/>
          <w:color w:val="auto"/>
        </w:rPr>
        <w:t>The Company intends to elect to be treated for federal income tax purposes, and intends to qualify annually thereafter, as a RIC under Subchapter M of the Code and, among other things, intends to make the requisite distributions to its stockholders which will relieve the Company from federal income taxes. Therefore, no provision has been recorded for federal income taxes.</w:t>
      </w:r>
    </w:p>
    <w:p>
      <w:pPr>
        <w:spacing w:after="0" w:line="181"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ind w:right="120" w:firstLine="881"/>
        <w:spacing w:after="0" w:line="279" w:lineRule="auto"/>
        <w:rPr>
          <w:sz w:val="20"/>
          <w:szCs w:val="20"/>
          <w:color w:val="auto"/>
        </w:rPr>
      </w:pPr>
      <w:r>
        <w:rPr>
          <w:rFonts w:ascii="Arial" w:cs="Arial" w:eastAsia="Arial" w:hAnsi="Arial"/>
          <w:sz w:val="17"/>
          <w:szCs w:val="17"/>
          <w:color w:val="auto"/>
        </w:rPr>
        <w:t>Depending on the level of taxable income earned in a tax year, the Company may choose to carry forward taxable income in excess of current year dividend distributions into the next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171"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 w:name="page23"/>
    <w:bookmarkEnd w:id="22"/>
    <w:p>
      <w:pPr>
        <w:ind w:right="20" w:firstLine="917"/>
        <w:spacing w:after="0" w:line="255" w:lineRule="auto"/>
        <w:rPr>
          <w:sz w:val="20"/>
          <w:szCs w:val="20"/>
          <w:color w:val="auto"/>
        </w:rPr>
      </w:pPr>
      <w:r>
        <w:rPr>
          <w:rFonts w:ascii="Arial" w:cs="Arial" w:eastAsia="Arial" w:hAnsi="Arial"/>
          <w:sz w:val="18"/>
          <w:szCs w:val="18"/>
          <w:color w:val="auto"/>
        </w:rPr>
        <w:t xml:space="preserve">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June 30, 2014 and December 31, 2013, there were no uncertain tax positions.</w:t>
      </w:r>
    </w:p>
    <w:p>
      <w:pPr>
        <w:spacing w:after="0" w:line="193" w:lineRule="exact"/>
        <w:rPr>
          <w:sz w:val="20"/>
          <w:szCs w:val="20"/>
          <w:color w:val="auto"/>
        </w:rPr>
      </w:pPr>
    </w:p>
    <w:p>
      <w:pPr>
        <w:ind w:right="20" w:firstLine="881"/>
        <w:spacing w:after="0" w:line="302" w:lineRule="auto"/>
        <w:rPr>
          <w:sz w:val="20"/>
          <w:szCs w:val="20"/>
          <w:color w:val="auto"/>
        </w:rPr>
      </w:pPr>
      <w:r>
        <w:rPr>
          <w:rFonts w:ascii="Arial" w:cs="Arial" w:eastAsia="Arial" w:hAnsi="Arial"/>
          <w:sz w:val="16"/>
          <w:szCs w:val="16"/>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have negatively impact the Company’s net assets.</w:t>
      </w:r>
    </w:p>
    <w:p>
      <w:pPr>
        <w:spacing w:after="0" w:line="154" w:lineRule="exact"/>
        <w:rPr>
          <w:sz w:val="20"/>
          <w:szCs w:val="20"/>
          <w:color w:val="auto"/>
        </w:rPr>
      </w:pPr>
    </w:p>
    <w:p>
      <w:pPr>
        <w:ind w:right="160" w:firstLine="881"/>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70"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The Company has concluded that it was not necessary to record a liability for any such tax positions as of June 30, 2014 and December 31, 2013.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181"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The Company’s activities from commencement of operations remain subject to examination by U.S. federal, state, and local tax authorities. No interest expense or penalties have been assessed for the three and six month periods ended June 30, 2014 and June 30, 2013. If the Company were required to recognize interest and penalties, if any, related to unrecognized tax benefits this would be recognized as income tax expense in the consolidated statement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60" w:firstLine="881"/>
        <w:spacing w:after="0" w:line="308" w:lineRule="auto"/>
        <w:rPr>
          <w:sz w:val="20"/>
          <w:szCs w:val="20"/>
          <w:color w:val="auto"/>
        </w:rPr>
      </w:pPr>
      <w:r>
        <w:rPr>
          <w:rFonts w:ascii="Arial" w:cs="Arial" w:eastAsia="Arial" w:hAnsi="Arial"/>
          <w:sz w:val="17"/>
          <w:szCs w:val="17"/>
          <w:color w:val="auto"/>
        </w:rPr>
        <w:t>Dividends to common stockholders are recorded on the ex-dividend date. The amount to be paid out as a dividend is approved by the Board. Net capital gains, if any, are generally distributed at least annually, although we may decide to retain such capital gains for reinvestment.</w:t>
      </w:r>
    </w:p>
    <w:p>
      <w:pPr>
        <w:spacing w:after="0" w:line="147" w:lineRule="exact"/>
        <w:rPr>
          <w:sz w:val="20"/>
          <w:szCs w:val="20"/>
          <w:color w:val="auto"/>
        </w:rPr>
      </w:pPr>
    </w:p>
    <w:p>
      <w:pPr>
        <w:ind w:right="220" w:firstLine="881"/>
        <w:spacing w:after="0" w:line="279"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his/her dividends automatically reinvested in additional shares of our common stock rather than receiving cash dividends. Stockholders who receive distributions in the form of shares of common stock will be subject to the same federal, state and local tax consequences as if they received cash distributions.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Investment Risk, Concentration of Credit Risk, and Liquidity Risk</w:t>
      </w:r>
    </w:p>
    <w:p>
      <w:pPr>
        <w:spacing w:after="0" w:line="229" w:lineRule="exact"/>
        <w:rPr>
          <w:sz w:val="20"/>
          <w:szCs w:val="20"/>
          <w:color w:val="auto"/>
        </w:rPr>
      </w:pPr>
    </w:p>
    <w:p>
      <w:pPr>
        <w:ind w:right="180" w:firstLine="881"/>
        <w:spacing w:after="0" w:line="302" w:lineRule="auto"/>
        <w:rPr>
          <w:sz w:val="20"/>
          <w:szCs w:val="20"/>
          <w:color w:val="auto"/>
        </w:rPr>
      </w:pPr>
      <w:r>
        <w:rPr>
          <w:rFonts w:ascii="Arial" w:cs="Arial" w:eastAsia="Arial" w:hAnsi="Arial"/>
          <w:sz w:val="16"/>
          <w:szCs w:val="16"/>
          <w:color w:val="auto"/>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23" w:name="page24"/>
    <w:bookmarkEnd w:id="23"/>
    <w:p>
      <w:pPr>
        <w:jc w:val="both"/>
        <w:ind w:right="100" w:firstLine="881"/>
        <w:spacing w:after="0" w:line="279" w:lineRule="auto"/>
        <w:rPr>
          <w:sz w:val="20"/>
          <w:szCs w:val="20"/>
          <w:color w:val="auto"/>
        </w:rPr>
      </w:pPr>
      <w:r>
        <w:rPr>
          <w:rFonts w:ascii="Arial" w:cs="Arial" w:eastAsia="Arial" w:hAnsi="Arial"/>
          <w:sz w:val="17"/>
          <w:szCs w:val="17"/>
          <w:color w:val="auto"/>
        </w:rPr>
        <w:t>The value of the Company’s investments in loans may be detrimentally affected to the extent, among other things, that a borrower defaults on its obligations, there is insufficient collateral and/or there are extensive legal and other costs incurred in collecting on a defaulted loan, observable secondary or primary market yields for similar instruments issued by comparable companies increase materially or risk premiums required in the market between smaller companies, such as our borrowers, and those for which market yields are observable increase materially.</w:t>
      </w:r>
    </w:p>
    <w:p>
      <w:pPr>
        <w:spacing w:after="0" w:line="171" w:lineRule="exact"/>
        <w:rPr>
          <w:sz w:val="20"/>
          <w:szCs w:val="20"/>
          <w:color w:val="auto"/>
        </w:rPr>
      </w:pPr>
    </w:p>
    <w:p>
      <w:pPr>
        <w:ind w:right="560" w:firstLine="881"/>
        <w:spacing w:after="0" w:line="277" w:lineRule="auto"/>
        <w:rPr>
          <w:sz w:val="20"/>
          <w:szCs w:val="20"/>
          <w:color w:val="auto"/>
        </w:rPr>
      </w:pPr>
      <w:r>
        <w:rPr>
          <w:rFonts w:ascii="Arial" w:cs="Arial" w:eastAsia="Arial" w:hAnsi="Arial"/>
          <w:sz w:val="18"/>
          <w:szCs w:val="18"/>
          <w:color w:val="auto"/>
        </w:rPr>
        <w:t>The Investment Advisor may attempt to minimize this risk by maintaining low loan-to-liquidation values with each loan and the collateral underlying the loan.</w:t>
      </w:r>
    </w:p>
    <w:p>
      <w:pPr>
        <w:spacing w:after="0" w:line="170" w:lineRule="exact"/>
        <w:rPr>
          <w:sz w:val="20"/>
          <w:szCs w:val="20"/>
          <w:color w:val="auto"/>
        </w:rPr>
      </w:pPr>
    </w:p>
    <w:p>
      <w:pPr>
        <w:jc w:val="both"/>
        <w:ind w:right="80" w:firstLine="881"/>
        <w:spacing w:after="0" w:line="286" w:lineRule="auto"/>
        <w:rPr>
          <w:sz w:val="20"/>
          <w:szCs w:val="20"/>
          <w:color w:val="auto"/>
        </w:rPr>
      </w:pPr>
      <w:r>
        <w:rPr>
          <w:rFonts w:ascii="Arial" w:cs="Arial" w:eastAsia="Arial" w:hAnsi="Arial"/>
          <w:sz w:val="17"/>
          <w:szCs w:val="17"/>
          <w:color w:val="auto"/>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229"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 xml:space="preserve">In June, 2013 the Financial Accounting Standards Board (“FASB”) issued Accounting Standards Update (“ASU”) No 2013-08,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Services – Investment Companies (Topic 946), Amendments to the Scope, Measurement, and Disclosure Requirements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amendments in this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standards update affect the scope, measurement, and disclosure requirements for investment companies under U.S. GAAP, and clarify the characteristics of an investment company, provide comprehensive guidance for assessing whether an entity is an investment company, require that an investment company measure non-controlling ownership interests in other investment companies at fair value rather than using the equity method of accounting, and require additional disclosures. This standard is effective for interim and annual reporting periods in fiscal years that begin after December 15, 2013. The Company has adopted this standard and the required disclosures are presented in the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w:t>
      </w:r>
    </w:p>
    <w:p>
      <w:pPr>
        <w:spacing w:after="0" w:line="229"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The Company’s investment objective is to generate both current income and capital appreciation through debt and equity investments. Both directly and through our subsidiaries that are licensed by the SBA under the SBIC Act, we offer customized financing to business owners, management teams and financial sponsors for change of ownership transactions, recapitalizations, strategic acquisitions, business expansion and other growth initiatives. We invest primarily in traditional mezzanine, senior subordinated and unitranche debt, as well as senior and second-lien loans and, to a lesser extent, equity securities issued by smaller and lower middle-market companies. As of June 30, 2014, our portfolio consisted of investments in 45 portfolio companies with a fair value of approximately $405.6 million.</w:t>
      </w:r>
    </w:p>
    <w:p>
      <w:pPr>
        <w:spacing w:after="0" w:line="193" w:lineRule="exact"/>
        <w:rPr>
          <w:sz w:val="20"/>
          <w:szCs w:val="20"/>
          <w:color w:val="auto"/>
        </w:rPr>
      </w:pPr>
    </w:p>
    <w:p>
      <w:pPr>
        <w:ind w:right="40" w:firstLine="881"/>
        <w:spacing w:after="0" w:line="279" w:lineRule="auto"/>
        <w:rPr>
          <w:sz w:val="20"/>
          <w:szCs w:val="20"/>
          <w:color w:val="auto"/>
        </w:rPr>
      </w:pPr>
      <w:r>
        <w:rPr>
          <w:rFonts w:ascii="Arial" w:cs="Arial" w:eastAsia="Arial" w:hAnsi="Arial"/>
          <w:sz w:val="17"/>
          <w:szCs w:val="17"/>
          <w:color w:val="auto"/>
        </w:rPr>
        <w:t>During the three months ended June 30, 2014, the Company made approximately $22.6 million of investments in new or existing portfolio companies and had approximately $9.4 million in exits and repayments resulting in net investments of approximately $13.2 million for the period. During the three months ended June 30, 2013, the Company made approximately $20.2 million of investments in new or existing portfolio companies and had approximately $15.7 million in exits and repayments resulting in net investments of approximately $4.5 million for the period.</w:t>
      </w:r>
    </w:p>
    <w:p>
      <w:pPr>
        <w:spacing w:after="0" w:line="171" w:lineRule="exact"/>
        <w:rPr>
          <w:sz w:val="20"/>
          <w:szCs w:val="20"/>
          <w:color w:val="auto"/>
        </w:rPr>
      </w:pPr>
    </w:p>
    <w:p>
      <w:pPr>
        <w:ind w:right="220" w:firstLine="881"/>
        <w:spacing w:after="0" w:line="279" w:lineRule="auto"/>
        <w:rPr>
          <w:sz w:val="20"/>
          <w:szCs w:val="20"/>
          <w:color w:val="auto"/>
        </w:rPr>
      </w:pPr>
      <w:r>
        <w:rPr>
          <w:rFonts w:ascii="Arial" w:cs="Arial" w:eastAsia="Arial" w:hAnsi="Arial"/>
          <w:sz w:val="17"/>
          <w:szCs w:val="17"/>
          <w:color w:val="auto"/>
        </w:rPr>
        <w:t>During the six months ended June 30, 2014, the Company made approximately $63.6 million of investments in new or existing portfolio companies and had approximately $20.2 million in exits and repayments resulting in net investments of approximately $43.4 million for the period. During the six months ended June 30, 2013, the Company made approximately $41.4 million of investments in new or existing portfolio companies and had approximately $28.7 million in exits and repayments resulting in net investments of approximately $12.7 million for the period.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4" w:name="page25"/>
    <w:bookmarkEnd w:id="24"/>
    <w:p>
      <w:pPr>
        <w:ind w:right="120" w:firstLine="881"/>
        <w:spacing w:after="0" w:line="273" w:lineRule="auto"/>
        <w:rPr>
          <w:sz w:val="20"/>
          <w:szCs w:val="20"/>
          <w:color w:val="auto"/>
        </w:rPr>
      </w:pPr>
      <w:r>
        <w:rPr>
          <w:rFonts w:ascii="Arial" w:cs="Arial" w:eastAsia="Arial" w:hAnsi="Arial"/>
          <w:sz w:val="17"/>
          <w:szCs w:val="17"/>
          <w:color w:val="auto"/>
        </w:rPr>
        <w:t>During the three and six month periods ended June 30, 2014, all investments were made to portfolio companies in which the Company was not previously contractually obligated to provide financial support. In addition to investing directly in portfolio companies, the Company may assist portfolio companies in securing financing from other sources by introducing portfolio companies to sponsors or by leading a syndicate of investors to provide the portfolio companies with financing. During the six month period ended June 30, 2014, the Company did not lead any syndicates. During the three months ended June 30, 2014 the Company did not assist any portfolio companies in obtaining financing. During the six month periods ended June 30, 2014, the Company helped Print Direction, Inc. obtain a $3.5 million senior revolving credit facility.</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composition of our investments as of June 30, 2014, at amortized cost and fair value were as follows (dollars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0"/>
              </w:rPr>
              <w:t>Amortized Cost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440" w:type="dxa"/>
            <w:vAlign w:val="bottom"/>
            <w:gridSpan w:val="3"/>
          </w:tcPr>
          <w:p>
            <w:pPr>
              <w:ind w:left="40"/>
              <w:spacing w:after="0"/>
              <w:rPr>
                <w:sz w:val="20"/>
                <w:szCs w:val="20"/>
                <w:color w:val="auto"/>
              </w:rPr>
            </w:pPr>
            <w:r>
              <w:rPr>
                <w:rFonts w:ascii="Arial" w:cs="Arial" w:eastAsia="Arial" w:hAnsi="Arial"/>
                <w:sz w:val="18"/>
                <w:szCs w:val="18"/>
                <w:b w:val="1"/>
                <w:bCs w:val="1"/>
                <w:color w:val="auto"/>
              </w:rPr>
              <w:t>Investments at</w:t>
            </w:r>
          </w:p>
        </w:tc>
        <w:tc>
          <w:tcPr>
            <w:tcW w:w="148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87"/>
              </w:rPr>
              <w:t>Percentage of</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7"/>
              </w:rPr>
              <w:t>Investments at</w:t>
            </w:r>
          </w:p>
        </w:tc>
        <w:tc>
          <w:tcPr>
            <w:tcW w:w="120" w:type="dxa"/>
            <w:vAlign w:val="bottom"/>
          </w:tcPr>
          <w:p>
            <w:pPr>
              <w:spacing w:after="0"/>
              <w:rPr>
                <w:sz w:val="18"/>
                <w:szCs w:val="18"/>
                <w:color w:val="auto"/>
              </w:rPr>
            </w:pPr>
          </w:p>
        </w:tc>
        <w:tc>
          <w:tcPr>
            <w:tcW w:w="12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90"/>
              </w:rPr>
              <w:t>Amortized Cost</w:t>
            </w:r>
          </w:p>
        </w:tc>
        <w:tc>
          <w:tcPr>
            <w:tcW w:w="2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Total Portfolio</w:t>
            </w:r>
          </w:p>
        </w:tc>
        <w:tc>
          <w:tcPr>
            <w:tcW w:w="0" w:type="dxa"/>
            <w:vAlign w:val="bottom"/>
          </w:tcPr>
          <w:p>
            <w:pPr>
              <w:spacing w:after="0"/>
              <w:rPr>
                <w:sz w:val="1"/>
                <w:szCs w:val="1"/>
                <w:color w:val="auto"/>
              </w:rPr>
            </w:pPr>
          </w:p>
        </w:tc>
      </w:tr>
      <w:tr>
        <w:trPr>
          <w:trHeight w:val="20"/>
        </w:trPr>
        <w:tc>
          <w:tcPr>
            <w:tcW w:w="5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Senior Secured Debt</w:t>
            </w: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127,026</w:t>
            </w:r>
          </w:p>
        </w:tc>
        <w:tc>
          <w:tcPr>
            <w:tcW w:w="220" w:type="dxa"/>
            <w:vAlign w:val="bottom"/>
            <w:vMerge w:val="continue"/>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128,913</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Subordinated Debt</w:t>
            </w: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156,534</w:t>
            </w:r>
          </w:p>
        </w:tc>
        <w:tc>
          <w:tcPr>
            <w:tcW w:w="1480" w:type="dxa"/>
            <w:vAlign w:val="bottom"/>
            <w:gridSpan w:val="2"/>
          </w:tcPr>
          <w:p>
            <w:pPr>
              <w:jc w:val="right"/>
              <w:ind w:right="190"/>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151,683</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64,186</w:t>
            </w:r>
          </w:p>
        </w:tc>
        <w:tc>
          <w:tcPr>
            <w:tcW w:w="14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124,963</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347,746</w:t>
            </w:r>
          </w:p>
        </w:tc>
        <w:tc>
          <w:tcPr>
            <w:tcW w:w="22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405,559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composition of our investments as of December 31, 2013, at amortized cost and fair value were as follows (dollars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0"/>
              </w:rPr>
              <w:t>Amortized Cost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440" w:type="dxa"/>
            <w:vAlign w:val="bottom"/>
            <w:gridSpan w:val="3"/>
          </w:tcPr>
          <w:p>
            <w:pPr>
              <w:ind w:left="40"/>
              <w:spacing w:after="0"/>
              <w:rPr>
                <w:sz w:val="20"/>
                <w:szCs w:val="20"/>
                <w:color w:val="auto"/>
              </w:rPr>
            </w:pPr>
            <w:r>
              <w:rPr>
                <w:rFonts w:ascii="Arial" w:cs="Arial" w:eastAsia="Arial" w:hAnsi="Arial"/>
                <w:sz w:val="18"/>
                <w:szCs w:val="18"/>
                <w:b w:val="1"/>
                <w:bCs w:val="1"/>
                <w:color w:val="auto"/>
              </w:rPr>
              <w:t>Investments at</w:t>
            </w:r>
          </w:p>
        </w:tc>
        <w:tc>
          <w:tcPr>
            <w:tcW w:w="148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87"/>
              </w:rPr>
              <w:t>Percentage of</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7"/>
              </w:rPr>
              <w:t>Investments at</w:t>
            </w:r>
          </w:p>
        </w:tc>
        <w:tc>
          <w:tcPr>
            <w:tcW w:w="120" w:type="dxa"/>
            <w:vAlign w:val="bottom"/>
          </w:tcPr>
          <w:p>
            <w:pPr>
              <w:spacing w:after="0"/>
              <w:rPr>
                <w:sz w:val="18"/>
                <w:szCs w:val="18"/>
                <w:color w:val="auto"/>
              </w:rPr>
            </w:pPr>
          </w:p>
        </w:tc>
        <w:tc>
          <w:tcPr>
            <w:tcW w:w="12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90"/>
              </w:rPr>
              <w:t>Amortized Cost</w:t>
            </w:r>
          </w:p>
        </w:tc>
        <w:tc>
          <w:tcPr>
            <w:tcW w:w="2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Total Portfolio</w:t>
            </w:r>
          </w:p>
        </w:tc>
        <w:tc>
          <w:tcPr>
            <w:tcW w:w="0" w:type="dxa"/>
            <w:vAlign w:val="bottom"/>
          </w:tcPr>
          <w:p>
            <w:pPr>
              <w:spacing w:after="0"/>
              <w:rPr>
                <w:sz w:val="1"/>
                <w:szCs w:val="1"/>
                <w:color w:val="auto"/>
              </w:rPr>
            </w:pPr>
          </w:p>
        </w:tc>
      </w:tr>
      <w:tr>
        <w:trPr>
          <w:trHeight w:val="20"/>
        </w:trPr>
        <w:tc>
          <w:tcPr>
            <w:tcW w:w="5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Senior Secured Debt</w:t>
            </w: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103,457</w:t>
            </w:r>
          </w:p>
        </w:tc>
        <w:tc>
          <w:tcPr>
            <w:tcW w:w="220" w:type="dxa"/>
            <w:vAlign w:val="bottom"/>
            <w:vMerge w:val="continue"/>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102,071</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Subordinated Debt</w:t>
            </w: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136,638</w:t>
            </w:r>
          </w:p>
        </w:tc>
        <w:tc>
          <w:tcPr>
            <w:tcW w:w="1480" w:type="dxa"/>
            <w:vAlign w:val="bottom"/>
            <w:gridSpan w:val="2"/>
          </w:tcPr>
          <w:p>
            <w:pPr>
              <w:jc w:val="right"/>
              <w:ind w:right="190"/>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133,710</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61,204</w:t>
            </w:r>
          </w:p>
        </w:tc>
        <w:tc>
          <w:tcPr>
            <w:tcW w:w="14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128,938</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301,299</w:t>
            </w:r>
          </w:p>
        </w:tc>
        <w:tc>
          <w:tcPr>
            <w:tcW w:w="22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364,719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81"/>
        <w:spacing w:after="0" w:line="264" w:lineRule="auto"/>
        <w:rPr>
          <w:sz w:val="20"/>
          <w:szCs w:val="20"/>
          <w:color w:val="auto"/>
        </w:rPr>
      </w:pPr>
      <w:r>
        <w:rPr>
          <w:rFonts w:ascii="Arial" w:cs="Arial" w:eastAsia="Arial" w:hAnsi="Arial"/>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ind w:right="220" w:firstLine="881"/>
        <w:spacing w:after="0" w:line="302" w:lineRule="auto"/>
        <w:rPr>
          <w:sz w:val="20"/>
          <w:szCs w:val="20"/>
          <w:color w:val="auto"/>
        </w:rPr>
      </w:pPr>
      <w:r>
        <w:rPr>
          <w:rFonts w:ascii="Arial" w:cs="Arial" w:eastAsia="Arial" w:hAnsi="Arial"/>
          <w:sz w:val="16"/>
          <w:szCs w:val="16"/>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54" w:lineRule="exact"/>
        <w:rPr>
          <w:sz w:val="20"/>
          <w:szCs w:val="20"/>
          <w:color w:val="auto"/>
        </w:rPr>
      </w:pPr>
    </w:p>
    <w:p>
      <w:pPr>
        <w:ind w:right="100" w:firstLine="881"/>
        <w:spacing w:after="0" w:line="264"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181" w:lineRule="exact"/>
        <w:rPr>
          <w:sz w:val="20"/>
          <w:szCs w:val="20"/>
          <w:color w:val="auto"/>
        </w:rPr>
      </w:pPr>
    </w:p>
    <w:p>
      <w:pPr>
        <w:ind w:left="1840" w:right="160" w:hanging="576"/>
        <w:spacing w:after="0" w:line="277" w:lineRule="auto"/>
        <w:tabs>
          <w:tab w:leader="none" w:pos="1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has the ability to access.</w:t>
      </w:r>
    </w:p>
    <w:p>
      <w:pPr>
        <w:spacing w:after="0" w:line="170" w:lineRule="exact"/>
        <w:rPr>
          <w:rFonts w:ascii="Arial" w:cs="Arial" w:eastAsia="Arial" w:hAnsi="Arial"/>
          <w:sz w:val="18"/>
          <w:szCs w:val="18"/>
          <w:color w:val="auto"/>
        </w:rPr>
      </w:pPr>
    </w:p>
    <w:p>
      <w:pPr>
        <w:ind w:left="1840" w:hanging="576"/>
        <w:spacing w:after="0"/>
        <w:tabs>
          <w:tab w:leader="none" w:pos="1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2—Valuations based on inputs other than quoted prices in active markets, which are either directly or indirectly observable.</w:t>
      </w:r>
    </w:p>
    <w:p>
      <w:pPr>
        <w:spacing w:after="0" w:line="248" w:lineRule="exact"/>
        <w:rPr>
          <w:rFonts w:ascii="Arial" w:cs="Arial" w:eastAsia="Arial" w:hAnsi="Arial"/>
          <w:sz w:val="16"/>
          <w:szCs w:val="16"/>
          <w:color w:val="auto"/>
        </w:rPr>
      </w:pPr>
    </w:p>
    <w:p>
      <w:pPr>
        <w:ind w:left="1840" w:hanging="576"/>
        <w:spacing w:after="0"/>
        <w:tabs>
          <w:tab w:leader="none" w:pos="1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81" w:right="339" w:bottom="1440" w:gutter="0" w:footer="0" w:header="0"/>
        </w:sectPr>
      </w:pPr>
    </w:p>
    <w:bookmarkStart w:id="25" w:name="page26"/>
    <w:bookmarkEnd w:id="25"/>
    <w:p>
      <w:pPr>
        <w:ind w:right="60" w:firstLine="881"/>
        <w:spacing w:after="0" w:line="264" w:lineRule="auto"/>
        <w:rPr>
          <w:sz w:val="20"/>
          <w:szCs w:val="20"/>
          <w:color w:val="auto"/>
        </w:rPr>
      </w:pPr>
      <w:r>
        <w:rPr>
          <w:rFonts w:ascii="Arial" w:cs="Arial" w:eastAsia="Arial" w:hAnsi="Arial"/>
          <w:sz w:val="18"/>
          <w:szCs w:val="18"/>
          <w:color w:val="auto"/>
        </w:rPr>
        <w:t>In addition to using the above inputs in investment valuations, the Company continues to employ the valuation policy approved by the Board that is consistent with ASC 820 (See Note 2). Consistent with our Company’s valuation policy, we evaluate the source of inputs, including any markets in which our investments are trading, in determining fair value.</w:t>
      </w:r>
    </w:p>
    <w:p>
      <w:pPr>
        <w:spacing w:after="0" w:line="181" w:lineRule="exact"/>
        <w:rPr>
          <w:sz w:val="20"/>
          <w:szCs w:val="20"/>
          <w:color w:val="auto"/>
        </w:rPr>
      </w:pPr>
    </w:p>
    <w:p>
      <w:pPr>
        <w:ind w:right="140" w:firstLine="881"/>
        <w:spacing w:after="0" w:line="312" w:lineRule="auto"/>
        <w:rPr>
          <w:sz w:val="20"/>
          <w:szCs w:val="20"/>
          <w:color w:val="auto"/>
        </w:rPr>
      </w:pPr>
      <w:r>
        <w:rPr>
          <w:rFonts w:ascii="Arial" w:cs="Arial" w:eastAsia="Arial" w:hAnsi="Arial"/>
          <w:sz w:val="16"/>
          <w:szCs w:val="16"/>
          <w:color w:val="auto"/>
        </w:rPr>
        <w:t>In estimating fair value of portfolio investments, the Company starts with the cost basis of the investment, which includes amortized original issue discount and PIK interest and dividends,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4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valuation methodologies are utilized by the company in estimating fair value and are summarized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ind w:right="20" w:firstLine="881"/>
        <w:spacing w:after="0" w:line="270" w:lineRule="auto"/>
        <w:rPr>
          <w:sz w:val="20"/>
          <w:szCs w:val="20"/>
          <w:color w:val="auto"/>
        </w:rPr>
      </w:pPr>
      <w:r>
        <w:rPr>
          <w:rFonts w:ascii="Arial" w:cs="Arial" w:eastAsia="Arial" w:hAnsi="Arial"/>
          <w:sz w:val="17"/>
          <w:szCs w:val="17"/>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When available, the Company may assign a pricing multiple or value its equity investments based on the value of recent investment transactions in the subject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jc w:val="both"/>
        <w:ind w:right="260" w:firstLine="881"/>
        <w:spacing w:after="0" w:line="264" w:lineRule="auto"/>
        <w:rPr>
          <w:sz w:val="20"/>
          <w:szCs w:val="20"/>
          <w:color w:val="auto"/>
        </w:rPr>
      </w:pPr>
      <w:r>
        <w:rPr>
          <w:rFonts w:ascii="Arial" w:cs="Arial" w:eastAsia="Arial" w:hAnsi="Arial"/>
          <w:sz w:val="18"/>
          <w:szCs w:val="18"/>
          <w:color w:val="auto"/>
        </w:rPr>
        <w:t>The income approach utilizes a discounted cash flow methodology in which the Company estimates fair value based on the present value of a stream of expected cash flows discounted at a market rate of interest. The determination of a discount rate, or required rate of return, takes into account the portfolio company’s fundamentals and perceived credit risk.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Approach</w:t>
      </w:r>
    </w:p>
    <w:p>
      <w:pPr>
        <w:spacing w:after="0" w:line="225" w:lineRule="exact"/>
        <w:rPr>
          <w:sz w:val="20"/>
          <w:szCs w:val="20"/>
          <w:color w:val="auto"/>
        </w:rPr>
      </w:pPr>
    </w:p>
    <w:p>
      <w:pPr>
        <w:ind w:right="80" w:firstLine="881"/>
        <w:spacing w:after="0" w:line="312" w:lineRule="auto"/>
        <w:rPr>
          <w:sz w:val="20"/>
          <w:szCs w:val="20"/>
          <w:color w:val="auto"/>
        </w:rPr>
      </w:pPr>
      <w:r>
        <w:rPr>
          <w:rFonts w:ascii="Arial" w:cs="Arial" w:eastAsia="Arial" w:hAnsi="Arial"/>
          <w:sz w:val="16"/>
          <w:szCs w:val="16"/>
          <w:color w:val="auto"/>
        </w:rPr>
        <w:t>The asset approach values an investment based on the greater of the enterprise value or the underlying collateral securing the investment. See discussion of determining enterprise value above. This approach is used when the debt is not performing in accordance with its contractual terms or when the Company has reason to believe that it will not collect all principal and interest in accordance with the contractual terms of the debt agreement.</w:t>
      </w:r>
    </w:p>
    <w:p>
      <w:pPr>
        <w:spacing w:after="0" w:line="147" w:lineRule="exact"/>
        <w:rPr>
          <w:sz w:val="20"/>
          <w:szCs w:val="20"/>
          <w:color w:val="auto"/>
        </w:rPr>
      </w:pPr>
    </w:p>
    <w:p>
      <w:pPr>
        <w:ind w:right="100" w:firstLine="881"/>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June 30, 2014 (dollars in thousands), according to the fair value hierarchy: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8"/>
                <w:szCs w:val="18"/>
                <w:b w:val="1"/>
                <w:bCs w:val="1"/>
                <w:color w:val="auto"/>
                <w:w w:val="99"/>
              </w:rPr>
              <w:t>Fair Value Measurements</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38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3</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Debt</w:t>
            </w:r>
          </w:p>
        </w:tc>
        <w:tc>
          <w:tcPr>
            <w:tcW w:w="2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128,913</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Subordinated Debt</w:t>
            </w:r>
          </w:p>
        </w:tc>
        <w:tc>
          <w:tcPr>
            <w:tcW w:w="2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151,683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151,683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2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124,963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124,963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Total</w:t>
            </w:r>
          </w:p>
        </w:tc>
        <w:tc>
          <w:tcPr>
            <w:tcW w:w="23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405,559</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405,559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360" w:type="dxa"/>
            <w:vAlign w:val="bottom"/>
            <w:vMerge w:val="restart"/>
          </w:tcPr>
          <w:p>
            <w:pPr>
              <w:jc w:val="right"/>
              <w:ind w:right="190"/>
              <w:spacing w:after="0"/>
              <w:rPr>
                <w:sz w:val="20"/>
                <w:szCs w:val="20"/>
                <w:color w:val="auto"/>
              </w:rPr>
            </w:pPr>
            <w:r>
              <w:rPr>
                <w:rFonts w:ascii="Arial" w:cs="Arial" w:eastAsia="Arial" w:hAnsi="Arial"/>
                <w:sz w:val="18"/>
                <w:szCs w:val="18"/>
                <w:color w:val="auto"/>
              </w:rPr>
              <w:t>23</w:t>
            </w: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26" w:name="page27"/>
    <w:bookmarkEnd w:id="26"/>
    <w:p>
      <w:pPr>
        <w:ind w:right="140" w:firstLine="881"/>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December 31, 2013 (dollars in thousands), according to the fair value hierarchy:</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ind w:left="200"/>
              <w:spacing w:after="0"/>
              <w:rPr>
                <w:sz w:val="20"/>
                <w:szCs w:val="20"/>
                <w:color w:val="auto"/>
              </w:rPr>
            </w:pPr>
            <w:r>
              <w:rPr>
                <w:rFonts w:ascii="Arial" w:cs="Arial" w:eastAsia="Arial" w:hAnsi="Arial"/>
                <w:sz w:val="18"/>
                <w:szCs w:val="18"/>
                <w:b w:val="1"/>
                <w:bCs w:val="1"/>
                <w:color w:val="auto"/>
              </w:rPr>
              <w:t>Fair Value Measurements</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Debt</w:t>
            </w: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102,071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Subordinated Debt</w:t>
            </w:r>
          </w:p>
        </w:tc>
        <w:tc>
          <w:tcPr>
            <w:tcW w:w="86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133,710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133,710</w:t>
            </w:r>
          </w:p>
        </w:tc>
        <w:tc>
          <w:tcPr>
            <w:tcW w:w="80" w:type="dxa"/>
            <w:vAlign w:val="bottom"/>
          </w:tcPr>
          <w:p>
            <w:pPr>
              <w:spacing w:after="0"/>
              <w:rPr>
                <w:sz w:val="18"/>
                <w:szCs w:val="18"/>
                <w:color w:val="auto"/>
              </w:rPr>
            </w:pPr>
          </w:p>
        </w:tc>
      </w:tr>
      <w:tr>
        <w:trPr>
          <w:trHeight w:val="23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128,938</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128,938</w:t>
            </w:r>
          </w:p>
        </w:tc>
        <w:tc>
          <w:tcPr>
            <w:tcW w:w="80" w:type="dxa"/>
            <w:vAlign w:val="bottom"/>
            <w:shd w:val="clear" w:color="auto" w:fill="CCEEFF"/>
          </w:tcPr>
          <w:p>
            <w:pPr>
              <w:spacing w:after="0"/>
              <w:rPr>
                <w:sz w:val="19"/>
                <w:szCs w:val="19"/>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364,719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364,719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80" w:firstLine="881"/>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six months ended June 30, 2014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Senior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Equity</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Secured</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Subordinated</w:t>
            </w: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and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Debt</w:t>
            </w:r>
          </w:p>
        </w:tc>
        <w:tc>
          <w:tcPr>
            <w:tcW w:w="240" w:type="dxa"/>
            <w:vAlign w:val="bottom"/>
          </w:tcPr>
          <w:p>
            <w:pPr>
              <w:spacing w:after="0"/>
              <w:rPr>
                <w:sz w:val="20"/>
                <w:szCs w:val="20"/>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Debt</w:t>
            </w:r>
          </w:p>
        </w:tc>
        <w:tc>
          <w:tcPr>
            <w:tcW w:w="16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Warrants</w:t>
            </w: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2014</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102,071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133,710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128,938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Change in classification due to restructure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(14,073)</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14,073</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Repayments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(9,401)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(9,100)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(1,659)</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(20,160)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Purchases</w:t>
            </w: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49,657</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11,159</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2,768</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63,584</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Payment in-kind interest and dividends, net of payments received</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Realized gain from investments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1,627</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Increase/(decrease) in net unrealized appreciation</w:t>
            </w:r>
          </w:p>
        </w:tc>
        <w:tc>
          <w:tcPr>
            <w:tcW w:w="1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248</w:t>
            </w: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1,144</w:t>
            </w: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(6,999)</w:t>
            </w: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(5,607)</w:t>
            </w:r>
          </w:p>
        </w:tc>
      </w:tr>
      <w:tr>
        <w:trPr>
          <w:trHeight w:val="223"/>
        </w:trPr>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2014</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128,913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151,683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405,559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three months ended June 30, 2013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Senior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Equity</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Secured</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Subordinated</w:t>
            </w: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and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Debt</w:t>
            </w:r>
          </w:p>
        </w:tc>
        <w:tc>
          <w:tcPr>
            <w:tcW w:w="240" w:type="dxa"/>
            <w:vAlign w:val="bottom"/>
          </w:tcPr>
          <w:p>
            <w:pPr>
              <w:spacing w:after="0"/>
              <w:rPr>
                <w:sz w:val="20"/>
                <w:szCs w:val="20"/>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Debt</w:t>
            </w:r>
          </w:p>
        </w:tc>
        <w:tc>
          <w:tcPr>
            <w:tcW w:w="16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Warrants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2013</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73,638</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101,659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108,634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Repayments</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(375)</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(27,981)</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(28,721)</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23,855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15,050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41,380</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Payment in-kind interest and dividends, net of payments received</w:t>
            </w: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230</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335</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Accretion of original issue discount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Realized gain from investments</w:t>
            </w: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18"/>
                <w:szCs w:val="18"/>
                <w:color w:val="auto"/>
              </w:rPr>
            </w:pPr>
          </w:p>
        </w:tc>
      </w:tr>
      <w:tr>
        <w:trPr>
          <w:trHeight w:val="23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Increase/(decrease) in net unrealized appreciation</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545</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(1,211)</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5,839</w:t>
            </w:r>
          </w:p>
        </w:tc>
        <w:tc>
          <w:tcPr>
            <w:tcW w:w="80" w:type="dxa"/>
            <w:vAlign w:val="bottom"/>
            <w:shd w:val="clear" w:color="auto" w:fill="CCEEFF"/>
          </w:tcPr>
          <w:p>
            <w:pPr>
              <w:spacing w:after="0"/>
              <w:rPr>
                <w:sz w:val="19"/>
                <w:szCs w:val="19"/>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Balance as of June 30, 2013</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97,896</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87,883</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117,614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303,393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The net change in unrealized depreciation on investments held as of June 30, 2014 was $5.6 million and is included in net unrealized depreciation on investments in the consolidated statements of operations for the six months ended June 30, 2014. The net change in unrealized appreciation on investments held as of June 30, 2013 was $6.1 million and is included in net unrealized appreciation on investments in the consolidated statements of operations for the six months ended June 30, 2014.</w:t>
      </w:r>
    </w:p>
    <w:p>
      <w:pPr>
        <w:spacing w:after="0" w:line="187" w:lineRule="exact"/>
        <w:rPr>
          <w:sz w:val="20"/>
          <w:szCs w:val="20"/>
          <w:color w:val="auto"/>
        </w:rPr>
      </w:pPr>
    </w:p>
    <w:p>
      <w:pPr>
        <w:ind w:right="320" w:firstLine="923"/>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June 30, 2014 were as follows (dollars in thousands, except EBITDA amounts):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ind w:left="42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94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Valuation Approach</w:t>
            </w:r>
          </w:p>
        </w:tc>
        <w:tc>
          <w:tcPr>
            <w:tcW w:w="1900" w:type="dxa"/>
            <w:vAlign w:val="bottom"/>
            <w:gridSpan w:val="2"/>
          </w:tcPr>
          <w:p>
            <w:pPr>
              <w:ind w:left="380"/>
              <w:spacing w:after="0"/>
              <w:rPr>
                <w:sz w:val="20"/>
                <w:szCs w:val="20"/>
                <w:color w:val="auto"/>
              </w:rPr>
            </w:pPr>
            <w:r>
              <w:rPr>
                <w:rFonts w:ascii="Arial" w:cs="Arial" w:eastAsia="Arial" w:hAnsi="Arial"/>
                <w:sz w:val="18"/>
                <w:szCs w:val="18"/>
                <w:b w:val="1"/>
                <w:bCs w:val="1"/>
                <w:color w:val="auto"/>
              </w:rPr>
              <w:t>Level 3 Input</w:t>
            </w:r>
          </w:p>
        </w:tc>
        <w:tc>
          <w:tcPr>
            <w:tcW w:w="2160" w:type="dxa"/>
            <w:vAlign w:val="bottom"/>
            <w:gridSpan w:val="2"/>
          </w:tcPr>
          <w:p>
            <w:pPr>
              <w:ind w:left="400"/>
              <w:spacing w:after="0"/>
              <w:rPr>
                <w:sz w:val="20"/>
                <w:szCs w:val="20"/>
                <w:color w:val="auto"/>
              </w:rPr>
            </w:pPr>
            <w:r>
              <w:rPr>
                <w:rFonts w:ascii="Arial" w:cs="Arial" w:eastAsia="Arial" w:hAnsi="Arial"/>
                <w:sz w:val="18"/>
                <w:szCs w:val="18"/>
                <w:b w:val="1"/>
                <w:bCs w:val="1"/>
                <w:color w:val="auto"/>
              </w:rPr>
              <w:t>Range of Inputs</w:t>
            </w:r>
          </w:p>
        </w:tc>
        <w:tc>
          <w:tcPr>
            <w:tcW w:w="1660" w:type="dxa"/>
            <w:vAlign w:val="bottom"/>
            <w:gridSpan w:val="2"/>
          </w:tcPr>
          <w:p>
            <w:pPr>
              <w:ind w:left="46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Subordinated debt and</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Required Rate of Return</w:t>
            </w: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9.0% - 25.0%</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second lien notes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1.4x – 6.8x</w:t>
            </w:r>
          </w:p>
        </w:tc>
        <w:tc>
          <w:tcPr>
            <w:tcW w:w="1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4.1x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128,792</w:t>
            </w:r>
          </w:p>
        </w:tc>
        <w:tc>
          <w:tcPr>
            <w:tcW w:w="120" w:type="dxa"/>
            <w:vAlign w:val="bottom"/>
            <w:shd w:val="clear" w:color="auto" w:fill="CCEEFF"/>
          </w:tcPr>
          <w:p>
            <w:pPr>
              <w:spacing w:after="0"/>
              <w:rPr>
                <w:sz w:val="20"/>
                <w:szCs w:val="20"/>
                <w:color w:val="auto"/>
              </w:rPr>
            </w:pPr>
          </w:p>
        </w:tc>
        <w:tc>
          <w:tcPr>
            <w:tcW w:w="2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Income</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 million-$109.0 million</w:t>
            </w:r>
          </w:p>
        </w:tc>
        <w:tc>
          <w:tcPr>
            <w:tcW w:w="1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$18.6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Subordinated debt and</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Adjusted EBITDA</w:t>
            </w: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second lien notes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Enterprise Value</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Multiple</w:t>
            </w: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5.0x – 5.0x</w:t>
            </w:r>
          </w:p>
        </w:tc>
        <w:tc>
          <w:tcPr>
            <w:tcW w:w="1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5.0x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22,891</w:t>
            </w:r>
          </w:p>
        </w:tc>
        <w:tc>
          <w:tcPr>
            <w:tcW w:w="2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Waterfall and Asset (1)</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 million - $2.8 million</w:t>
            </w:r>
          </w:p>
        </w:tc>
        <w:tc>
          <w:tcPr>
            <w:tcW w:w="1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$2.3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debt and first</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Required Rate of Return</w:t>
            </w: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11.9% - 22.0%</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lien notes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0.7x – 6.8x</w:t>
            </w:r>
          </w:p>
        </w:tc>
        <w:tc>
          <w:tcPr>
            <w:tcW w:w="1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3.3x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128,913</w:t>
            </w:r>
          </w:p>
        </w:tc>
        <w:tc>
          <w:tcPr>
            <w:tcW w:w="120" w:type="dxa"/>
            <w:vAlign w:val="bottom"/>
            <w:shd w:val="clear" w:color="auto" w:fill="CCEEFF"/>
          </w:tcPr>
          <w:p>
            <w:pPr>
              <w:spacing w:after="0"/>
              <w:rPr>
                <w:sz w:val="20"/>
                <w:szCs w:val="20"/>
                <w:color w:val="auto"/>
              </w:rPr>
            </w:pPr>
          </w:p>
        </w:tc>
        <w:tc>
          <w:tcPr>
            <w:tcW w:w="2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Income and Asset (1)</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 million- $36.6 million</w:t>
            </w:r>
          </w:p>
        </w:tc>
        <w:tc>
          <w:tcPr>
            <w:tcW w:w="1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$10.6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shares and</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Adjusted EBITDA</w:t>
            </w: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warrants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Enterprise Value</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Multiple</w:t>
            </w: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2.5x – 9.5x</w:t>
            </w:r>
          </w:p>
        </w:tc>
        <w:tc>
          <w:tcPr>
            <w:tcW w:w="1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7.2x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124,963</w:t>
            </w:r>
          </w:p>
        </w:tc>
        <w:tc>
          <w:tcPr>
            <w:tcW w:w="120" w:type="dxa"/>
            <w:vAlign w:val="bottom"/>
            <w:shd w:val="clear" w:color="auto" w:fill="CCEEFF"/>
          </w:tcPr>
          <w:p>
            <w:pPr>
              <w:spacing w:after="0"/>
              <w:rPr>
                <w:sz w:val="20"/>
                <w:szCs w:val="20"/>
                <w:color w:val="auto"/>
              </w:rPr>
            </w:pPr>
          </w:p>
        </w:tc>
        <w:tc>
          <w:tcPr>
            <w:tcW w:w="2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Waterfall</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 million -$229.0 million</w:t>
            </w:r>
          </w:p>
        </w:tc>
        <w:tc>
          <w:tcPr>
            <w:tcW w:w="1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$24.9 million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  $19.7 million in subordinated notes and $9.1 million senior notes were valued using the asset approach.</w:t>
      </w:r>
    </w:p>
    <w:p>
      <w:pPr>
        <w:spacing w:after="0" w:line="225" w:lineRule="exact"/>
        <w:rPr>
          <w:sz w:val="20"/>
          <w:szCs w:val="20"/>
          <w:color w:val="auto"/>
        </w:rPr>
      </w:pPr>
    </w:p>
    <w:p>
      <w:pPr>
        <w:ind w:right="360" w:firstLine="881"/>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December 31, 2013 were as follows (dollars in thousands, except EBITDA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94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Valuation Approach</w:t>
            </w:r>
          </w:p>
        </w:tc>
        <w:tc>
          <w:tcPr>
            <w:tcW w:w="1900" w:type="dxa"/>
            <w:vAlign w:val="bottom"/>
            <w:gridSpan w:val="2"/>
          </w:tcPr>
          <w:p>
            <w:pPr>
              <w:ind w:left="380"/>
              <w:spacing w:after="0"/>
              <w:rPr>
                <w:sz w:val="20"/>
                <w:szCs w:val="20"/>
                <w:color w:val="auto"/>
              </w:rPr>
            </w:pPr>
            <w:r>
              <w:rPr>
                <w:rFonts w:ascii="Arial" w:cs="Arial" w:eastAsia="Arial" w:hAnsi="Arial"/>
                <w:sz w:val="18"/>
                <w:szCs w:val="18"/>
                <w:b w:val="1"/>
                <w:bCs w:val="1"/>
                <w:color w:val="auto"/>
              </w:rPr>
              <w:t>Level 3 Input</w:t>
            </w:r>
          </w:p>
        </w:tc>
        <w:tc>
          <w:tcPr>
            <w:tcW w:w="2060" w:type="dxa"/>
            <w:vAlign w:val="bottom"/>
          </w:tcPr>
          <w:p>
            <w:pPr>
              <w:ind w:left="400"/>
              <w:spacing w:after="0"/>
              <w:rPr>
                <w:sz w:val="20"/>
                <w:szCs w:val="20"/>
                <w:color w:val="auto"/>
              </w:rPr>
            </w:pPr>
            <w:r>
              <w:rPr>
                <w:rFonts w:ascii="Arial" w:cs="Arial" w:eastAsia="Arial" w:hAnsi="Arial"/>
                <w:sz w:val="18"/>
                <w:szCs w:val="18"/>
                <w:b w:val="1"/>
                <w:bCs w:val="1"/>
                <w:color w:val="auto"/>
              </w:rPr>
              <w:t>Range of Inputs</w:t>
            </w:r>
          </w:p>
        </w:tc>
        <w:tc>
          <w:tcPr>
            <w:tcW w:w="1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Subordinated debt and</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Required Rate of Return</w:t>
            </w: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7.0% - 18.0%</w:t>
            </w:r>
          </w:p>
        </w:tc>
        <w:tc>
          <w:tcPr>
            <w:tcW w:w="176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second lien notes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1.2x – 4.6x</w:t>
            </w:r>
          </w:p>
        </w:tc>
        <w:tc>
          <w:tcPr>
            <w:tcW w:w="1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3.1x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111,711</w:t>
            </w:r>
          </w:p>
        </w:tc>
        <w:tc>
          <w:tcPr>
            <w:tcW w:w="120" w:type="dxa"/>
            <w:vAlign w:val="bottom"/>
            <w:shd w:val="clear" w:color="auto" w:fill="CCEEFF"/>
          </w:tcPr>
          <w:p>
            <w:pPr>
              <w:spacing w:after="0"/>
              <w:rPr>
                <w:sz w:val="20"/>
                <w:szCs w:val="20"/>
                <w:color w:val="auto"/>
              </w:rPr>
            </w:pPr>
          </w:p>
        </w:tc>
        <w:tc>
          <w:tcPr>
            <w:tcW w:w="2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Income</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$2.3 million-$25.8 million</w:t>
            </w:r>
          </w:p>
        </w:tc>
        <w:tc>
          <w:tcPr>
            <w:tcW w:w="1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$11.2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Subordinated debt and</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Adjusted EBITDA</w:t>
            </w: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second lien notes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Enterprise Value</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Multiple</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4.3x – 11.5x</w:t>
            </w:r>
          </w:p>
        </w:tc>
        <w:tc>
          <w:tcPr>
            <w:tcW w:w="1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9.5x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21,999</w:t>
            </w:r>
          </w:p>
        </w:tc>
        <w:tc>
          <w:tcPr>
            <w:tcW w:w="2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Waterfall and Asset (1)</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$1.3 million - $2.2 million</w:t>
            </w:r>
          </w:p>
        </w:tc>
        <w:tc>
          <w:tcPr>
            <w:tcW w:w="1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debt and first</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Required Rate of Return</w:t>
            </w: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10.0% - 24.5%</w:t>
            </w:r>
          </w:p>
        </w:tc>
        <w:tc>
          <w:tcPr>
            <w:tcW w:w="176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lien notes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1.2x – 9.9x</w:t>
            </w:r>
          </w:p>
        </w:tc>
        <w:tc>
          <w:tcPr>
            <w:tcW w:w="1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3.8x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102,071</w:t>
            </w:r>
          </w:p>
        </w:tc>
        <w:tc>
          <w:tcPr>
            <w:tcW w:w="120" w:type="dxa"/>
            <w:vAlign w:val="bottom"/>
            <w:shd w:val="clear" w:color="auto" w:fill="CCEEFF"/>
          </w:tcPr>
          <w:p>
            <w:pPr>
              <w:spacing w:after="0"/>
              <w:rPr>
                <w:sz w:val="20"/>
                <w:szCs w:val="20"/>
                <w:color w:val="auto"/>
              </w:rPr>
            </w:pPr>
          </w:p>
        </w:tc>
        <w:tc>
          <w:tcPr>
            <w:tcW w:w="2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Income and Asset (1)</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$0.6 million- $29.7 million</w:t>
            </w:r>
          </w:p>
        </w:tc>
        <w:tc>
          <w:tcPr>
            <w:tcW w:w="1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$11.2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shares and</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Adjusted EBITDA</w:t>
            </w: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warrants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Multiple</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1.6x – 9.5x</w:t>
            </w:r>
          </w:p>
        </w:tc>
        <w:tc>
          <w:tcPr>
            <w:tcW w:w="1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7.1x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Enterprise Value</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w w:val="95"/>
              </w:rPr>
              <w:t>$1.4 million -$229.0 million</w:t>
            </w:r>
          </w:p>
        </w:tc>
        <w:tc>
          <w:tcPr>
            <w:tcW w:w="1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$23.8 million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128,938</w:t>
            </w:r>
          </w:p>
        </w:tc>
        <w:tc>
          <w:tcPr>
            <w:tcW w:w="120" w:type="dxa"/>
            <w:vAlign w:val="bottom"/>
            <w:shd w:val="clear" w:color="auto" w:fill="CCEEFF"/>
          </w:tcPr>
          <w:p>
            <w:pPr>
              <w:spacing w:after="0"/>
              <w:rPr>
                <w:sz w:val="20"/>
                <w:szCs w:val="20"/>
                <w:color w:val="auto"/>
              </w:rPr>
            </w:pPr>
          </w:p>
        </w:tc>
        <w:tc>
          <w:tcPr>
            <w:tcW w:w="2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Waterfall</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 Price</w:t>
            </w: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c>
          <w:tcPr>
            <w:tcW w:w="1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20" w:right="3080" w:hanging="5261"/>
        <w:spacing w:after="0" w:line="778" w:lineRule="auto"/>
        <w:tabs>
          <w:tab w:leader="none" w:pos="693" w:val="left"/>
        </w:tabs>
        <w:numPr>
          <w:ilvl w:val="0"/>
          <w:numId w:val="6"/>
        </w:numPr>
        <w:rPr>
          <w:rFonts w:ascii="Arial" w:cs="Arial" w:eastAsia="Arial" w:hAnsi="Arial"/>
          <w:sz w:val="18"/>
          <w:szCs w:val="18"/>
          <w:color w:val="auto"/>
        </w:rPr>
      </w:pPr>
      <w:r>
        <w:rPr>
          <w:rFonts w:ascii="Arial" w:cs="Arial" w:eastAsia="Arial" w:hAnsi="Arial"/>
          <w:sz w:val="18"/>
          <w:szCs w:val="18"/>
          <w:color w:val="auto"/>
        </w:rPr>
        <w:t>$15.0 million in subordinated notes and $3.6 million in senior notes were valued using the asset approach.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8" w:name="page29"/>
    <w:bookmarkEnd w:id="28"/>
    <w:p>
      <w:pPr>
        <w:ind w:firstLine="881"/>
        <w:spacing w:after="0" w:line="279" w:lineRule="auto"/>
        <w:rPr>
          <w:sz w:val="20"/>
          <w:szCs w:val="20"/>
          <w:color w:val="auto"/>
        </w:rPr>
      </w:pPr>
      <w:r>
        <w:rPr>
          <w:rFonts w:ascii="Arial" w:cs="Arial" w:eastAsia="Arial" w:hAnsi="Arial"/>
          <w:sz w:val="17"/>
          <w:szCs w:val="17"/>
          <w:color w:val="auto"/>
        </w:rPr>
        <w:t>The significant unobservable inputs used in the valuation of the Company’s debt and equity investments are required rate of return, adjusted EBITDA, EBITDA multiples, leverage and transaction prices. Changes in any of these unobservable inputs could have a significant impact on the Company’s estimate of fair value. An increase (decrease) in required rate of return or leverage will result in a lower (higher) estimate of fair value while an increase (decrease) in adjusted EBITDA, EBITDA multiples, or transaction prices will result in a higher (lower) estimate of fair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Agreements</w:t>
      </w:r>
    </w:p>
    <w:p>
      <w:pPr>
        <w:spacing w:after="0" w:line="229" w:lineRule="exact"/>
        <w:rPr>
          <w:sz w:val="20"/>
          <w:szCs w:val="20"/>
          <w:color w:val="auto"/>
        </w:rPr>
      </w:pPr>
    </w:p>
    <w:p>
      <w:pPr>
        <w:ind w:right="400" w:firstLine="881"/>
        <w:spacing w:after="0" w:line="276" w:lineRule="auto"/>
        <w:rPr>
          <w:sz w:val="20"/>
          <w:szCs w:val="20"/>
          <w:color w:val="auto"/>
        </w:rPr>
      </w:pPr>
      <w:r>
        <w:rPr>
          <w:rFonts w:ascii="Arial" w:cs="Arial" w:eastAsia="Arial" w:hAnsi="Arial"/>
          <w:sz w:val="17"/>
          <w:szCs w:val="17"/>
          <w:color w:val="auto"/>
        </w:rPr>
        <w:t>On September 24, 2013, the Company entered into an investment advisory agreement (the “Investment Advisory Agreement”) with our Investment Advisor, which was approved by the Board of the Company on June 10, 2013. The initial term of the Investment Advisory Agreement is two years, with automatic, one-year renewals at the end of each year subject to certain approvals by our Board and/or our stockholders. Subject to the overall supervision of our Board, our investment adviser manages our day-to-day operations, and provides investment advisory and management services to us. Under the terms of our Investment Advisory Agreement, The Investment Advisor:</w:t>
      </w:r>
    </w:p>
    <w:p>
      <w:pPr>
        <w:spacing w:after="0" w:line="173" w:lineRule="exact"/>
        <w:rPr>
          <w:sz w:val="20"/>
          <w:szCs w:val="20"/>
          <w:color w:val="auto"/>
        </w:rPr>
      </w:pPr>
    </w:p>
    <w:p>
      <w:pPr>
        <w:ind w:left="1840" w:right="160" w:hanging="576"/>
        <w:spacing w:after="0" w:line="277" w:lineRule="auto"/>
        <w:tabs>
          <w:tab w:leader="none" w:pos="1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our portfolio and the manner of implementing such changes;</w:t>
      </w:r>
    </w:p>
    <w:p>
      <w:pPr>
        <w:spacing w:after="0" w:line="170" w:lineRule="exact"/>
        <w:rPr>
          <w:rFonts w:ascii="Arial" w:cs="Arial" w:eastAsia="Arial" w:hAnsi="Arial"/>
          <w:sz w:val="18"/>
          <w:szCs w:val="18"/>
          <w:color w:val="auto"/>
        </w:rPr>
      </w:pPr>
    </w:p>
    <w:p>
      <w:pPr>
        <w:ind w:left="1840" w:right="20" w:hanging="576"/>
        <w:spacing w:after="0" w:line="277" w:lineRule="auto"/>
        <w:tabs>
          <w:tab w:leader="none" w:pos="1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170" w:lineRule="exact"/>
        <w:rPr>
          <w:rFonts w:ascii="Arial" w:cs="Arial" w:eastAsia="Arial" w:hAnsi="Arial"/>
          <w:sz w:val="18"/>
          <w:szCs w:val="18"/>
          <w:color w:val="auto"/>
        </w:rPr>
      </w:pPr>
    </w:p>
    <w:p>
      <w:pPr>
        <w:ind w:left="1840" w:hanging="576"/>
        <w:spacing w:after="0"/>
        <w:tabs>
          <w:tab w:leader="none" w:pos="1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225" w:lineRule="exact"/>
        <w:rPr>
          <w:rFonts w:ascii="Arial" w:cs="Arial" w:eastAsia="Arial" w:hAnsi="Arial"/>
          <w:sz w:val="18"/>
          <w:szCs w:val="18"/>
          <w:color w:val="auto"/>
        </w:rPr>
      </w:pPr>
    </w:p>
    <w:p>
      <w:pPr>
        <w:ind w:left="1840" w:hanging="576"/>
        <w:spacing w:after="0"/>
        <w:tabs>
          <w:tab w:leader="none" w:pos="1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provides us with other investment advisory, research and related services as we may from time to time require.</w:t>
      </w:r>
    </w:p>
    <w:p>
      <w:pPr>
        <w:spacing w:after="0" w:line="225" w:lineRule="exact"/>
        <w:rPr>
          <w:sz w:val="20"/>
          <w:szCs w:val="20"/>
          <w:color w:val="auto"/>
        </w:rPr>
      </w:pPr>
    </w:p>
    <w:p>
      <w:pPr>
        <w:ind w:right="120" w:firstLine="881"/>
        <w:spacing w:after="0" w:line="277" w:lineRule="auto"/>
        <w:rPr>
          <w:sz w:val="20"/>
          <w:szCs w:val="20"/>
          <w:color w:val="auto"/>
        </w:rPr>
      </w:pPr>
      <w:r>
        <w:rPr>
          <w:rFonts w:ascii="Arial" w:cs="Arial" w:eastAsia="Arial" w:hAnsi="Arial"/>
          <w:sz w:val="18"/>
          <w:szCs w:val="18"/>
          <w:color w:val="auto"/>
        </w:rPr>
        <w:t>The Investment Advisor’s services under the Investment Advisory Agreement are not exclusive, and it is free to furnish similar services to other entities so long as its services to us are not impaired.</w:t>
      </w:r>
    </w:p>
    <w:p>
      <w:pPr>
        <w:spacing w:after="0" w:line="170" w:lineRule="exact"/>
        <w:rPr>
          <w:sz w:val="20"/>
          <w:szCs w:val="20"/>
          <w:color w:val="auto"/>
        </w:rPr>
      </w:pPr>
    </w:p>
    <w:p>
      <w:pPr>
        <w:ind w:right="180" w:firstLine="881"/>
        <w:spacing w:after="0" w:line="277" w:lineRule="auto"/>
        <w:rPr>
          <w:sz w:val="20"/>
          <w:szCs w:val="20"/>
          <w:color w:val="auto"/>
        </w:rPr>
      </w:pPr>
      <w:r>
        <w:rPr>
          <w:rFonts w:ascii="Arial" w:cs="Arial" w:eastAsia="Arial" w:hAnsi="Arial"/>
          <w:sz w:val="18"/>
          <w:szCs w:val="18"/>
          <w:color w:val="auto"/>
        </w:rPr>
        <w:t>Pursuant to the Investment Advisory Agreement, we have agreed to pay the Investment Advisor a fee for investment advisory and management services consisting of two components — a base management fee and an incentive fee.</w:t>
      </w:r>
    </w:p>
    <w:p>
      <w:pPr>
        <w:spacing w:after="0" w:line="170" w:lineRule="exact"/>
        <w:rPr>
          <w:sz w:val="20"/>
          <w:szCs w:val="20"/>
          <w:color w:val="auto"/>
        </w:rPr>
      </w:pPr>
    </w:p>
    <w:p>
      <w:pPr>
        <w:ind w:right="20" w:firstLine="881"/>
        <w:spacing w:after="0" w:line="270" w:lineRule="auto"/>
        <w:rPr>
          <w:sz w:val="20"/>
          <w:szCs w:val="20"/>
          <w:color w:val="auto"/>
        </w:rPr>
      </w:pPr>
      <w:r>
        <w:rPr>
          <w:rFonts w:ascii="Arial" w:cs="Arial" w:eastAsia="Arial" w:hAnsi="Arial"/>
          <w:sz w:val="17"/>
          <w:szCs w:val="17"/>
          <w:color w:val="auto"/>
        </w:rPr>
        <w:t>The base management fee is calculated at an annual rate of 1.75% of our gross assets, which is our total assets as reflected on our Statements of Assets and Liabilities and includes any borrowings for investment purposes. Although we do not anticipate making significant investments in derivative financial instruments, the fair value of any such investments, which will not necessarily equal their notional value, will be included in our calculation of gross assets. For services rendered under the Investment Advisory Agreement, the base management fee is payable quarterly in arrears. The base management fee will initially be calculated based on the value of our gross assets at the end of the first calendar quarter subsequent to our IPO, and thereafter based on the average value of our gross assets at the end of the two most recently completed calendar quarters, and appropriately adjusted for any share issuances or repurchases during the current calendar quarter. For the first twelve months following our IPO, the Investment Advisor has agreed to waive the portion of the base management fee payable on cash and cash equivalents held at the Company level, excluding cash and cash equivalents held by the Legacy Funds that were acquired by the Company in connection with the Formation Transactions.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9" w:name="page30"/>
    <w:bookmarkEnd w:id="29"/>
    <w:p>
      <w:pPr>
        <w:ind w:firstLine="881"/>
        <w:spacing w:after="0" w:line="297" w:lineRule="auto"/>
        <w:rPr>
          <w:sz w:val="20"/>
          <w:szCs w:val="20"/>
          <w:color w:val="auto"/>
        </w:rPr>
      </w:pPr>
      <w:r>
        <w:rPr>
          <w:rFonts w:ascii="Arial" w:cs="Arial" w:eastAsia="Arial" w:hAnsi="Arial"/>
          <w:sz w:val="16"/>
          <w:szCs w:val="16"/>
          <w:color w:val="auto"/>
        </w:rPr>
        <w:t>Prior to the Formation Transactions, the management fee charged by each Legacy Fund for each fiscal quarter was the lesser of (a) an amount equal to an annual rate of .625% of the sum of (i) the Legacy Funds’ regulatory capital and (ii) the amount of an assumed two tiers of outstanding leverage based on such regulatory capital, or (b) an amount negotiated between the general partner and the management company. The management fee was reduced by certain fees ultimately received by the Investment Advisor to the Legacy Funds from the portfolio companies. Payments of the management fee were made quarterly in advance. Certain direct expenses such as legal, audit, tax, and limited partner expense were the responsibility of the Legacy Fund.</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incentive fee consists of the following two parts:</w:t>
      </w:r>
    </w:p>
    <w:p>
      <w:pPr>
        <w:spacing w:after="0" w:line="225" w:lineRule="exact"/>
        <w:rPr>
          <w:sz w:val="20"/>
          <w:szCs w:val="20"/>
          <w:color w:val="auto"/>
        </w:rPr>
      </w:pPr>
    </w:p>
    <w:p>
      <w:pPr>
        <w:ind w:right="20" w:firstLine="881"/>
        <w:spacing w:after="0" w:line="287" w:lineRule="auto"/>
        <w:rPr>
          <w:sz w:val="20"/>
          <w:szCs w:val="20"/>
          <w:color w:val="auto"/>
        </w:rPr>
      </w:pPr>
      <w:r>
        <w:rPr>
          <w:rFonts w:ascii="Arial" w:cs="Arial" w:eastAsia="Arial" w:hAnsi="Arial"/>
          <w:sz w:val="16"/>
          <w:szCs w:val="16"/>
          <w:color w:val="auto"/>
        </w:rPr>
        <w:t>The first part of the incentive fee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Our net investment income used to calculate this part of the incentive fee is also included in the amount of our gross assets used to calculate the 1.75% base management fee. We pay the Investment Advisor an incentive fee with respect to our pre-incentive fee net investment income in each calendar quarter as follows:</w:t>
      </w:r>
    </w:p>
    <w:p>
      <w:pPr>
        <w:spacing w:after="0" w:line="169" w:lineRule="exact"/>
        <w:rPr>
          <w:sz w:val="20"/>
          <w:szCs w:val="20"/>
          <w:color w:val="auto"/>
        </w:rPr>
      </w:pPr>
    </w:p>
    <w:p>
      <w:pPr>
        <w:ind w:left="1840" w:hanging="576"/>
        <w:spacing w:after="0"/>
        <w:tabs>
          <w:tab w:leader="none" w:pos="184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our pre-incentive fee net investment income does not exceed the hurdle of 2.0%;</w:t>
      </w:r>
    </w:p>
    <w:p>
      <w:pPr>
        <w:spacing w:after="0" w:line="248" w:lineRule="exact"/>
        <w:rPr>
          <w:rFonts w:ascii="Arial" w:cs="Arial" w:eastAsia="Arial" w:hAnsi="Arial"/>
          <w:sz w:val="16"/>
          <w:szCs w:val="16"/>
          <w:color w:val="auto"/>
        </w:rPr>
      </w:pPr>
    </w:p>
    <w:p>
      <w:pPr>
        <w:ind w:left="1840" w:right="60" w:hanging="576"/>
        <w:spacing w:after="0" w:line="257" w:lineRule="auto"/>
        <w:tabs>
          <w:tab w:leader="none" w:pos="1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of our pre-incentive fee net investment income with respect to that portion of such pre-incentive fee net investment income, if any, that exceeds the hurdle but is less than 2.5% in any calendar quarter (10.0% annualized). We refer to this portion of our pre-incentive fee net investment income (which exceeds the hurdle but is less than 2.5%) as the “catch-up.” The “catchup” is meant to provide our Investment Advisor with 20% of our pre-incentive fee net investment income as if a hurdle did not apply if this net investment income exceeds 2.5% in any calendar quarter; and</w:t>
      </w:r>
    </w:p>
    <w:p>
      <w:pPr>
        <w:spacing w:after="0" w:line="188" w:lineRule="exact"/>
        <w:rPr>
          <w:rFonts w:ascii="Arial" w:cs="Arial" w:eastAsia="Arial" w:hAnsi="Arial"/>
          <w:sz w:val="18"/>
          <w:szCs w:val="18"/>
          <w:color w:val="auto"/>
        </w:rPr>
      </w:pPr>
    </w:p>
    <w:p>
      <w:pPr>
        <w:ind w:left="1840" w:right="180" w:hanging="576"/>
        <w:spacing w:after="0" w:line="264" w:lineRule="auto"/>
        <w:tabs>
          <w:tab w:leader="none" w:pos="1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20% of the amount of our pre-incentive fee net investment income, if any, that exceeds 2.5% in any calendar quarter (10.0% annualized) is payable to our Investment Advisor (once the hurdle is reached and the catch-up is achieved, 20% of all preincentive fee investment income thereafter is allocated to the Investment Advisor).</w:t>
      </w:r>
    </w:p>
    <w:p>
      <w:pPr>
        <w:spacing w:after="0" w:line="181" w:lineRule="exact"/>
        <w:rPr>
          <w:sz w:val="20"/>
          <w:szCs w:val="20"/>
          <w:color w:val="auto"/>
        </w:rPr>
      </w:pPr>
    </w:p>
    <w:p>
      <w:pPr>
        <w:ind w:right="80" w:firstLine="881"/>
        <w:spacing w:after="0" w:line="279" w:lineRule="auto"/>
        <w:rPr>
          <w:sz w:val="20"/>
          <w:szCs w:val="20"/>
          <w:color w:val="auto"/>
        </w:rPr>
      </w:pPr>
      <w:r>
        <w:rPr>
          <w:rFonts w:ascii="Arial" w:cs="Arial" w:eastAsia="Arial" w:hAnsi="Arial"/>
          <w:sz w:val="17"/>
          <w:szCs w:val="17"/>
          <w:color w:val="auto"/>
        </w:rPr>
        <w:t>The second part of the incentive fee is determined and payable in arrears as of the end of each calendar year (or upon termination of the Investment Advisory Agreement, as of the termination date), and will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w:t>
      </w:r>
    </w:p>
    <w:p>
      <w:pPr>
        <w:spacing w:after="0" w:line="171" w:lineRule="exact"/>
        <w:rPr>
          <w:sz w:val="20"/>
          <w:szCs w:val="20"/>
          <w:color w:val="auto"/>
        </w:rPr>
      </w:pPr>
    </w:p>
    <w:p>
      <w:pPr>
        <w:ind w:right="60" w:firstLine="881"/>
        <w:spacing w:after="0" w:line="293" w:lineRule="auto"/>
        <w:rPr>
          <w:sz w:val="20"/>
          <w:szCs w:val="20"/>
          <w:color w:val="auto"/>
        </w:rPr>
      </w:pPr>
      <w:r>
        <w:rPr>
          <w:rFonts w:ascii="Arial" w:cs="Arial" w:eastAsia="Arial" w:hAnsi="Arial"/>
          <w:sz w:val="16"/>
          <w:szCs w:val="16"/>
          <w:color w:val="auto"/>
        </w:rPr>
        <w:t>We will defer cash payment of the portion of any incentive fee otherwise earned by our Investment Advisor that would, when taken together with all other incentive fees paid to our Investment Advisor during the most recent 12 full calendar month period ending on or prior to the date such payment is to be made, exceed 20% of the sum of (a) our pre-incentive fee net investment income during such period, (b) our net unrealized appreciation or depreciation during such period and (c) our net realized capital gains or losses during such period. Any deferred incentive fees will be carried over for payment in subsequent calculation periods to the extent such payment is payable under the Investment Advisory Agreement. Such deferred amounts will be calculated using a period of shorter than 12 full calendar months until 12 full calendar months have passed since completion of our IPO.</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ind w:right="60" w:firstLine="881"/>
        <w:spacing w:after="0" w:line="286" w:lineRule="auto"/>
        <w:rPr>
          <w:sz w:val="20"/>
          <w:szCs w:val="20"/>
          <w:color w:val="auto"/>
        </w:rPr>
      </w:pPr>
      <w:r>
        <w:rPr>
          <w:rFonts w:ascii="Arial" w:cs="Arial" w:eastAsia="Arial" w:hAnsi="Arial"/>
          <w:sz w:val="17"/>
          <w:szCs w:val="17"/>
          <w:color w:val="auto"/>
        </w:rPr>
        <w:t>For the three months ended June 30, 2014 and 2013 we incurred $2.3 million and $1.2 million in base management fees, respectively. For the three months ended June 30, 2014 and 2013, our Investment Advisor waived $0.1 million and $0, respectively. For the three months ended June 30, 2014 and 2013, we incurred $1.4 million and $0, respectively, in incentive fees related to pre-incentive fee net investment income.</w:t>
      </w:r>
    </w:p>
    <w:p>
      <w:pPr>
        <w:spacing w:after="0" w:line="166" w:lineRule="exact"/>
        <w:rPr>
          <w:sz w:val="20"/>
          <w:szCs w:val="20"/>
          <w:color w:val="auto"/>
        </w:rPr>
      </w:pPr>
    </w:p>
    <w:p>
      <w:pPr>
        <w:jc w:val="both"/>
        <w:ind w:right="160" w:firstLine="881"/>
        <w:spacing w:after="0" w:line="286" w:lineRule="auto"/>
        <w:rPr>
          <w:sz w:val="20"/>
          <w:szCs w:val="20"/>
          <w:color w:val="auto"/>
        </w:rPr>
      </w:pPr>
      <w:r>
        <w:rPr>
          <w:rFonts w:ascii="Arial" w:cs="Arial" w:eastAsia="Arial" w:hAnsi="Arial"/>
          <w:sz w:val="17"/>
          <w:szCs w:val="17"/>
          <w:color w:val="auto"/>
        </w:rPr>
        <w:t>For the six months ended June 30, 2014 and 2013 we incurred $4.3 million and $2.0 million in base management fees, respectively. For the six months ended June 30, 2014 and 2013, our Investment Advisor waived $0.2 million and $0, respectively. For the six months ended June 30, 2014 and 2013, we incurred $2.8 million and $0, respectively, in incentive fees related to pre-incentive fee net investment income.</w:t>
      </w:r>
    </w:p>
    <w:p>
      <w:pPr>
        <w:spacing w:after="0" w:line="166"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color w:val="auto"/>
        </w:rPr>
        <w:t>On September 24, 2013, the Company entered into a separate administration agreement (the “Administration Agreement”) with Capitala Advisors Corp., our Administrator, pursuant to which our Administrator has agreed to furnish us with office facilities, equipment and clerical, bookkeeping and record keeping services at such facilities. Our Administrator also performs, or oversees the performance of, our required administrative services, which include, among other things, being responsible for the financial records that we are required to maintain and preparing reports to our stockholders. In addition, our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w:t>
      </w:r>
    </w:p>
    <w:p>
      <w:pPr>
        <w:spacing w:after="0" w:line="189" w:lineRule="exact"/>
        <w:rPr>
          <w:sz w:val="20"/>
          <w:szCs w:val="20"/>
          <w:color w:val="auto"/>
        </w:rPr>
      </w:pPr>
    </w:p>
    <w:p>
      <w:pPr>
        <w:ind w:right="120" w:firstLine="881"/>
        <w:spacing w:after="0" w:line="271" w:lineRule="auto"/>
        <w:rPr>
          <w:sz w:val="20"/>
          <w:szCs w:val="20"/>
          <w:color w:val="auto"/>
        </w:rPr>
      </w:pPr>
      <w:r>
        <w:rPr>
          <w:rFonts w:ascii="Arial" w:cs="Arial" w:eastAsia="Arial" w:hAnsi="Arial"/>
          <w:sz w:val="17"/>
          <w:szCs w:val="17"/>
          <w:color w:val="auto"/>
        </w:rPr>
        <w:t>Payments under the Administration Agreement are equal to an amount based upon our allocable portion of our Administrator’s overhead in performing its obligations under the Administration Agreement, including rent, the fees and expenses associated with performing compliance functions and our allocable portion of the compensation of our chief financial officer, chief compliance officer and our allocable portion of the compensation of any administrative support staff. Under the Administration Agreement, our Administrator will also provide on our behalf managerial assistance to those portfolio companies that request such assistance. The Administration Agreement will have an initial term of two years and may be renewed with the approval of our Board. The Administration Agreement may be terminated by either party without penalty upon 60 days’ written notice to the other party. To the extent that our Administrator outsources any of its functions, we will pay the fees associated with such functions on a direct basis without any incremental profit to our Administrator. Stockholder approval is not required to amend the Administration Agreement.</w:t>
      </w:r>
    </w:p>
    <w:p>
      <w:pPr>
        <w:spacing w:after="0" w:line="179" w:lineRule="exact"/>
        <w:rPr>
          <w:sz w:val="20"/>
          <w:szCs w:val="20"/>
          <w:color w:val="auto"/>
        </w:rPr>
      </w:pPr>
    </w:p>
    <w:p>
      <w:pPr>
        <w:ind w:right="120" w:firstLine="881"/>
        <w:spacing w:after="0" w:line="257" w:lineRule="auto"/>
        <w:rPr>
          <w:sz w:val="20"/>
          <w:szCs w:val="20"/>
          <w:color w:val="auto"/>
        </w:rPr>
      </w:pPr>
      <w:r>
        <w:rPr>
          <w:rFonts w:ascii="Arial" w:cs="Arial" w:eastAsia="Arial" w:hAnsi="Arial"/>
          <w:sz w:val="18"/>
          <w:szCs w:val="18"/>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Related Party Transactions</w:t>
      </w:r>
    </w:p>
    <w:p>
      <w:pPr>
        <w:spacing w:after="0" w:line="229" w:lineRule="exact"/>
        <w:rPr>
          <w:sz w:val="20"/>
          <w:szCs w:val="20"/>
          <w:color w:val="auto"/>
        </w:rPr>
      </w:pPr>
    </w:p>
    <w:p>
      <w:pPr>
        <w:ind w:right="40" w:firstLine="881"/>
        <w:spacing w:after="0" w:line="277" w:lineRule="auto"/>
        <w:rPr>
          <w:sz w:val="20"/>
          <w:szCs w:val="20"/>
          <w:color w:val="auto"/>
        </w:rPr>
      </w:pPr>
      <w:r>
        <w:rPr>
          <w:rFonts w:ascii="Arial" w:cs="Arial" w:eastAsia="Arial" w:hAnsi="Arial"/>
          <w:sz w:val="18"/>
          <w:szCs w:val="18"/>
          <w:color w:val="auto"/>
        </w:rPr>
        <w:t>At June 30, 2014 and December 31, 2013, the Company had the following receivables from (payables to) related parties relating to certain capital contributions, management fees, incentive fees, and reimbursable expenses (dollars in thousands):</w:t>
      </w:r>
    </w:p>
    <w:p>
      <w:pPr>
        <w:spacing w:after="0" w:line="166"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940" w:type="dxa"/>
            <w:vAlign w:val="bottom"/>
          </w:tcPr>
          <w:p>
            <w:pPr>
              <w:jc w:val="center"/>
              <w:ind w:left="170"/>
              <w:spacing w:after="0"/>
              <w:rPr>
                <w:sz w:val="20"/>
                <w:szCs w:val="20"/>
                <w:color w:val="auto"/>
              </w:rPr>
            </w:pPr>
            <w:r>
              <w:rPr>
                <w:rFonts w:ascii="Arial" w:cs="Arial" w:eastAsia="Arial" w:hAnsi="Arial"/>
                <w:sz w:val="18"/>
                <w:szCs w:val="18"/>
                <w:b w:val="1"/>
                <w:bCs w:val="1"/>
                <w:color w:val="auto"/>
                <w:w w:val="88"/>
              </w:rPr>
              <w:t>June 30,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5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80" w:type="dxa"/>
            <w:vAlign w:val="bottom"/>
            <w:tcBorders>
              <w:bottom w:val="single" w:sz="8" w:color="CCEEFF"/>
            </w:tcBorders>
          </w:tcPr>
          <w:p>
            <w:pPr>
              <w:spacing w:after="0"/>
              <w:rPr>
                <w:sz w:val="20"/>
                <w:szCs w:val="20"/>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CapitalSouth Corporation</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252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8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Shareholders/Limited Partners</w:t>
            </w:r>
          </w:p>
        </w:tc>
        <w:tc>
          <w:tcPr>
            <w:tcW w:w="9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270</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267</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CapitalSouth Fund III, L.P.</w:t>
            </w:r>
          </w:p>
        </w:tc>
        <w:tc>
          <w:tcPr>
            <w:tcW w:w="9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Capitala Investment Advisors, LLC</w:t>
            </w:r>
          </w:p>
        </w:tc>
        <w:tc>
          <w:tcPr>
            <w:tcW w:w="2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(1,863)</w:t>
            </w:r>
          </w:p>
        </w:tc>
        <w:tc>
          <w:tcPr>
            <w:tcW w:w="4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(2,670)</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40" w:type="dxa"/>
            <w:vAlign w:val="bottom"/>
            <w:vMerge w:val="restart"/>
          </w:tcPr>
          <w:p>
            <w:pPr>
              <w:jc w:val="right"/>
              <w:ind w:right="1490"/>
              <w:spacing w:after="0"/>
              <w:rPr>
                <w:sz w:val="20"/>
                <w:szCs w:val="20"/>
                <w:color w:val="auto"/>
              </w:rPr>
            </w:pPr>
            <w:r>
              <w:rPr>
                <w:rFonts w:ascii="Arial" w:cs="Arial" w:eastAsia="Arial" w:hAnsi="Arial"/>
                <w:sz w:val="18"/>
                <w:szCs w:val="18"/>
                <w:color w:val="auto"/>
              </w:rPr>
              <w:t>28</w:t>
            </w: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vMerge w:val="continue"/>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31" w:name="page32"/>
    <w:bookmarkEnd w:id="31"/>
    <w:p>
      <w:pPr>
        <w:ind w:right="180" w:firstLine="881"/>
        <w:spacing w:after="0" w:line="277" w:lineRule="auto"/>
        <w:rPr>
          <w:sz w:val="20"/>
          <w:szCs w:val="20"/>
          <w:color w:val="auto"/>
        </w:rPr>
      </w:pPr>
      <w:r>
        <w:rPr>
          <w:rFonts w:ascii="Arial" w:cs="Arial" w:eastAsia="Arial" w:hAnsi="Arial"/>
          <w:sz w:val="18"/>
          <w:szCs w:val="18"/>
          <w:color w:val="auto"/>
        </w:rPr>
        <w:t>These amounts are reflected in the accompanying statements of financial position under the captions, “Due from related parties”, “Incentive fee payable” and “Due to related parties.”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At times, the Company maintains deposit accounts and certificates of deposit with financial institutions that are shareholders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Total deposits with these financial institutions were approximately $2 thousand and $2.8 million at June 30, 2014 and December 31, 2013,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225" w:lineRule="exact"/>
        <w:rPr>
          <w:sz w:val="20"/>
          <w:szCs w:val="20"/>
          <w:color w:val="auto"/>
        </w:rPr>
      </w:pPr>
    </w:p>
    <w:p>
      <w:pPr>
        <w:ind w:right="100" w:firstLine="881"/>
        <w:spacing w:after="0" w:line="285" w:lineRule="auto"/>
        <w:rPr>
          <w:sz w:val="20"/>
          <w:szCs w:val="20"/>
          <w:color w:val="auto"/>
        </w:rPr>
      </w:pPr>
      <w:r>
        <w:rPr>
          <w:rFonts w:ascii="Arial" w:cs="Arial" w:eastAsia="Arial" w:hAnsi="Arial"/>
          <w:sz w:val="16"/>
          <w:szCs w:val="16"/>
          <w:color w:val="auto"/>
        </w:rPr>
        <w:t>The Company, through its two wholly-owned subsidiaries, uses debenture leverage provided through the SBA to fund a portion of its investment portfolio. As of June 30, 2014, the Company has issued $192.2 million of SBA-guaranteed debentures. The Company has issued all SBA-guaranteed debentures that were permitted under each of the Legacy Funds’ respective SBIC licenses (as applicable), and there are no unused SBA debenture commitments remaining. SBA-guaranteed debentures are secured by a lien on all assets of Fund II and Fund III. As of June 30, 2014, Fund II and Fund III had total assets of approximately $377.8 million. On June 10, 2014, the Company received an exemptive order from the SEC exempting the Company, Fund</w:t>
      </w:r>
    </w:p>
    <w:p>
      <w:pPr>
        <w:spacing w:after="0" w:line="2" w:lineRule="exact"/>
        <w:rPr>
          <w:sz w:val="20"/>
          <w:szCs w:val="20"/>
          <w:color w:val="auto"/>
        </w:rPr>
      </w:pPr>
    </w:p>
    <w:p>
      <w:pPr>
        <w:jc w:val="both"/>
        <w:ind w:right="640" w:firstLine="8"/>
        <w:spacing w:after="0" w:line="277" w:lineRule="auto"/>
        <w:tabs>
          <w:tab w:leader="none" w:pos="165" w:val="left"/>
        </w:tabs>
        <w:numPr>
          <w:ilvl w:val="0"/>
          <w:numId w:val="9"/>
        </w:numPr>
        <w:rPr>
          <w:rFonts w:ascii="Arial" w:cs="Arial" w:eastAsia="Arial" w:hAnsi="Arial"/>
          <w:sz w:val="17"/>
          <w:szCs w:val="17"/>
          <w:color w:val="auto"/>
        </w:rPr>
      </w:pPr>
      <w:r>
        <w:rPr>
          <w:rFonts w:ascii="Arial" w:cs="Arial" w:eastAsia="Arial" w:hAnsi="Arial"/>
          <w:sz w:val="17"/>
          <w:szCs w:val="17"/>
          <w:color w:val="auto"/>
        </w:rPr>
        <w:t>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 The Company intends to comply with the conditions of the order.</w:t>
      </w:r>
    </w:p>
    <w:p>
      <w:pPr>
        <w:spacing w:after="0" w:line="173" w:lineRule="exact"/>
        <w:rPr>
          <w:sz w:val="20"/>
          <w:szCs w:val="20"/>
          <w:color w:val="auto"/>
        </w:rPr>
      </w:pPr>
    </w:p>
    <w:p>
      <w:pPr>
        <w:ind w:right="20" w:firstLine="926"/>
        <w:spacing w:after="0" w:line="289" w:lineRule="auto"/>
        <w:rPr>
          <w:sz w:val="20"/>
          <w:szCs w:val="20"/>
          <w:color w:val="auto"/>
        </w:rPr>
      </w:pPr>
      <w:r>
        <w:rPr>
          <w:rFonts w:ascii="Arial" w:cs="Arial" w:eastAsia="Arial" w:hAnsi="Arial"/>
          <w:sz w:val="16"/>
          <w:szCs w:val="16"/>
          <w:color w:val="auto"/>
        </w:rPr>
        <w:t>For the three months ended June 30, 2014 and June 30, 2013 we recorded $2.1 million and $2.2 million, respectively, of interest, annual charges, and financing expenses related to the SBA guaranteed debentures, of which $1.9 million and $2.0 million, respectively, was attributable to interest expense and annual charges, and $0.2 million and $0.2 million, respectively, was attributable to amortization of commitment and upfront fees. For the six months ended June 30, 2014 and June 30, 2013 we recorded $4.3 million and $4.3 million, respectively, of interest, annual charges, and financing expenses related to the SBA guaranteed debentures, of which $3.9 million and $4.0 million, respectively, was attributable to interest expense and annual charges, and $0.4 million and $0.3 million, respectively, was attributable to amortization of commitment and upfront fees. The weighted average interest rate for all SBA-guaranteed debentures as of June 30, 2014 and December 31, 2013 was 3.51% and 3.57%, respectively. In addition to the stated interest rate, the SBA also charges an annual fee on all SBA-guaranteed debentures issued, which is included in the Company’s interest expense. The weighted average annual fee for all SBA-guaranteed debentures as of June 30, 2014 and December 31, 2013 was 0.48% and 0.50%, respectively.</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As of June 30, 2014 and December 31, 2013, the Company’s issued and outstanding SBA-guaranteed debentures mature as follows (dollars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r>
              <w:rPr>
                <w:rFonts w:ascii="Arial" w:cs="Arial" w:eastAsia="Arial" w:hAnsi="Arial"/>
                <w:sz w:val="18"/>
                <w:szCs w:val="18"/>
                <w:b w:val="1"/>
                <w:bCs w:val="1"/>
                <w:color w:val="auto"/>
              </w:rPr>
              <w:t>Date of Pooling</w:t>
            </w:r>
          </w:p>
        </w:tc>
        <w:tc>
          <w:tcPr>
            <w:tcW w:w="2040" w:type="dxa"/>
            <w:vAlign w:val="bottom"/>
            <w:gridSpan w:val="3"/>
          </w:tcPr>
          <w:p>
            <w:pPr>
              <w:ind w:left="100"/>
              <w:spacing w:after="0"/>
              <w:rPr>
                <w:sz w:val="20"/>
                <w:szCs w:val="20"/>
                <w:color w:val="auto"/>
              </w:rPr>
            </w:pPr>
            <w:r>
              <w:rPr>
                <w:rFonts w:ascii="Arial" w:cs="Arial" w:eastAsia="Arial" w:hAnsi="Arial"/>
                <w:sz w:val="18"/>
                <w:szCs w:val="18"/>
                <w:b w:val="1"/>
                <w:bCs w:val="1"/>
                <w:color w:val="auto"/>
              </w:rPr>
              <w:t>Fixed Maturity Date</w:t>
            </w:r>
          </w:p>
        </w:tc>
        <w:tc>
          <w:tcPr>
            <w:tcW w:w="19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Interest Rate</w:t>
            </w:r>
          </w:p>
        </w:tc>
        <w:tc>
          <w:tcPr>
            <w:tcW w:w="1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SBA Annual Charge</w:t>
            </w:r>
          </w:p>
        </w:tc>
        <w:tc>
          <w:tcPr>
            <w:tcW w:w="300" w:type="dxa"/>
            <w:vAlign w:val="bottom"/>
          </w:tcPr>
          <w:p>
            <w:pPr>
              <w:spacing w:after="0"/>
              <w:rPr>
                <w:sz w:val="20"/>
                <w:szCs w:val="20"/>
                <w:color w:val="auto"/>
              </w:rPr>
            </w:pPr>
          </w:p>
        </w:tc>
        <w:tc>
          <w:tcPr>
            <w:tcW w:w="14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March 1, 2004</w:t>
            </w:r>
          </w:p>
        </w:tc>
        <w:tc>
          <w:tcPr>
            <w:tcW w:w="100" w:type="dxa"/>
            <w:vAlign w:val="bottom"/>
            <w:vMerge w:val="continue"/>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March 1, 2014</w:t>
            </w:r>
          </w:p>
        </w:tc>
        <w:tc>
          <w:tcPr>
            <w:tcW w:w="120" w:type="dxa"/>
            <w:vAlign w:val="bottom"/>
            <w:vMerge w:val="continue"/>
            <w:shd w:val="clear" w:color="auto" w:fill="CCEEFF"/>
          </w:tcPr>
          <w:p>
            <w:pPr>
              <w:spacing w:after="0"/>
              <w:rPr>
                <w:sz w:val="18"/>
                <w:szCs w:val="18"/>
                <w:color w:val="auto"/>
              </w:rPr>
            </w:pP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4.120%</w:t>
            </w:r>
          </w:p>
        </w:tc>
        <w:tc>
          <w:tcPr>
            <w:tcW w:w="1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0.855%</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September 1, 2004</w:t>
            </w:r>
          </w:p>
        </w:tc>
        <w:tc>
          <w:tcPr>
            <w:tcW w:w="2040" w:type="dxa"/>
            <w:vAlign w:val="bottom"/>
            <w:gridSpan w:val="3"/>
          </w:tcPr>
          <w:p>
            <w:pPr>
              <w:ind w:left="100"/>
              <w:spacing w:after="0"/>
              <w:rPr>
                <w:sz w:val="20"/>
                <w:szCs w:val="20"/>
                <w:color w:val="auto"/>
              </w:rPr>
            </w:pPr>
            <w:r>
              <w:rPr>
                <w:rFonts w:ascii="Arial" w:cs="Arial" w:eastAsia="Arial" w:hAnsi="Arial"/>
                <w:sz w:val="18"/>
                <w:szCs w:val="18"/>
                <w:color w:val="auto"/>
              </w:rPr>
              <w:t>September 1, 2014</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4.684%</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0.855%</w:t>
            </w:r>
          </w:p>
        </w:tc>
        <w:tc>
          <w:tcPr>
            <w:tcW w:w="3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September 1, 2005</w:t>
            </w:r>
          </w:p>
        </w:tc>
        <w:tc>
          <w:tcPr>
            <w:tcW w:w="2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September 1, 2015</w:t>
            </w: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4.941%</w:t>
            </w:r>
          </w:p>
        </w:tc>
        <w:tc>
          <w:tcPr>
            <w:tcW w:w="1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0.871%</w:t>
            </w: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8,000</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March 1, 2006</w:t>
            </w:r>
          </w:p>
        </w:tc>
        <w:tc>
          <w:tcPr>
            <w:tcW w:w="2040" w:type="dxa"/>
            <w:vAlign w:val="bottom"/>
            <w:gridSpan w:val="3"/>
          </w:tcPr>
          <w:p>
            <w:pPr>
              <w:ind w:left="100"/>
              <w:spacing w:after="0"/>
              <w:rPr>
                <w:sz w:val="20"/>
                <w:szCs w:val="20"/>
                <w:color w:val="auto"/>
              </w:rPr>
            </w:pPr>
            <w:r>
              <w:rPr>
                <w:rFonts w:ascii="Arial" w:cs="Arial" w:eastAsia="Arial" w:hAnsi="Arial"/>
                <w:sz w:val="18"/>
                <w:szCs w:val="18"/>
                <w:color w:val="auto"/>
              </w:rPr>
              <w:t>March 1, 2016</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5.524%</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0.871%</w:t>
            </w:r>
          </w:p>
        </w:tc>
        <w:tc>
          <w:tcPr>
            <w:tcW w:w="3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September 1, 2006</w:t>
            </w:r>
          </w:p>
        </w:tc>
        <w:tc>
          <w:tcPr>
            <w:tcW w:w="2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September 1, 2016</w:t>
            </w: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5.535%</w:t>
            </w:r>
          </w:p>
        </w:tc>
        <w:tc>
          <w:tcPr>
            <w:tcW w:w="1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0.941%</w:t>
            </w: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11,500</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March 1, 2009</w:t>
            </w:r>
          </w:p>
        </w:tc>
        <w:tc>
          <w:tcPr>
            <w:tcW w:w="2040" w:type="dxa"/>
            <w:vAlign w:val="bottom"/>
            <w:gridSpan w:val="3"/>
          </w:tcPr>
          <w:p>
            <w:pPr>
              <w:ind w:left="100"/>
              <w:spacing w:after="0"/>
              <w:rPr>
                <w:sz w:val="20"/>
                <w:szCs w:val="20"/>
                <w:color w:val="auto"/>
              </w:rPr>
            </w:pPr>
            <w:r>
              <w:rPr>
                <w:rFonts w:ascii="Arial" w:cs="Arial" w:eastAsia="Arial" w:hAnsi="Arial"/>
                <w:sz w:val="18"/>
                <w:szCs w:val="18"/>
                <w:color w:val="auto"/>
              </w:rPr>
              <w:t>March 1, 2019</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4.620%</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0.941%</w:t>
            </w:r>
          </w:p>
        </w:tc>
        <w:tc>
          <w:tcPr>
            <w:tcW w:w="3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September 1, 2010</w:t>
            </w:r>
          </w:p>
        </w:tc>
        <w:tc>
          <w:tcPr>
            <w:tcW w:w="2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September 1, 2020</w:t>
            </w: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3.215%</w:t>
            </w:r>
          </w:p>
        </w:tc>
        <w:tc>
          <w:tcPr>
            <w:tcW w:w="1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0.285%</w:t>
            </w: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19,000</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March 1, 2011</w:t>
            </w:r>
          </w:p>
        </w:tc>
        <w:tc>
          <w:tcPr>
            <w:tcW w:w="2040" w:type="dxa"/>
            <w:vAlign w:val="bottom"/>
            <w:gridSpan w:val="3"/>
          </w:tcPr>
          <w:p>
            <w:pPr>
              <w:ind w:left="100"/>
              <w:spacing w:after="0"/>
              <w:rPr>
                <w:sz w:val="20"/>
                <w:szCs w:val="20"/>
                <w:color w:val="auto"/>
              </w:rPr>
            </w:pPr>
            <w:r>
              <w:rPr>
                <w:rFonts w:ascii="Arial" w:cs="Arial" w:eastAsia="Arial" w:hAnsi="Arial"/>
                <w:sz w:val="18"/>
                <w:szCs w:val="18"/>
                <w:color w:val="auto"/>
              </w:rPr>
              <w:t>March 1, 2021</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4.084%</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0.515%</w:t>
            </w:r>
          </w:p>
        </w:tc>
        <w:tc>
          <w:tcPr>
            <w:tcW w:w="3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15,700</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15,700</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March 1, 2011</w:t>
            </w:r>
          </w:p>
        </w:tc>
        <w:tc>
          <w:tcPr>
            <w:tcW w:w="2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March 1, 2021</w:t>
            </w: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4.084%</w:t>
            </w:r>
          </w:p>
        </w:tc>
        <w:tc>
          <w:tcPr>
            <w:tcW w:w="1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0.285%</w:t>
            </w: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46,000</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March 1, 2012</w:t>
            </w:r>
          </w:p>
        </w:tc>
        <w:tc>
          <w:tcPr>
            <w:tcW w:w="2040" w:type="dxa"/>
            <w:vAlign w:val="bottom"/>
            <w:gridSpan w:val="3"/>
          </w:tcPr>
          <w:p>
            <w:pPr>
              <w:ind w:left="100"/>
              <w:spacing w:after="0"/>
              <w:rPr>
                <w:sz w:val="20"/>
                <w:szCs w:val="20"/>
                <w:color w:val="auto"/>
              </w:rPr>
            </w:pPr>
            <w:r>
              <w:rPr>
                <w:rFonts w:ascii="Arial" w:cs="Arial" w:eastAsia="Arial" w:hAnsi="Arial"/>
                <w:sz w:val="18"/>
                <w:szCs w:val="18"/>
                <w:color w:val="auto"/>
              </w:rPr>
              <w:t>March 1, 2022</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2.766%</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0.285%</w:t>
            </w:r>
          </w:p>
        </w:tc>
        <w:tc>
          <w:tcPr>
            <w:tcW w:w="3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March 1, 2012</w:t>
            </w:r>
          </w:p>
        </w:tc>
        <w:tc>
          <w:tcPr>
            <w:tcW w:w="2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March 1, 2022</w:t>
            </w: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2.766%</w:t>
            </w:r>
          </w:p>
        </w:tc>
        <w:tc>
          <w:tcPr>
            <w:tcW w:w="1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0.515%</w:t>
            </w: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March 1, 2013</w:t>
            </w:r>
          </w:p>
        </w:tc>
        <w:tc>
          <w:tcPr>
            <w:tcW w:w="2040" w:type="dxa"/>
            <w:vAlign w:val="bottom"/>
            <w:gridSpan w:val="3"/>
          </w:tcPr>
          <w:p>
            <w:pPr>
              <w:ind w:left="100"/>
              <w:spacing w:after="0"/>
              <w:rPr>
                <w:sz w:val="20"/>
                <w:szCs w:val="20"/>
                <w:color w:val="auto"/>
              </w:rPr>
            </w:pPr>
            <w:r>
              <w:rPr>
                <w:rFonts w:ascii="Arial" w:cs="Arial" w:eastAsia="Arial" w:hAnsi="Arial"/>
                <w:sz w:val="18"/>
                <w:szCs w:val="18"/>
                <w:color w:val="auto"/>
              </w:rPr>
              <w:t>March 1, 2023</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2.351%</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0.515%</w:t>
            </w:r>
          </w:p>
        </w:tc>
        <w:tc>
          <w:tcPr>
            <w:tcW w:w="30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3"/>
        </w:trPr>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29</w:t>
            </w: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vMerge w:val="continue"/>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32" w:name="page33"/>
    <w:bookmarkEnd w:id="32"/>
    <w:p>
      <w:pPr>
        <w:ind w:right="240" w:firstLine="881"/>
        <w:spacing w:after="0" w:line="257" w:lineRule="auto"/>
        <w:rPr>
          <w:sz w:val="20"/>
          <w:szCs w:val="20"/>
          <w:color w:val="auto"/>
        </w:rPr>
      </w:pPr>
      <w:r>
        <w:rPr>
          <w:rFonts w:ascii="Arial" w:cs="Arial" w:eastAsia="Arial" w:hAnsi="Arial"/>
          <w:sz w:val="18"/>
          <w:szCs w:val="18"/>
          <w:color w:val="auto"/>
        </w:rPr>
        <w:t>ASC Topic 820 requires disclosure of the fair value of financial instruments for which it is practical to estimate such value. The Company estimates that the fair value of its SBA-guaranteed debentures is approximately $193.4 million and $200.7 million as of June 30, 2014 and December 31, 2013, respectively. The fair value estimate was based on future contractual cash payments discounted at market interest rates to borrow from the SBA as of the measurement date. Because the market interest rate is considered an unobservable input, SBA-guaranteed debentures are considered a level 3 financial instrument in the fair value hierarchy.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June 2014, the Company issued $113.4 million in aggregate principal amount of 7.125% fixed-rate notes due 2021 (the “Notes”). The Notes will mature on June 16, 2021, and may be redeemed in whole or in part at any time or from time to time at the Company’s option on or after June 16, 2017 at a redemption price equal to 100% of the outstanding principal, plus accrued and unpaid interest. Interest will be payable quarterly beginning September 16, 2014.</w:t>
      </w:r>
    </w:p>
    <w:p>
      <w:pPr>
        <w:spacing w:after="0" w:line="18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As of June 30, 2014, the carrying amount and fair value of the Notes was $113.4 million and $114.6 million, respectively. The fair value of the Notes, which are publicly traded, is based upon closing market quotes as of the measurement date. Because the fair value is determined by quoted prices for the Notes, the Notes are considered a level 1 financial instrument in the fair value hierarchy. As of June 30, 2014, $4.2 million of financing costs related to the Notes have been capitalized and are being amortized over the term of the Notes. For the three and six months ended June 30, 2014, the Company has recorded $0.3 million of interest expense and $0.02 million of amortization of deferred financing costs related to the Notes.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Directors Fees</w:t>
      </w:r>
    </w:p>
    <w:p>
      <w:pPr>
        <w:spacing w:after="0" w:line="229" w:lineRule="exact"/>
        <w:rPr>
          <w:sz w:val="20"/>
          <w:szCs w:val="20"/>
          <w:color w:val="auto"/>
        </w:rPr>
      </w:pPr>
    </w:p>
    <w:p>
      <w:pPr>
        <w:ind w:right="60" w:firstLine="881"/>
        <w:spacing w:after="0" w:line="272" w:lineRule="auto"/>
        <w:rPr>
          <w:sz w:val="20"/>
          <w:szCs w:val="20"/>
          <w:color w:val="auto"/>
        </w:rPr>
      </w:pPr>
      <w:r>
        <w:rPr>
          <w:rFonts w:ascii="Arial" w:cs="Arial" w:eastAsia="Arial" w:hAnsi="Arial"/>
          <w:sz w:val="17"/>
          <w:szCs w:val="17"/>
          <w:color w:val="auto"/>
        </w:rPr>
        <w:t>Our independent directors receive an annual fee of $50,000. They also receive $5,000 plus reimbursement of reasonable out-of-pocket expenses incurred in connection with attending each board meeting, and also receive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three and six months ended June 30, 2014, the Company recognized director fee expense of $86,250 and $188,250, respectively. For the three and six months ended June 30, 2013, the Company recognized director fee expense of $0 and $0, respectively. No compensation is expected to be paid to directors who are “interested persons” of the Company, as such term is defined in Section 2(a)(19) of the 1940 Act.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229" w:lineRule="exact"/>
        <w:rPr>
          <w:sz w:val="20"/>
          <w:szCs w:val="20"/>
          <w:color w:val="auto"/>
        </w:rPr>
      </w:pPr>
    </w:p>
    <w:p>
      <w:pPr>
        <w:ind w:right="80" w:firstLine="881"/>
        <w:spacing w:after="0" w:line="297" w:lineRule="auto"/>
        <w:rPr>
          <w:sz w:val="20"/>
          <w:szCs w:val="20"/>
          <w:color w:val="auto"/>
        </w:rPr>
      </w:pPr>
      <w:r>
        <w:rPr>
          <w:rFonts w:ascii="Arial" w:cs="Arial" w:eastAsia="Arial" w:hAnsi="Arial"/>
          <w:sz w:val="16"/>
          <w:szCs w:val="16"/>
          <w:color w:val="auto"/>
        </w:rPr>
        <w:t>On September 24, 2013, we issued 8,974,420 shares of common stock to the limited partners of the Legacy Funds, in exchange for 100% of their membership interests or certain investment assets of such Legacy Fund, as the case may be. On September 30, 2013, we issued 4,000,000 shares of common stock in connection with the closing of our IPO. The shares issued in the IPO were priced at $20.00 per share. We received proceeds of $74.25 million in the IPO, net of underwriters’ discounts and commissions totaling $4.0 million and offering expenses totaling $1.75 million. The Legacy Funds bore the other expenses associated with the offering. As of June 30, 2014, the Company had 12,974,420 shares of common stock outstanding.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Summarized Financial Information of Our Unconsolidated Subsidiaries</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 Company holds a control interest, as defined by the 1940 Act, in three majority owned portfolio companies that are not consolidated in the Company’s consolidated financial statements. Below is a brief description of each portfolio company, along with summarized financial information as of June 30, 2014 and December 31, 2013, and for the six month period ended June 30, 2014 and June 30, 2013.</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Print Direction, Inc.</w:t>
      </w:r>
    </w:p>
    <w:p>
      <w:pPr>
        <w:spacing w:after="0" w:line="23"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Print Direction, Inc., incorporated in Georgia on May 11, 2006, is a professional printing services firm serving customers, particular fast food, retail, and other similar chains, through the United States. Print Direction, Inc. also provides warehousing and distribution services for these customers. The income the Company generated from Print Direction, Inc., which includes all interest, dividends, PIK interest and dividends, fees, and unrealized depreciation, was $3.6 million and $1.5 million for the six months ended June 30, 2014 and June 30, 2013,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Navis Holdings, Inc.</w:t>
      </w:r>
    </w:p>
    <w:p>
      <w:pPr>
        <w:spacing w:after="0" w:line="23"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Navis Holdings, Inc. incorporated in Delaware on December 21, 2010, designs and manufactures leading machinery for the global knit and woven finishing textile industries. The income the Company generated from Navis Holdings, Inc., which includes all interest, dividends, PIK interest and dividends, fees, and unrealized appreciation, was $2.8 million and $1.5 million for the six months ended June 30, 2014 and June 30, 2013,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On-Site Fuel Service, Inc.</w:t>
      </w:r>
    </w:p>
    <w:p>
      <w:pPr>
        <w:spacing w:after="0" w:line="23"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On-Site Fuel Service, Inc. is a 100% owned subsidiary of On-Site Fuel Holdings, Inc., which was incorporated in Delaware on December 19, 2011. On-Site Fuel Service, Inc. provides fueling services for commercial and government vehicle fleets throughout the southeast United States. The loss the Company generated from On-Site Fuel Service, Inc., which includes all interest, dividends, PIK interest and dividends, fees, and unrealized depreciation, was $2.2 million for the six months ended June 30, 2014. The income the Company generated from On-Site Fuel Service, Inc. which includes all interest, dividends, PIK interest and dividends, fees, and unrealized appreciation was $1.5 million for the six months ended June 30, 2013.</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summarized financial information of our unconsolidated subsidiaries was as follows (dollars in thousands):</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As of</w:t>
            </w:r>
          </w:p>
        </w:tc>
        <w:tc>
          <w:tcPr>
            <w:tcW w:w="1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Balance Sheet - Print Direction, Inc.</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5,955</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11,693</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14,510</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10,496</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14,324</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00" w:type="dxa"/>
            <w:vAlign w:val="bottom"/>
            <w:gridSpan w:val="5"/>
          </w:tcPr>
          <w:p>
            <w:pPr>
              <w:ind w:left="560"/>
              <w:spacing w:after="0"/>
              <w:rPr>
                <w:sz w:val="20"/>
                <w:szCs w:val="20"/>
                <w:color w:val="auto"/>
              </w:rPr>
            </w:pPr>
            <w:r>
              <w:rPr>
                <w:rFonts w:ascii="Arial" w:cs="Arial" w:eastAsia="Arial" w:hAnsi="Arial"/>
                <w:sz w:val="18"/>
                <w:szCs w:val="18"/>
                <w:b w:val="1"/>
                <w:bCs w:val="1"/>
                <w:color w:val="auto"/>
              </w:rPr>
              <w:t>Six Months Ended</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290"/>
              <w:spacing w:after="0" w:line="191" w:lineRule="exact"/>
              <w:rPr>
                <w:sz w:val="20"/>
                <w:szCs w:val="20"/>
                <w:color w:val="auto"/>
              </w:rPr>
            </w:pPr>
            <w:r>
              <w:rPr>
                <w:rFonts w:ascii="Arial" w:cs="Arial" w:eastAsia="Arial" w:hAnsi="Arial"/>
                <w:sz w:val="18"/>
                <w:szCs w:val="18"/>
                <w:b w:val="1"/>
                <w:bCs w:val="1"/>
                <w:color w:val="auto"/>
              </w:rPr>
              <w:t>June 30,</w:t>
            </w: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290"/>
              <w:spacing w:after="0" w:line="191" w:lineRule="exact"/>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80" w:type="dxa"/>
            <w:vAlign w:val="bottom"/>
            <w:gridSpan w:val="2"/>
          </w:tcPr>
          <w:p>
            <w:pPr>
              <w:ind w:left="300"/>
              <w:spacing w:after="0"/>
              <w:rPr>
                <w:sz w:val="20"/>
                <w:szCs w:val="20"/>
                <w:color w:val="auto"/>
              </w:rPr>
            </w:pPr>
            <w:r>
              <w:rPr>
                <w:rFonts w:ascii="Arial" w:cs="Arial" w:eastAsia="Arial" w:hAnsi="Arial"/>
                <w:sz w:val="18"/>
                <w:szCs w:val="18"/>
                <w:b w:val="1"/>
                <w:bCs w:val="1"/>
                <w:color w:val="auto"/>
              </w:rPr>
              <w:t>Statements of Operations - Print Direction, Inc.</w:t>
            </w:r>
          </w:p>
        </w:tc>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12,513</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3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4,611</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5,609</w:t>
            </w:r>
          </w:p>
        </w:tc>
        <w:tc>
          <w:tcPr>
            <w:tcW w:w="120" w:type="dxa"/>
            <w:vAlign w:val="bottom"/>
            <w:tcBorders>
              <w:bottom w:val="single" w:sz="8" w:color="CCEEFF"/>
            </w:tcBorders>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 w:type="dxa"/>
            <w:vAlign w:val="bottom"/>
            <w:vMerge w:val="restart"/>
          </w:tcPr>
          <w:p>
            <w:pPr>
              <w:spacing w:after="0"/>
              <w:rPr>
                <w:sz w:val="17"/>
                <w:szCs w:val="17"/>
                <w:color w:val="auto"/>
              </w:rPr>
            </w:pPr>
          </w:p>
        </w:tc>
        <w:tc>
          <w:tcPr>
            <w:tcW w:w="44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46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6,977</w:t>
            </w: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w:t>
            </w: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income</w:t>
            </w:r>
          </w:p>
        </w:tc>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120" w:type="dxa"/>
            <w:vAlign w:val="bottom"/>
            <w:vMerge w:val="restart"/>
          </w:tcPr>
          <w:p>
            <w:pPr>
              <w:jc w:val="right"/>
              <w:ind w:right="20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34" w:name="page35"/>
    <w:bookmarkEnd w:id="34"/>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Balance Sheet - Navis Holdings, Inc.</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5,707</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5,333</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11,022</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10,549</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6,903</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7,053</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9,080</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8,814</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00" w:type="dxa"/>
            <w:vAlign w:val="bottom"/>
            <w:gridSpan w:val="6"/>
          </w:tcPr>
          <w:p>
            <w:pPr>
              <w:ind w:left="5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40"/>
              <w:spacing w:after="0" w:line="191" w:lineRule="exact"/>
              <w:rPr>
                <w:sz w:val="20"/>
                <w:szCs w:val="20"/>
                <w:color w:val="auto"/>
              </w:rPr>
            </w:pPr>
            <w:r>
              <w:rPr>
                <w:rFonts w:ascii="Arial" w:cs="Arial" w:eastAsia="Arial" w:hAnsi="Arial"/>
                <w:sz w:val="18"/>
                <w:szCs w:val="18"/>
                <w:b w:val="1"/>
                <w:bCs w:val="1"/>
                <w:color w:val="auto"/>
              </w:rPr>
              <w:t>June 30,</w:t>
            </w: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290"/>
              <w:spacing w:after="0" w:line="191" w:lineRule="exact"/>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Statements of Operations - Navis Holdings, Inc.</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5,737</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Balance Sheet – On-Site Fuel Service, Inc.</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17,938</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18,124</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36,623</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33,702</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11,343</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11,442</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27,932</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24,108</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0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June 30,</w:t>
            </w: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290"/>
              <w:spacing w:after="0" w:line="191" w:lineRule="exact"/>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Statements of Operations - On-Site Fuel Service, Inc.</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110,211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119,336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104,868</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113,799</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(904)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w:t>
      </w:r>
    </w:p>
    <w:p>
      <w:pPr>
        <w:spacing w:after="0" w:line="229" w:lineRule="exact"/>
        <w:rPr>
          <w:sz w:val="20"/>
          <w:szCs w:val="20"/>
          <w:color w:val="auto"/>
        </w:rPr>
      </w:pPr>
    </w:p>
    <w:p>
      <w:pPr>
        <w:ind w:right="60" w:firstLine="881"/>
        <w:spacing w:after="0" w:line="312" w:lineRule="auto"/>
        <w:rPr>
          <w:sz w:val="20"/>
          <w:szCs w:val="20"/>
          <w:color w:val="auto"/>
        </w:rPr>
      </w:pPr>
      <w:r>
        <w:rPr>
          <w:rFonts w:ascii="Arial" w:cs="Arial" w:eastAsia="Arial" w:hAnsi="Arial"/>
          <w:sz w:val="16"/>
          <w:szCs w:val="16"/>
          <w:color w:val="auto"/>
        </w:rPr>
        <w:t xml:space="preserve">In accordance with the provisions of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 As of June 30, 2014, there were no dilutive shares.</w:t>
      </w:r>
    </w:p>
    <w:p>
      <w:pPr>
        <w:spacing w:after="0" w:line="36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891" w:right="519" w:bottom="1440" w:gutter="0" w:footer="0" w:header="0"/>
        </w:sectPr>
      </w:pPr>
    </w:p>
    <w:bookmarkStart w:id="35" w:name="page36"/>
    <w:bookmarkEnd w:id="35"/>
    <w:p>
      <w:pPr>
        <w:ind w:right="180" w:firstLine="648"/>
        <w:spacing w:after="0" w:line="308" w:lineRule="auto"/>
        <w:rPr>
          <w:sz w:val="20"/>
          <w:szCs w:val="20"/>
          <w:color w:val="auto"/>
        </w:rPr>
      </w:pPr>
      <w:r>
        <w:rPr>
          <w:rFonts w:ascii="Arial" w:cs="Arial" w:eastAsia="Arial" w:hAnsi="Arial"/>
          <w:sz w:val="17"/>
          <w:szCs w:val="17"/>
          <w:color w:val="auto"/>
        </w:rPr>
        <w:t>The following information sets forth the computation of the weighted average basic and diluted net increase in net assets per share from operations for the three and six months ended June 30, 2014 and June 30, 2013 (dollars in thousands except share and per share data):</w:t>
      </w:r>
    </w:p>
    <w:p>
      <w:pPr>
        <w:spacing w:after="0" w:line="156"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1"/>
              </w:rPr>
              <w:t>For the three months ended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4"/>
              </w:rPr>
              <w:t>For the six months ended</w:t>
            </w:r>
          </w:p>
        </w:tc>
      </w:tr>
      <w:tr>
        <w:trPr>
          <w:trHeight w:val="191"/>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rPr>
              <w:t>June 30,</w:t>
            </w: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w w:val="99"/>
              </w:rPr>
              <w:t>June 30,</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w w:val="97"/>
              </w:rPr>
              <w:t>June 30,</w:t>
            </w: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w w:val="97"/>
              </w:rPr>
              <w:t>June 30,</w:t>
            </w:r>
          </w:p>
        </w:tc>
        <w:tc>
          <w:tcPr>
            <w:tcW w:w="120" w:type="dxa"/>
            <w:vAlign w:val="bottom"/>
          </w:tcPr>
          <w:p>
            <w:pPr>
              <w:spacing w:after="0"/>
              <w:rPr>
                <w:sz w:val="16"/>
                <w:szCs w:val="16"/>
                <w:color w:val="auto"/>
              </w:rPr>
            </w:pPr>
          </w:p>
        </w:tc>
      </w:tr>
      <w:tr>
        <w:trPr>
          <w:trHeight w:val="234"/>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Basic and diluted</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CEEFF"/>
            </w:tcBorders>
          </w:tcPr>
          <w:p>
            <w:pPr>
              <w:spacing w:after="0"/>
              <w:rPr>
                <w:sz w:val="20"/>
                <w:szCs w:val="20"/>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14,152</w:t>
            </w:r>
          </w:p>
        </w:tc>
        <w:tc>
          <w:tcPr>
            <w:tcW w:w="12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12,974,420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12,974,420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2"/>
              </w:rPr>
              <w:t>Net increase in net assets per share from operations-basic and diluted</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Dividend</w:t>
      </w:r>
    </w:p>
    <w:p>
      <w:pPr>
        <w:spacing w:after="0" w:line="229" w:lineRule="exact"/>
        <w:rPr>
          <w:sz w:val="20"/>
          <w:szCs w:val="20"/>
          <w:color w:val="auto"/>
        </w:rPr>
      </w:pPr>
    </w:p>
    <w:p>
      <w:pPr>
        <w:ind w:right="200" w:firstLine="881"/>
        <w:spacing w:after="0" w:line="277" w:lineRule="auto"/>
        <w:rPr>
          <w:sz w:val="20"/>
          <w:szCs w:val="20"/>
          <w:color w:val="auto"/>
        </w:rPr>
      </w:pPr>
      <w:r>
        <w:rPr>
          <w:rFonts w:ascii="Arial" w:cs="Arial" w:eastAsia="Arial" w:hAnsi="Arial"/>
          <w:sz w:val="18"/>
          <w:szCs w:val="18"/>
          <w:color w:val="auto"/>
        </w:rPr>
        <w:t>The Company’s dividends and distributions are recorded on the record date. Shareholders have the option to receive payment of the dividend in cash, shares of common stock, or a combination of cash and common stock.</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the Company’s dividend declarations and distributions through June 30,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4"/>
              </w:rPr>
              <w:t>Amount</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Record Date</w:t>
            </w:r>
          </w:p>
        </w:tc>
        <w:tc>
          <w:tcPr>
            <w:tcW w:w="2560" w:type="dxa"/>
            <w:vAlign w:val="bottom"/>
            <w:gridSpan w:val="2"/>
          </w:tcPr>
          <w:p>
            <w:pPr>
              <w:ind w:left="680"/>
              <w:spacing w:after="0"/>
              <w:rPr>
                <w:sz w:val="20"/>
                <w:szCs w:val="20"/>
                <w:color w:val="auto"/>
              </w:rPr>
            </w:pPr>
            <w:r>
              <w:rPr>
                <w:rFonts w:ascii="Arial" w:cs="Arial" w:eastAsia="Arial" w:hAnsi="Arial"/>
                <w:sz w:val="18"/>
                <w:szCs w:val="18"/>
                <w:b w:val="1"/>
                <w:bCs w:val="1"/>
                <w:color w:val="auto"/>
              </w:rPr>
              <w:t>Payment Date</w:t>
            </w:r>
          </w:p>
        </w:tc>
        <w:tc>
          <w:tcPr>
            <w:tcW w:w="440" w:type="dxa"/>
            <w:vAlign w:val="bottom"/>
          </w:tcPr>
          <w:p>
            <w:pPr>
              <w:spacing w:after="0"/>
              <w:rPr>
                <w:sz w:val="20"/>
                <w:szCs w:val="20"/>
                <w:color w:val="auto"/>
              </w:rPr>
            </w:pPr>
          </w:p>
        </w:tc>
        <w:tc>
          <w:tcPr>
            <w:tcW w:w="20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Per Share</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11, 2013</w:t>
            </w:r>
          </w:p>
        </w:tc>
        <w:tc>
          <w:tcPr>
            <w:tcW w:w="10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10, 2013</w:t>
            </w:r>
          </w:p>
        </w:tc>
        <w:tc>
          <w:tcPr>
            <w:tcW w:w="10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December 30, 2013</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2"/>
          </w:tcPr>
          <w:p>
            <w:pPr>
              <w:jc w:val="right"/>
              <w:ind w:right="100"/>
              <w:spacing w:after="0"/>
              <w:rPr>
                <w:sz w:val="20"/>
                <w:szCs w:val="20"/>
                <w:color w:val="auto"/>
              </w:rPr>
            </w:pPr>
            <w:r>
              <w:rPr>
                <w:rFonts w:ascii="Arial" w:cs="Arial" w:eastAsia="Arial" w:hAnsi="Arial"/>
                <w:sz w:val="18"/>
                <w:szCs w:val="18"/>
                <w:color w:val="auto"/>
              </w:rPr>
              <w:t>Total Dividends Declared</w:t>
            </w: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4"/>
              </w:rPr>
              <w:t>Amount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Record Date</w:t>
            </w:r>
          </w:p>
        </w:tc>
        <w:tc>
          <w:tcPr>
            <w:tcW w:w="2560" w:type="dxa"/>
            <w:vAlign w:val="bottom"/>
            <w:gridSpan w:val="2"/>
          </w:tcPr>
          <w:p>
            <w:pPr>
              <w:ind w:left="680"/>
              <w:spacing w:after="0"/>
              <w:rPr>
                <w:sz w:val="20"/>
                <w:szCs w:val="20"/>
                <w:color w:val="auto"/>
              </w:rPr>
            </w:pPr>
            <w:r>
              <w:rPr>
                <w:rFonts w:ascii="Arial" w:cs="Arial" w:eastAsia="Arial" w:hAnsi="Arial"/>
                <w:sz w:val="18"/>
                <w:szCs w:val="18"/>
                <w:b w:val="1"/>
                <w:bCs w:val="1"/>
                <w:color w:val="auto"/>
              </w:rPr>
              <w:t>Payment Date</w:t>
            </w:r>
          </w:p>
        </w:tc>
        <w:tc>
          <w:tcPr>
            <w:tcW w:w="440" w:type="dxa"/>
            <w:vAlign w:val="bottom"/>
          </w:tcPr>
          <w:p>
            <w:pPr>
              <w:spacing w:after="0"/>
              <w:rPr>
                <w:sz w:val="20"/>
                <w:szCs w:val="20"/>
                <w:color w:val="auto"/>
              </w:rPr>
            </w:pPr>
          </w:p>
        </w:tc>
        <w:tc>
          <w:tcPr>
            <w:tcW w:w="20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Per Share</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27, 2014</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14, 2014</w:t>
            </w:r>
          </w:p>
        </w:tc>
        <w:tc>
          <w:tcPr>
            <w:tcW w:w="10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26, 2014</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May 8, 2014</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June 9, 2014</w:t>
            </w:r>
          </w:p>
        </w:tc>
        <w:tc>
          <w:tcPr>
            <w:tcW w:w="2560" w:type="dxa"/>
            <w:vAlign w:val="bottom"/>
            <w:gridSpan w:val="2"/>
          </w:tcPr>
          <w:p>
            <w:pPr>
              <w:jc w:val="right"/>
              <w:ind w:right="100"/>
              <w:spacing w:after="0"/>
              <w:rPr>
                <w:sz w:val="20"/>
                <w:szCs w:val="20"/>
                <w:color w:val="auto"/>
              </w:rPr>
            </w:pPr>
            <w:r>
              <w:rPr>
                <w:rFonts w:ascii="Arial" w:cs="Arial" w:eastAsia="Arial" w:hAnsi="Arial"/>
                <w:sz w:val="18"/>
                <w:szCs w:val="18"/>
                <w:color w:val="auto"/>
              </w:rPr>
              <w:t>June 26, 2014</w:t>
            </w:r>
          </w:p>
        </w:tc>
        <w:tc>
          <w:tcPr>
            <w:tcW w:w="440" w:type="dxa"/>
            <w:vAlign w:val="bottom"/>
          </w:tcPr>
          <w:p>
            <w:pPr>
              <w:spacing w:after="0"/>
              <w:rPr>
                <w:sz w:val="19"/>
                <w:szCs w:val="19"/>
                <w:color w:val="auto"/>
              </w:rPr>
            </w:pP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5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5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Total Dividends Declared</w:t>
            </w: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vMerge w:val="restart"/>
          </w:tcPr>
          <w:p>
            <w:pPr>
              <w:jc w:val="right"/>
              <w:ind w:right="2170"/>
              <w:spacing w:after="0"/>
              <w:rPr>
                <w:sz w:val="20"/>
                <w:szCs w:val="20"/>
                <w:color w:val="auto"/>
              </w:rPr>
            </w:pPr>
            <w:r>
              <w:rPr>
                <w:rFonts w:ascii="Arial" w:cs="Arial" w:eastAsia="Arial" w:hAnsi="Arial"/>
                <w:sz w:val="18"/>
                <w:szCs w:val="18"/>
                <w:color w:val="auto"/>
                <w:w w:val="89"/>
              </w:rPr>
              <w:t>33</w:t>
            </w: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Note 13. Financial Highlights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is a schedule of financial highlights for the six months ended June 30, 2014 (dollars in thousands, except share and per share data):</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June</w:t>
            </w:r>
          </w:p>
        </w:tc>
      </w:tr>
      <w:tr>
        <w:trPr>
          <w:trHeight w:val="234"/>
        </w:trPr>
        <w:tc>
          <w:tcPr>
            <w:tcW w:w="6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30, 2014</w:t>
            </w:r>
          </w:p>
        </w:tc>
        <w:tc>
          <w:tcPr>
            <w:tcW w:w="200" w:type="dxa"/>
            <w:vAlign w:val="bottom"/>
          </w:tcPr>
          <w:p>
            <w:pPr>
              <w:spacing w:after="0"/>
              <w:rPr>
                <w:sz w:val="20"/>
                <w:szCs w:val="20"/>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Per share data:</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20.71</w:t>
            </w:r>
          </w:p>
        </w:tc>
      </w:tr>
      <w:tr>
        <w:trPr>
          <w:trHeight w:val="216"/>
        </w:trPr>
        <w:tc>
          <w:tcPr>
            <w:tcW w:w="6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investment income(1)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0.87</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investments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w:t>
            </w: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Net decrease in unrealized appreciation on investments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(0.43)</w:t>
            </w:r>
          </w:p>
        </w:tc>
      </w:tr>
      <w:tr>
        <w:trPr>
          <w:trHeight w:val="210"/>
        </w:trPr>
        <w:tc>
          <w:tcPr>
            <w:tcW w:w="69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Net increase in stockholders’ equity</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0.57</w:t>
            </w:r>
          </w:p>
        </w:tc>
      </w:tr>
      <w:tr>
        <w:trPr>
          <w:trHeight w:val="210"/>
        </w:trPr>
        <w:tc>
          <w:tcPr>
            <w:tcW w:w="69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Dividends declared and paid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(0.94)</w:t>
            </w:r>
          </w:p>
        </w:tc>
      </w:tr>
      <w:tr>
        <w:trPr>
          <w:trHeight w:val="216"/>
        </w:trPr>
        <w:tc>
          <w:tcPr>
            <w:tcW w:w="6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asset value at end of period</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20.34</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263,904</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12,974,420</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at end of period</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18.89</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Total return based on market value(2)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(0.32)%</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Ratio of net investment income to average net assets(4)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8.63%</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Ratio of incentive fee to average net assets(4)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Ratio of debt related expenses to average net assets(4)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3.49%</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w w:val="92"/>
              </w:rPr>
              <w:t>Ratio of other operating expenses, net of management fee waiver to average net assets(4)(7)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4.64%</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Ratio of total expenses to average net assets(4)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10.29%</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rate(3)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5.21%</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Average Debt Outstanding(5)</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204,063</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 per common share</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15.73</w:t>
            </w: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Asset Coverage ratio per unit(6)</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1,863</w:t>
            </w:r>
          </w:p>
        </w:tc>
      </w:tr>
    </w:tbl>
    <w:p>
      <w:pPr>
        <w:spacing w:after="0" w:line="187"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investment income per share is calculated using the weighted average shares outstanding during the period.</w:t>
      </w:r>
    </w:p>
    <w:p>
      <w:pPr>
        <w:spacing w:after="0" w:line="23"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dividend reinvestment plan. Total investment return does not reflect brokerage commissions. Total investment returns covering less than a full period are not annualized.</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Portfolio turnover rate is calculated using the lesser of year-to-date sales or year-to-date purchases over the average of the invested assets at fair value.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daily weighted average balance of debt outstanding during the period.</w:t>
      </w:r>
    </w:p>
    <w:p>
      <w:pPr>
        <w:spacing w:after="0" w:line="9" w:lineRule="exact"/>
        <w:rPr>
          <w:rFonts w:ascii="Arial" w:cs="Arial" w:eastAsia="Arial" w:hAnsi="Arial"/>
          <w:sz w:val="18"/>
          <w:szCs w:val="18"/>
          <w:color w:val="auto"/>
        </w:rPr>
      </w:pPr>
    </w:p>
    <w:p>
      <w:pPr>
        <w:jc w:val="both"/>
        <w:ind w:left="580" w:right="260" w:hanging="572"/>
        <w:spacing w:after="0" w:line="250"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consolidated assets, less all liabilities and indebtness not represented by senior securities, to the aggregate amount of senior securities representing indebtness. Asset coverage per unit is expressed in terms of dollar amounts per $1,000 of indebtness.</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ratio of waived management fees to average net assets was .15%.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ind w:right="100" w:firstLine="881"/>
        <w:spacing w:after="0" w:line="264" w:lineRule="auto"/>
        <w:rPr>
          <w:sz w:val="20"/>
          <w:szCs w:val="20"/>
          <w:color w:val="auto"/>
        </w:rPr>
      </w:pPr>
      <w:r>
        <w:rPr>
          <w:rFonts w:ascii="Arial" w:cs="Arial" w:eastAsia="Arial" w:hAnsi="Arial"/>
          <w:sz w:val="18"/>
          <w:szCs w:val="18"/>
          <w:color w:val="auto"/>
        </w:rPr>
        <w:t>Management has evaluated subsequent events through the date of issuance of the consolidated financial statements included herein. There have been no subsequent events that occurred during such period that would be required to be recognized in the consolidated financial statements as of and for the six month period ended June 30, 2014.</w:t>
      </w:r>
    </w:p>
    <w:p>
      <w:pPr>
        <w:spacing w:after="0" w:line="181" w:lineRule="exact"/>
        <w:rPr>
          <w:sz w:val="20"/>
          <w:szCs w:val="20"/>
          <w:color w:val="auto"/>
        </w:rPr>
      </w:pPr>
    </w:p>
    <w:p>
      <w:pPr>
        <w:ind w:right="460" w:firstLine="881"/>
        <w:spacing w:after="0" w:line="277" w:lineRule="auto"/>
        <w:rPr>
          <w:sz w:val="20"/>
          <w:szCs w:val="20"/>
          <w:color w:val="auto"/>
        </w:rPr>
      </w:pPr>
      <w:r>
        <w:rPr>
          <w:rFonts w:ascii="Arial" w:cs="Arial" w:eastAsia="Arial" w:hAnsi="Arial"/>
          <w:sz w:val="18"/>
          <w:szCs w:val="18"/>
          <w:color w:val="auto"/>
        </w:rPr>
        <w:t>On July 15, 2014, the Company invested approximately $7.2 million in the junior subordinated debt (12% cash interest), $5.0 million in the senior subordinated debt (14% cash interest), and $1.8 million in the common equity of Burgaflex Holdings, LLC.</w:t>
      </w:r>
    </w:p>
    <w:p>
      <w:pPr>
        <w:spacing w:after="0" w:line="170" w:lineRule="exact"/>
        <w:rPr>
          <w:sz w:val="20"/>
          <w:szCs w:val="20"/>
          <w:color w:val="auto"/>
        </w:rPr>
      </w:pPr>
    </w:p>
    <w:p>
      <w:pPr>
        <w:ind w:right="420" w:firstLine="881"/>
        <w:spacing w:after="0" w:line="277" w:lineRule="auto"/>
        <w:rPr>
          <w:sz w:val="20"/>
          <w:szCs w:val="20"/>
          <w:color w:val="auto"/>
        </w:rPr>
      </w:pPr>
      <w:r>
        <w:rPr>
          <w:rFonts w:ascii="Arial" w:cs="Arial" w:eastAsia="Arial" w:hAnsi="Arial"/>
          <w:sz w:val="18"/>
          <w:szCs w:val="18"/>
          <w:color w:val="auto"/>
        </w:rPr>
        <w:t>On July 17, 2014, the Company invested approximately $12.5 million in the senior secured debt (12% cash, 4% PIK) of Sequoia Healthcare Management, LLC.</w:t>
      </w:r>
    </w:p>
    <w:p>
      <w:pPr>
        <w:spacing w:after="0" w:line="170" w:lineRule="exact"/>
        <w:rPr>
          <w:sz w:val="20"/>
          <w:szCs w:val="20"/>
          <w:color w:val="auto"/>
        </w:rPr>
      </w:pPr>
    </w:p>
    <w:p>
      <w:pPr>
        <w:ind w:right="460" w:firstLine="881"/>
        <w:spacing w:after="0" w:line="277" w:lineRule="auto"/>
        <w:rPr>
          <w:sz w:val="20"/>
          <w:szCs w:val="20"/>
          <w:color w:val="auto"/>
        </w:rPr>
      </w:pPr>
      <w:r>
        <w:rPr>
          <w:rFonts w:ascii="Arial" w:cs="Arial" w:eastAsia="Arial" w:hAnsi="Arial"/>
          <w:sz w:val="18"/>
          <w:szCs w:val="18"/>
          <w:color w:val="auto"/>
        </w:rPr>
        <w:t>On July 25, 2014, the Company invested approximately $3.0 million in the subordinated debt (cash interest of LIBOR + 9.0%, 1% floor) of Meritas Schools Holdings, LLC.</w:t>
      </w:r>
    </w:p>
    <w:p>
      <w:pPr>
        <w:spacing w:after="0" w:line="170" w:lineRule="exact"/>
        <w:rPr>
          <w:sz w:val="20"/>
          <w:szCs w:val="20"/>
          <w:color w:val="auto"/>
        </w:rPr>
      </w:pPr>
    </w:p>
    <w:p>
      <w:pPr>
        <w:ind w:right="240" w:firstLine="881"/>
        <w:spacing w:after="0" w:line="264" w:lineRule="auto"/>
        <w:rPr>
          <w:sz w:val="20"/>
          <w:szCs w:val="20"/>
          <w:color w:val="auto"/>
        </w:rPr>
      </w:pPr>
      <w:r>
        <w:rPr>
          <w:rFonts w:ascii="Arial" w:cs="Arial" w:eastAsia="Arial" w:hAnsi="Arial"/>
          <w:sz w:val="18"/>
          <w:szCs w:val="18"/>
          <w:color w:val="auto"/>
        </w:rPr>
        <w:t>On August 1, 2014, the Company invested $5.3 million in senior revolving debt (current contractual rate of LIBOR plus 6.75% cash interest, .25% floor) and $3.4 million in senior term debt (current contractual rate of LIBOR plus 7.75% cash interest, .25% floor) for Impresa Aerospace Holdings, LLC, an existing portfolio company.</w:t>
      </w:r>
    </w:p>
    <w:p>
      <w:pPr>
        <w:spacing w:after="0" w:line="181" w:lineRule="exact"/>
        <w:rPr>
          <w:sz w:val="20"/>
          <w:szCs w:val="20"/>
          <w:color w:val="auto"/>
        </w:rPr>
      </w:pPr>
    </w:p>
    <w:p>
      <w:pPr>
        <w:ind w:right="480" w:firstLine="881"/>
        <w:spacing w:after="0" w:line="277" w:lineRule="auto"/>
        <w:rPr>
          <w:sz w:val="20"/>
          <w:szCs w:val="20"/>
          <w:color w:val="auto"/>
        </w:rPr>
      </w:pPr>
      <w:r>
        <w:rPr>
          <w:rFonts w:ascii="Arial" w:cs="Arial" w:eastAsia="Arial" w:hAnsi="Arial"/>
          <w:sz w:val="18"/>
          <w:szCs w:val="18"/>
          <w:color w:val="auto"/>
        </w:rPr>
        <w:t>On August 5, 2014, the Company invested $4.0 million in the senior secured debt (12% cash interest, 2% PIK) of Sparus Holdings, Inc., an existing portfolio company.</w:t>
      </w:r>
    </w:p>
    <w:p>
      <w:pPr>
        <w:spacing w:after="0" w:line="170" w:lineRule="exact"/>
        <w:rPr>
          <w:sz w:val="20"/>
          <w:szCs w:val="20"/>
          <w:color w:val="auto"/>
        </w:rPr>
      </w:pPr>
    </w:p>
    <w:p>
      <w:pPr>
        <w:ind w:right="20" w:firstLine="881"/>
        <w:spacing w:after="0" w:line="277" w:lineRule="auto"/>
        <w:rPr>
          <w:sz w:val="20"/>
          <w:szCs w:val="20"/>
          <w:color w:val="auto"/>
        </w:rPr>
      </w:pPr>
      <w:r>
        <w:rPr>
          <w:rFonts w:ascii="Arial" w:cs="Arial" w:eastAsia="Arial" w:hAnsi="Arial"/>
          <w:sz w:val="18"/>
          <w:szCs w:val="18"/>
          <w:color w:val="auto"/>
        </w:rPr>
        <w:t>On August 7, 2014, the Company’s Board declared a quarterly dividend of $0.47 per share payable on September 26, 2014 to holders of record as of September 12, 2014.</w:t>
      </w:r>
    </w:p>
    <w:p>
      <w:pPr>
        <w:sectPr>
          <w:pgSz w:w="11900" w:h="16838" w:orient="portrait"/>
          <w:cols w:equalWidth="0" w:num="1">
            <w:col w:w="11400"/>
          </w:cols>
          <w:pgMar w:left="240" w:top="877" w:right="259" w:bottom="166" w:gutter="0" w:footer="0" w:header="0"/>
        </w:sectPr>
      </w:pPr>
    </w:p>
    <w:bookmarkStart w:id="37" w:name="page38"/>
    <w:bookmarkEnd w:id="37"/>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520" w:firstLine="881"/>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related notes and other financial information appearing elsewhere in this Quarterly Report on Form 10-Q.</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Except as otherwise specified, references to “we,” “us,” “our” or the “Company”, refer to Capitala Finance Corp.</w:t>
      </w:r>
    </w:p>
    <w:p>
      <w:pPr>
        <w:spacing w:after="0" w:line="225" w:lineRule="exact"/>
        <w:rPr>
          <w:sz w:val="20"/>
          <w:szCs w:val="20"/>
          <w:color w:val="auto"/>
        </w:rPr>
      </w:pPr>
    </w:p>
    <w:p>
      <w:pPr>
        <w:ind w:firstLine="881"/>
        <w:spacing w:after="0" w:line="297" w:lineRule="auto"/>
        <w:rPr>
          <w:sz w:val="20"/>
          <w:szCs w:val="20"/>
          <w:color w:val="auto"/>
        </w:rPr>
      </w:pPr>
      <w:r>
        <w:rPr>
          <w:rFonts w:ascii="Arial" w:cs="Arial" w:eastAsia="Arial" w:hAnsi="Arial"/>
          <w:sz w:val="16"/>
          <w:szCs w:val="16"/>
          <w:color w:val="auto"/>
        </w:rPr>
        <w:t>This Quarterly Report,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forward-looking statements contained in this Quarterly Report on Form 10-Q involve risks and uncertainties, including statements as to:</w:t>
      </w:r>
    </w:p>
    <w:p>
      <w:pPr>
        <w:spacing w:after="0" w:line="237" w:lineRule="exact"/>
        <w:rPr>
          <w:sz w:val="20"/>
          <w:szCs w:val="20"/>
          <w:color w:val="auto"/>
        </w:rPr>
      </w:pPr>
    </w:p>
    <w:p>
      <w:pPr>
        <w:ind w:left="1440" w:hanging="446"/>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sz w:val="20"/>
          <w:szCs w:val="20"/>
          <w:color w:val="auto"/>
        </w:rPr>
      </w:pPr>
    </w:p>
    <w:p>
      <w:pPr>
        <w:ind w:right="20" w:firstLine="881"/>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1" w:lineRule="exact"/>
        <w:rPr>
          <w:sz w:val="20"/>
          <w:szCs w:val="20"/>
          <w:color w:val="auto"/>
        </w:rPr>
      </w:pPr>
    </w:p>
    <w:p>
      <w:pPr>
        <w:ind w:left="1440" w:right="20" w:hanging="446"/>
        <w:spacing w:after="0" w:line="277" w:lineRule="auto"/>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or repay their borrowings, which could lead to the loss of some or all of our investments in such portfolio companies;</w:t>
      </w:r>
    </w:p>
    <w:p>
      <w:pPr>
        <w:spacing w:after="0" w:line="170" w:lineRule="exact"/>
        <w:rPr>
          <w:rFonts w:ascii="Arial" w:cs="Arial" w:eastAsia="Arial" w:hAnsi="Arial"/>
          <w:sz w:val="18"/>
          <w:szCs w:val="18"/>
          <w:color w:val="auto"/>
        </w:rPr>
      </w:pPr>
    </w:p>
    <w:p>
      <w:pPr>
        <w:ind w:left="1440" w:hanging="446"/>
        <w:spacing w:after="0"/>
        <w:tabs>
          <w:tab w:leader="none" w:pos="1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contraction of available credit and/or an inability to access the equity markets could impair our lending and investment activities;</w:t>
      </w:r>
    </w:p>
    <w:p>
      <w:pPr>
        <w:spacing w:after="0" w:line="236" w:lineRule="exact"/>
        <w:rPr>
          <w:rFonts w:ascii="Arial" w:cs="Arial" w:eastAsia="Arial" w:hAnsi="Arial"/>
          <w:sz w:val="17"/>
          <w:szCs w:val="17"/>
          <w:color w:val="auto"/>
        </w:rPr>
      </w:pPr>
    </w:p>
    <w:p>
      <w:pPr>
        <w:ind w:left="1440" w:hanging="446"/>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if we use leverage as part of our investment strategy; and</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and elsewhere in this Quarterly Report on Form 10-Q.</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9" w:name="page40"/>
    <w:bookmarkEnd w:id="39"/>
    <w:p>
      <w:pPr>
        <w:ind w:right="20" w:firstLine="881"/>
        <w:spacing w:after="0" w:line="271"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in our Annual Report on Form 10-K. You should not place undue reliance on these forward-looking statements, which apply only as of the date of this Quarterly Report on Form 10-Q. We undertake no obligation to revise or update any forward-looking statements, whether as a result of new information, future events or otherwise, unless required by law or U.S. Securities and Exchange Commission (“SEC”) rule or regulation.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We are a Maryland corporation that has elected to be regulated as a business development company (“BDC”) under the Investment Company Act of 1940 (the “1940 Act”). We are an emerging growth company within the meaning of the Jumpstart Our Business Startups Act of 2012 (the “JOBS Act”), and as such, are subject to reduced public company reporting requirements. Our investment objective is to generate both current income and capital appreciation through debt and equity investments. We are managed by Capitala Investment Advisors, LLC (the “Investment Advisor”), and Capitala Advisors Corp. (the “Administrator”) provides the administrative services necessary for us to operate.</w:t>
      </w:r>
    </w:p>
    <w:p>
      <w:pPr>
        <w:spacing w:after="0" w:line="188" w:lineRule="exact"/>
        <w:rPr>
          <w:sz w:val="20"/>
          <w:szCs w:val="20"/>
          <w:color w:val="auto"/>
        </w:rPr>
      </w:pPr>
    </w:p>
    <w:p>
      <w:pPr>
        <w:ind w:right="40" w:firstLine="881"/>
        <w:spacing w:after="0" w:line="279" w:lineRule="auto"/>
        <w:rPr>
          <w:sz w:val="20"/>
          <w:szCs w:val="20"/>
          <w:color w:val="auto"/>
        </w:rPr>
      </w:pPr>
      <w:r>
        <w:rPr>
          <w:rFonts w:ascii="Arial" w:cs="Arial" w:eastAsia="Arial" w:hAnsi="Arial"/>
          <w:sz w:val="17"/>
          <w:szCs w:val="17"/>
          <w:color w:val="auto"/>
        </w:rPr>
        <w:t>We provide capital to smaller and lower middle-market companies in the United States, with a non-exclusive emphasis on the Southeast, Southwest and Mid-Atlantic regions. We invest primarily in companies with a history of earnings growth and positive cash flow, proven management teams, product or service with competitive advantages and industry-appropriate margins. We primarily invest in companies with between $5 million and $30 million in trailing twelve month earnings before interest, tax, depreciation and amortization (“EBITDA”).</w:t>
      </w:r>
    </w:p>
    <w:p>
      <w:pPr>
        <w:spacing w:after="0" w:line="171" w:lineRule="exact"/>
        <w:rPr>
          <w:sz w:val="20"/>
          <w:szCs w:val="20"/>
          <w:color w:val="auto"/>
        </w:rPr>
      </w:pPr>
    </w:p>
    <w:p>
      <w:pPr>
        <w:ind w:right="120" w:firstLine="881"/>
        <w:spacing w:after="0" w:line="286" w:lineRule="auto"/>
        <w:rPr>
          <w:sz w:val="20"/>
          <w:szCs w:val="20"/>
          <w:color w:val="auto"/>
        </w:rPr>
      </w:pPr>
      <w:r>
        <w:rPr>
          <w:rFonts w:ascii="Arial" w:cs="Arial" w:eastAsia="Arial" w:hAnsi="Arial"/>
          <w:sz w:val="17"/>
          <w:szCs w:val="17"/>
          <w:color w:val="auto"/>
        </w:rPr>
        <w:t xml:space="preserve">We invest in mezzanine and senior subordinated debt investments that are secured by subordinated liens on all of our borrowers’ assets and, to a lesser extent, in senior, cash flow-based “unitranche” securities. Most of our debt investments are coupled with equity interests, whether in the form of detachable “penny” warrants or equity co-investments made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our borrowers’ financial sponsors.</w:t>
      </w:r>
    </w:p>
    <w:p>
      <w:pPr>
        <w:spacing w:after="0" w:line="166"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As a BDC, we are required to comply with certain regulatory requirements. For instance, we generally have to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200% after such borrowing, with certain limited exceptions. To maintain our regulated investment company (“RIC”) status, we must meet specified source-of-income and asset diversification requirements. To maintain our RIC tax treatment under subchapter M for U.S. federal income tax purposes, we must distribute at least 90% of our net ordinary income and realized net short-term capital gains in excess of realized net long-term capital losses, if any, for the taxable year.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ind w:firstLine="881"/>
        <w:spacing w:after="0" w:line="273" w:lineRule="auto"/>
        <w:rPr>
          <w:sz w:val="20"/>
          <w:szCs w:val="20"/>
          <w:color w:val="auto"/>
        </w:rPr>
      </w:pPr>
      <w:r>
        <w:rPr>
          <w:rFonts w:ascii="Arial" w:cs="Arial" w:eastAsia="Arial" w:hAnsi="Arial"/>
          <w:sz w:val="17"/>
          <w:szCs w:val="17"/>
          <w:color w:val="auto"/>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smaller and lower middle market companies.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0" w:name="page41"/>
    <w:bookmarkEnd w:id="40"/>
    <w:p>
      <w:pPr>
        <w:ind w:firstLine="881"/>
        <w:spacing w:after="0" w:line="286" w:lineRule="auto"/>
        <w:rPr>
          <w:sz w:val="20"/>
          <w:szCs w:val="20"/>
          <w:color w:val="auto"/>
        </w:rPr>
      </w:pPr>
      <w:r>
        <w:rPr>
          <w:rFonts w:ascii="Arial" w:cs="Arial" w:eastAsia="Arial" w:hAnsi="Arial"/>
          <w:sz w:val="16"/>
          <w:szCs w:val="16"/>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Fund’s wholly-owned subsidiaries. Fund II and Fund III retained their SBIC licenses and continue to hold their existing investments and continue to make new investments. The IPO consisted of the sale of</w:t>
      </w:r>
    </w:p>
    <w:p>
      <w:pPr>
        <w:spacing w:after="0" w:line="2" w:lineRule="exact"/>
        <w:rPr>
          <w:sz w:val="20"/>
          <w:szCs w:val="20"/>
          <w:color w:val="auto"/>
        </w:rPr>
      </w:pPr>
    </w:p>
    <w:p>
      <w:pPr>
        <w:jc w:val="both"/>
        <w:ind w:right="160"/>
        <w:spacing w:after="0" w:line="277" w:lineRule="auto"/>
        <w:rPr>
          <w:sz w:val="20"/>
          <w:szCs w:val="20"/>
          <w:color w:val="auto"/>
        </w:rPr>
      </w:pPr>
      <w:r>
        <w:rPr>
          <w:rFonts w:ascii="Arial" w:cs="Arial" w:eastAsia="Arial" w:hAnsi="Arial"/>
          <w:sz w:val="17"/>
          <w:szCs w:val="17"/>
          <w:color w:val="auto"/>
        </w:rPr>
        <w:t>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As of June 30, 2014, the Company had 12,974,420 shares of common stock outstanding.</w:t>
      </w:r>
    </w:p>
    <w:p>
      <w:pPr>
        <w:spacing w:after="0" w:line="173" w:lineRule="exact"/>
        <w:rPr>
          <w:sz w:val="20"/>
          <w:szCs w:val="20"/>
          <w:color w:val="auto"/>
        </w:rPr>
      </w:pPr>
    </w:p>
    <w:p>
      <w:pPr>
        <w:ind w:firstLine="881"/>
        <w:spacing w:after="0" w:line="279" w:lineRule="auto"/>
        <w:rPr>
          <w:sz w:val="20"/>
          <w:szCs w:val="20"/>
          <w:color w:val="auto"/>
        </w:rPr>
      </w:pPr>
      <w:r>
        <w:rPr>
          <w:rFonts w:ascii="Arial" w:cs="Arial" w:eastAsia="Arial" w:hAnsi="Arial"/>
          <w:sz w:val="17"/>
          <w:szCs w:val="17"/>
          <w:color w:val="auto"/>
        </w:rPr>
        <w:t>At the time of the Formation Transactions, our portfolio consisted of: (i) approximately $326.3 million in investments; (ii) an aggregate of approximately $67.1 million in cash, interest receivable and other assets; and (iii) liabilities of approximately $202.2 million of SBA-guaranteed debt payable. We have two SBIC-licensed subsidiaries that have elected to be regulated as BDCs under the 1940 Act. We may also seek other forms of leverage and borrow funds to make investments, including before we have fully invested the proceeds of this offering.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0" w:firstLine="881"/>
        <w:spacing w:after="0" w:line="271" w:lineRule="auto"/>
        <w:rPr>
          <w:sz w:val="20"/>
          <w:szCs w:val="20"/>
          <w:color w:val="auto"/>
        </w:rPr>
      </w:pPr>
      <w:r>
        <w:rPr>
          <w:rFonts w:ascii="Arial" w:cs="Arial" w:eastAsia="Arial" w:hAnsi="Arial"/>
          <w:sz w:val="17"/>
          <w:szCs w:val="17"/>
          <w:color w:val="auto"/>
        </w:rPr>
        <w:t xml:space="preserve">The accompanying consolidated financial statements have been prepared on the accrual basis of accounting in conformity with U.S. generally accepted accounting principles (“U.S. GAAP”). The consolidated financial statements of the Company include the accounts of the Company and its wholly-owned subsidiaries as described in the Formation Transactions presented in Note 1 to our Consolidated Financial Statements. The transactions related to Fund II, Fund III, and the Florida Sidecar constitute an exchange of shares between entities under common control and will be accounted for in accordance with the Accounting Standards Codification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As such, the results of the Company’s operations and cash flows for the six months ended June 30, 2013, have been presented on a combined basis in order to provide comparative information with respect to prior periods. The Formation Transactions also included an asset acquisition of certain assets in Fund I and Fund III Parent. In accordance with ASC 805, the assets acquired were recorded at fair value at the date of acquisition, September 24, 2013.</w:t>
      </w:r>
    </w:p>
    <w:p>
      <w:pPr>
        <w:spacing w:after="0" w:line="179" w:lineRule="exact"/>
        <w:rPr>
          <w:sz w:val="20"/>
          <w:szCs w:val="20"/>
          <w:color w:val="auto"/>
        </w:rPr>
      </w:pPr>
    </w:p>
    <w:p>
      <w:pPr>
        <w:ind w:right="140" w:firstLine="881"/>
        <w:spacing w:after="0" w:line="279" w:lineRule="auto"/>
        <w:rPr>
          <w:sz w:val="20"/>
          <w:szCs w:val="20"/>
          <w:color w:val="auto"/>
        </w:rPr>
      </w:pPr>
      <w:r>
        <w:rPr>
          <w:rFonts w:ascii="Arial" w:cs="Arial" w:eastAsia="Arial" w:hAnsi="Arial"/>
          <w:sz w:val="17"/>
          <w:szCs w:val="17"/>
          <w:color w:val="auto"/>
        </w:rPr>
        <w:t>The Company’s financial position as of June 30, 2014 is presented on a consolidated basis. The effects of all intercompany transactions between the Company and its subsidiaries (Fund II, Fund III, and the Florida Sidecar) have been eliminated in consolidation. All financial data and information included in these financial statements have been presented on the basis described above. In the opinion of management, the financial statements reflect all adjustments that are necessary for the fair presentation of financial results as of and for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140" w:firstLine="881"/>
        <w:spacing w:after="0" w:line="257" w:lineRule="auto"/>
        <w:rPr>
          <w:sz w:val="20"/>
          <w:szCs w:val="20"/>
          <w:color w:val="auto"/>
        </w:rPr>
      </w:pPr>
      <w:r>
        <w:rPr>
          <w:rFonts w:ascii="Arial" w:cs="Arial" w:eastAsia="Arial" w:hAnsi="Arial"/>
          <w:sz w:val="18"/>
          <w:szCs w:val="18"/>
          <w:color w:val="auto"/>
        </w:rPr>
        <w:t>We generate revenue primarily from the periodic cash interest we will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origination, structuring or diligence fees, monitoring fees, fees for providing managerial assistance and possibly consulting fees and performance-based fees. These fees will be recognized as they are earned.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80" w:firstLine="881"/>
        <w:spacing w:after="0" w:line="279" w:lineRule="auto"/>
        <w:rPr>
          <w:sz w:val="20"/>
          <w:szCs w:val="20"/>
          <w:color w:val="auto"/>
        </w:rPr>
      </w:pPr>
      <w:r>
        <w:rPr>
          <w:rFonts w:ascii="Arial" w:cs="Arial" w:eastAsia="Arial" w:hAnsi="Arial"/>
          <w:sz w:val="17"/>
          <w:szCs w:val="17"/>
          <w:color w:val="auto"/>
        </w:rPr>
        <w:t>Our primary operating expenses include the payment of investment advisory fees to our Investment Adviser, our allocable portion of overhead and other expenses incurred by our Administrator in performing its obligations under the Administration Agreement and other operating expenses as detailed below. Our investment advisory fee will compensate our Investment Adviser for its work in identifying, evaluating, negotiating, closing, monitoring and servicing our investments. We will bear all other expenses of our operations and transactions, including (without limitation):</w:t>
      </w:r>
    </w:p>
    <w:p>
      <w:pPr>
        <w:spacing w:after="0" w:line="171" w:lineRule="exact"/>
        <w:rPr>
          <w:sz w:val="20"/>
          <w:szCs w:val="20"/>
          <w:color w:val="auto"/>
        </w:rPr>
      </w:pPr>
    </w:p>
    <w:p>
      <w:pPr>
        <w:ind w:left="1440" w:hanging="446"/>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our organization;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1" w:name="page42"/>
    <w:bookmarkEnd w:id="41"/>
    <w:p>
      <w:pPr>
        <w:ind w:left="1440" w:hanging="446"/>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effecting sales and repurchases of our shares and other securities;</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payable on debt, if any, to finance our investments;</w:t>
      </w:r>
    </w:p>
    <w:p>
      <w:pPr>
        <w:spacing w:after="0" w:line="225" w:lineRule="exact"/>
        <w:rPr>
          <w:rFonts w:ascii="Arial" w:cs="Arial" w:eastAsia="Arial" w:hAnsi="Arial"/>
          <w:sz w:val="18"/>
          <w:szCs w:val="18"/>
          <w:color w:val="auto"/>
        </w:rPr>
      </w:pPr>
    </w:p>
    <w:p>
      <w:pPr>
        <w:ind w:left="1440" w:right="140" w:hanging="446"/>
        <w:spacing w:after="0" w:line="277" w:lineRule="auto"/>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reviews of prospective investments and advisory fees;</w:t>
      </w:r>
    </w:p>
    <w:p>
      <w:pPr>
        <w:spacing w:after="0" w:line="170" w:lineRule="exact"/>
        <w:rPr>
          <w:rFonts w:ascii="Arial" w:cs="Arial" w:eastAsia="Arial" w:hAnsi="Arial"/>
          <w:sz w:val="18"/>
          <w:szCs w:val="18"/>
          <w:color w:val="auto"/>
        </w:rPr>
      </w:pPr>
    </w:p>
    <w:p>
      <w:pPr>
        <w:ind w:left="1440" w:hanging="446"/>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225" w:lineRule="exact"/>
        <w:rPr>
          <w:rFonts w:ascii="Arial" w:cs="Arial" w:eastAsia="Arial" w:hAnsi="Arial"/>
          <w:sz w:val="18"/>
          <w:szCs w:val="18"/>
          <w:color w:val="auto"/>
        </w:rPr>
      </w:pPr>
    </w:p>
    <w:p>
      <w:pPr>
        <w:ind w:left="1440" w:right="100" w:hanging="446"/>
        <w:spacing w:after="0" w:line="277" w:lineRule="auto"/>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Securities Exchange Act of 1934 (the “Exchange Act”), other applicable federal and state securities laws and ongoing stock exchange listing fees;</w:t>
      </w:r>
    </w:p>
    <w:p>
      <w:pPr>
        <w:spacing w:after="0" w:line="170" w:lineRule="exact"/>
        <w:rPr>
          <w:rFonts w:ascii="Arial" w:cs="Arial" w:eastAsia="Arial" w:hAnsi="Arial"/>
          <w:sz w:val="18"/>
          <w:szCs w:val="18"/>
          <w:color w:val="auto"/>
        </w:rPr>
      </w:pPr>
    </w:p>
    <w:p>
      <w:pPr>
        <w:ind w:left="1440" w:hanging="446"/>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proxy statements, stockholders’ reports and other communications with stockholders;</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fidelity bond, directors’ and officers’ liability insurance, errors and omissions liability insurance and other insurance premiums;</w:t>
      </w:r>
    </w:p>
    <w:p>
      <w:pPr>
        <w:spacing w:after="0" w:line="236" w:lineRule="exact"/>
        <w:rPr>
          <w:rFonts w:ascii="Arial" w:cs="Arial" w:eastAsia="Arial" w:hAnsi="Arial"/>
          <w:sz w:val="17"/>
          <w:szCs w:val="17"/>
          <w:color w:val="auto"/>
        </w:rPr>
      </w:pPr>
    </w:p>
    <w:p>
      <w:pPr>
        <w:ind w:left="1440" w:hanging="446"/>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telephone and staff;</w:t>
      </w:r>
    </w:p>
    <w:p>
      <w:pPr>
        <w:spacing w:after="0" w:line="225" w:lineRule="exact"/>
        <w:rPr>
          <w:rFonts w:ascii="Arial" w:cs="Arial" w:eastAsia="Arial" w:hAnsi="Arial"/>
          <w:sz w:val="18"/>
          <w:szCs w:val="18"/>
          <w:color w:val="auto"/>
        </w:rPr>
      </w:pPr>
    </w:p>
    <w:p>
      <w:pPr>
        <w:ind w:left="1440" w:hanging="446"/>
        <w:spacing w:after="0"/>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 and</w:t>
      </w:r>
    </w:p>
    <w:p>
      <w:pPr>
        <w:spacing w:after="0" w:line="225" w:lineRule="exact"/>
        <w:rPr>
          <w:rFonts w:ascii="Arial" w:cs="Arial" w:eastAsia="Arial" w:hAnsi="Arial"/>
          <w:sz w:val="18"/>
          <w:szCs w:val="18"/>
          <w:color w:val="auto"/>
        </w:rPr>
      </w:pPr>
    </w:p>
    <w:p>
      <w:pPr>
        <w:ind w:left="1440" w:hanging="446"/>
        <w:spacing w:after="0" w:line="257" w:lineRule="auto"/>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and our chief financial officer and any administrative support staff.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right="40" w:firstLine="881"/>
        <w:spacing w:after="0" w:line="271" w:lineRule="auto"/>
        <w:rPr>
          <w:sz w:val="20"/>
          <w:szCs w:val="20"/>
          <w:color w:val="auto"/>
        </w:rPr>
      </w:pPr>
      <w:r>
        <w:rPr>
          <w:rFonts w:ascii="Arial" w:cs="Arial" w:eastAsia="Arial" w:hAnsi="Arial"/>
          <w:sz w:val="17"/>
          <w:szCs w:val="17"/>
          <w:color w:val="auto"/>
        </w:rPr>
        <w:t>In the preparation of our consolidated financial statements and related disclosures, we have adopted various accounting policies that govern the application of U.S. GAAP. Our significant accounting policies are described in Note 2 to our Consolidated Financial Statements. While all of these policies are important to understanding our consolidated financial statements, certain accounting policies and estimates are considered critical due to their impact on the reported amounts of assets and liabilities at the date of the consolidated financial statements and the reported amounts of revenues and expenses for the periods covered by such financial statements. We have identified investment valuation, revenue recognition, and income taxes as our most critical accounting estimates. We continuously evaluate our estimates, including those related to the matters described below. Because of the nature of the judgment and assumptions we make, actual results could materially differ from those estimates under different assumptions or conditions. A discussion of our critical accounting policies follows.</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ind w:right="20" w:firstLine="881"/>
        <w:spacing w:after="0" w:line="279" w:lineRule="auto"/>
        <w:rPr>
          <w:sz w:val="20"/>
          <w:szCs w:val="20"/>
          <w:color w:val="auto"/>
        </w:rPr>
      </w:pPr>
      <w:r>
        <w:rPr>
          <w:rFonts w:ascii="Arial" w:cs="Arial" w:eastAsia="Arial" w:hAnsi="Arial"/>
          <w:sz w:val="17"/>
          <w:szCs w:val="17"/>
          <w:color w:val="auto"/>
        </w:rPr>
        <w:t xml:space="preserve">The Company applies fair value accounting to all of its financial instruments in accordance with the 1940 Act and ASC Topic 820 -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and Disclosures </w:t>
      </w:r>
      <w:r>
        <w:rPr>
          <w:rFonts w:ascii="Arial" w:cs="Arial" w:eastAsia="Arial" w:hAnsi="Arial"/>
          <w:sz w:val="17"/>
          <w:szCs w:val="17"/>
          <w:color w:val="auto"/>
        </w:rPr>
        <w:t>(“ASC 820”). ASC 820 defines fair value, establishes a framework used to measure fair value and requires disclosures for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measurements. In accordance with ASC 820, the Company has categorized its financial instruments carried at fair value, based on the priority of the valuation technique, into a three-level fair value hierarchy as discussed in Note 4 to our Consolidated Financial Statements.</w:t>
      </w:r>
    </w:p>
    <w:p>
      <w:pPr>
        <w:spacing w:after="0" w:line="171" w:lineRule="exact"/>
        <w:rPr>
          <w:sz w:val="20"/>
          <w:szCs w:val="20"/>
          <w:color w:val="auto"/>
        </w:rPr>
      </w:pPr>
    </w:p>
    <w:p>
      <w:pPr>
        <w:ind w:right="120" w:firstLine="881"/>
        <w:spacing w:after="0" w:line="259" w:lineRule="auto"/>
        <w:rPr>
          <w:sz w:val="20"/>
          <w:szCs w:val="20"/>
          <w:color w:val="auto"/>
        </w:rPr>
      </w:pPr>
      <w:r>
        <w:rPr>
          <w:rFonts w:ascii="Arial" w:cs="Arial" w:eastAsia="Arial" w:hAnsi="Arial"/>
          <w:sz w:val="18"/>
          <w:szCs w:val="18"/>
          <w:color w:val="auto"/>
        </w:rPr>
        <w:t>In determining fair value, our board of directors (the “Board”) uses various valuation approaches, and engages a third-party independent valuation firm, which provides positive assurance on the investments they review.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87"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 The fair value hierarchy is categorized into three levels based on the inputs as follows:</w:t>
      </w:r>
    </w:p>
    <w:p>
      <w:pPr>
        <w:spacing w:after="0" w:line="183" w:lineRule="exact"/>
        <w:rPr>
          <w:sz w:val="20"/>
          <w:szCs w:val="20"/>
          <w:color w:val="auto"/>
        </w:rPr>
      </w:pPr>
    </w:p>
    <w:p>
      <w:pPr>
        <w:ind w:left="880" w:right="360"/>
        <w:spacing w:after="0" w:line="314" w:lineRule="auto"/>
        <w:rPr>
          <w:sz w:val="20"/>
          <w:szCs w:val="20"/>
          <w:color w:val="auto"/>
        </w:rPr>
      </w:pPr>
      <w:r>
        <w:rPr>
          <w:rFonts w:ascii="Arial" w:cs="Arial" w:eastAsia="Arial" w:hAnsi="Arial"/>
          <w:sz w:val="16"/>
          <w:szCs w:val="16"/>
          <w:b w:val="1"/>
          <w:bCs w:val="1"/>
          <w:color w:val="auto"/>
        </w:rPr>
        <w:t xml:space="preserve">Level 1 </w:t>
      </w:r>
      <w:r>
        <w:rPr>
          <w:rFonts w:ascii="Arial" w:cs="Arial" w:eastAsia="Arial" w:hAnsi="Arial"/>
          <w:sz w:val="16"/>
          <w:szCs w:val="16"/>
          <w:color w:val="auto"/>
        </w:rPr>
        <w:t>– Valuations based on unadjusted quoted prices in active markets for identical assets or liabilities that the Company has the ability to</w:t>
      </w:r>
      <w:r>
        <w:rPr>
          <w:rFonts w:ascii="Arial" w:cs="Arial" w:eastAsia="Arial" w:hAnsi="Arial"/>
          <w:sz w:val="16"/>
          <w:szCs w:val="16"/>
          <w:b w:val="1"/>
          <w:bCs w:val="1"/>
          <w:color w:val="auto"/>
        </w:rPr>
        <w:t xml:space="preserve"> </w:t>
      </w:r>
      <w:r>
        <w:rPr>
          <w:rFonts w:ascii="Arial" w:cs="Arial" w:eastAsia="Arial" w:hAnsi="Arial"/>
          <w:sz w:val="16"/>
          <w:szCs w:val="16"/>
          <w:color w:val="auto"/>
        </w:rPr>
        <w:t>access. Valuation adjustments and block discounts are not applied to Level 1 securities. Since valuations are based on quoted prices that are readily and regularly available in an active market, valuation of these securities does not entail a significant degree of judgment.</w:t>
      </w:r>
    </w:p>
    <w:p>
      <w:pPr>
        <w:spacing w:after="0" w:line="142" w:lineRule="exact"/>
        <w:rPr>
          <w:sz w:val="20"/>
          <w:szCs w:val="20"/>
          <w:color w:val="auto"/>
        </w:rPr>
      </w:pPr>
    </w:p>
    <w:p>
      <w:pPr>
        <w:ind w:left="880" w:right="360"/>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based on quoted prices in markets that are not active or for which all significant inputs are observable, either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based on inputs that are unobservable and significant to the overall fair value measurement.</w:t>
      </w:r>
    </w:p>
    <w:p>
      <w:pPr>
        <w:spacing w:after="0" w:line="229" w:lineRule="exact"/>
        <w:rPr>
          <w:sz w:val="20"/>
          <w:szCs w:val="20"/>
          <w:color w:val="auto"/>
        </w:rPr>
      </w:pPr>
    </w:p>
    <w:p>
      <w:pPr>
        <w:ind w:firstLine="881"/>
        <w:spacing w:after="0" w:line="270" w:lineRule="auto"/>
        <w:rPr>
          <w:sz w:val="20"/>
          <w:szCs w:val="20"/>
          <w:color w:val="auto"/>
        </w:rPr>
      </w:pPr>
      <w:r>
        <w:rPr>
          <w:rFonts w:ascii="Arial" w:cs="Arial" w:eastAsia="Arial" w:hAnsi="Arial"/>
          <w:sz w:val="17"/>
          <w:szCs w:val="17"/>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Company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82"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Senior and Subordinated Secured Loans</w:t>
      </w:r>
    </w:p>
    <w:p>
      <w:pPr>
        <w:spacing w:after="0" w:line="225" w:lineRule="exact"/>
        <w:rPr>
          <w:sz w:val="20"/>
          <w:szCs w:val="20"/>
          <w:color w:val="auto"/>
        </w:rPr>
      </w:pPr>
    </w:p>
    <w:p>
      <w:pPr>
        <w:ind w:right="120" w:firstLine="881"/>
        <w:spacing w:after="0" w:line="293" w:lineRule="auto"/>
        <w:rPr>
          <w:sz w:val="20"/>
          <w:szCs w:val="20"/>
          <w:color w:val="auto"/>
        </w:rPr>
      </w:pPr>
      <w:r>
        <w:rPr>
          <w:rFonts w:ascii="Arial" w:cs="Arial" w:eastAsia="Arial" w:hAnsi="Arial"/>
          <w:sz w:val="16"/>
          <w:szCs w:val="16"/>
          <w:color w:val="auto"/>
        </w:rPr>
        <w:t>The Company’s portfolio primarily consists of private debt instruments (“Level 3 debt”). We consider our Level 3 debt to be performing loans if the borrower is not in default, the borrower is remitting payments in a timely manner, the loan is in covenant compliance or is otherwise not deemed to be impaired. In determining the fair value of the performing Level 3 debt, the Company’s Board considers fluctuations in current interest rates, the trends in yields of debt instruments with similar credit ratings (if applicable), the financial condition of the borrower, economic conditions and other relevant factors, both qualitative and quantitative. In the event that a Level 3 debt instrument is not performing, as defined above, the Board will evaluate the value of the collateral utilizing the same framework described above for a performing loan to determine the value of the Level 3 debt instrument.</w:t>
      </w:r>
    </w:p>
    <w:p>
      <w:pPr>
        <w:spacing w:after="0" w:line="165" w:lineRule="exact"/>
        <w:rPr>
          <w:sz w:val="20"/>
          <w:szCs w:val="20"/>
          <w:color w:val="auto"/>
        </w:rPr>
      </w:pPr>
    </w:p>
    <w:p>
      <w:pPr>
        <w:jc w:val="both"/>
        <w:ind w:right="100" w:firstLine="881"/>
        <w:spacing w:after="0" w:line="259" w:lineRule="auto"/>
        <w:rPr>
          <w:sz w:val="20"/>
          <w:szCs w:val="20"/>
          <w:color w:val="auto"/>
        </w:rPr>
      </w:pPr>
      <w:r>
        <w:rPr>
          <w:rFonts w:ascii="Arial" w:cs="Arial" w:eastAsia="Arial" w:hAnsi="Arial"/>
          <w:sz w:val="18"/>
          <w:szCs w:val="18"/>
          <w:color w:val="auto"/>
        </w:rPr>
        <w:t>This evaluation will be updated no less than quarterly for Level 3 debt instruments that are not performing, and more frequently for time periods where there are significant changes in the collateral or significant changes in the perceived performance of the underlying portfolio company. The collateral value will be analyzed on an ongoing basis using internal metrics, appraisals, third-party valuation agents and other data as may be acquired and analyzed by our management and Board.</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Equity Investments in Private Companies</w:t>
      </w:r>
    </w:p>
    <w:p>
      <w:pPr>
        <w:spacing w:after="0" w:line="225" w:lineRule="exact"/>
        <w:rPr>
          <w:sz w:val="20"/>
          <w:szCs w:val="20"/>
          <w:color w:val="auto"/>
        </w:rPr>
      </w:pPr>
    </w:p>
    <w:p>
      <w:pPr>
        <w:ind w:right="80" w:firstLine="881"/>
        <w:spacing w:after="0" w:line="312" w:lineRule="auto"/>
        <w:rPr>
          <w:sz w:val="20"/>
          <w:szCs w:val="20"/>
          <w:color w:val="auto"/>
        </w:rPr>
      </w:pPr>
      <w:r>
        <w:rPr>
          <w:rFonts w:ascii="Arial" w:cs="Arial" w:eastAsia="Arial" w:hAnsi="Arial"/>
          <w:sz w:val="16"/>
          <w:szCs w:val="16"/>
          <w:color w:val="auto"/>
        </w:rPr>
        <w:t>Our Board determines the fair value of its investments in private companies by incorporating valuations that consider the evaluation of financing and sale transactions with third-parties, expected cash flows and market-based information, including comparable transactions, and performance multiples, among other factors, and may use third-party valuation agents. Such non-public investments are included in Level 3 of the fair value hierarchy.</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jc w:val="both"/>
        <w:ind w:right="320" w:firstLine="881"/>
        <w:spacing w:after="0" w:line="264" w:lineRule="auto"/>
        <w:rPr>
          <w:sz w:val="20"/>
          <w:szCs w:val="20"/>
          <w:color w:val="auto"/>
        </w:rPr>
      </w:pPr>
      <w:r>
        <w:rPr>
          <w:rFonts w:ascii="Arial" w:cs="Arial" w:eastAsia="Arial" w:hAnsi="Arial"/>
          <w:sz w:val="18"/>
          <w:szCs w:val="18"/>
          <w:color w:val="auto"/>
        </w:rPr>
        <w:t>Our Board will ascribe value to warrants based on fair value holdings that can include discounted cash flow analyses, option pricing models, comparable analyses and other techniques as deemed appropriate. Such warrants are included in Level 3 of the fair value hierarchy to the extent issued by non-public companies.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ind w:firstLine="881"/>
        <w:spacing w:after="0" w:line="302" w:lineRule="auto"/>
        <w:rPr>
          <w:sz w:val="20"/>
          <w:szCs w:val="20"/>
          <w:color w:val="auto"/>
        </w:rPr>
      </w:pPr>
      <w:r>
        <w:rPr>
          <w:rFonts w:ascii="Arial" w:cs="Arial" w:eastAsia="Arial" w:hAnsi="Arial"/>
          <w:sz w:val="16"/>
          <w:szCs w:val="16"/>
          <w:i w:val="1"/>
          <w:iCs w:val="1"/>
          <w:color w:val="auto"/>
        </w:rPr>
        <w:t xml:space="preserve">Interest Income and Paid-in Kind Interest Income: </w:t>
      </w:r>
      <w:r>
        <w:rPr>
          <w:rFonts w:ascii="Arial" w:cs="Arial" w:eastAsia="Arial" w:hAnsi="Arial"/>
          <w:sz w:val="16"/>
          <w:szCs w:val="16"/>
          <w:color w:val="auto"/>
        </w:rPr>
        <w:t>Interest income is recorded on the accrual basis to the extent that such amounts are expected to</w:t>
      </w:r>
      <w:r>
        <w:rPr>
          <w:rFonts w:ascii="Arial" w:cs="Arial" w:eastAsia="Arial" w:hAnsi="Arial"/>
          <w:sz w:val="16"/>
          <w:szCs w:val="16"/>
          <w:i w:val="1"/>
          <w:iCs w:val="1"/>
          <w:color w:val="auto"/>
        </w:rPr>
        <w:t xml:space="preserve"> </w:t>
      </w:r>
      <w:r>
        <w:rPr>
          <w:rFonts w:ascii="Arial" w:cs="Arial" w:eastAsia="Arial" w:hAnsi="Arial"/>
          <w:sz w:val="16"/>
          <w:szCs w:val="16"/>
          <w:color w:val="auto"/>
        </w:rPr>
        <w:t>be collected. The company has loans in the portfolio that contain a payment-in-kind (“PIK”) provision. The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154" w:lineRule="exact"/>
        <w:rPr>
          <w:sz w:val="20"/>
          <w:szCs w:val="20"/>
          <w:color w:val="auto"/>
        </w:rPr>
      </w:pPr>
    </w:p>
    <w:p>
      <w:pPr>
        <w:ind w:firstLine="881"/>
        <w:spacing w:after="0" w:line="254" w:lineRule="auto"/>
        <w:rPr>
          <w:sz w:val="20"/>
          <w:szCs w:val="20"/>
          <w:color w:val="auto"/>
        </w:rPr>
      </w:pPr>
      <w:r>
        <w:rPr>
          <w:rFonts w:ascii="Arial" w:cs="Arial" w:eastAsia="Arial" w:hAnsi="Arial"/>
          <w:sz w:val="18"/>
          <w:szCs w:val="18"/>
          <w:i w:val="1"/>
          <w:iCs w:val="1"/>
          <w:color w:val="auto"/>
        </w:rPr>
        <w:t xml:space="preserve">Non-accrual income: </w:t>
      </w:r>
      <w:r>
        <w:rPr>
          <w:rFonts w:ascii="Arial" w:cs="Arial" w:eastAsia="Arial" w:hAnsi="Arial"/>
          <w:sz w:val="18"/>
          <w:szCs w:val="18"/>
          <w:color w:val="auto"/>
        </w:rPr>
        <w:t>Generally, when interest and/or principal payments on a loan become materially past due, or if the Company otherwise does</w:t>
      </w:r>
      <w:r>
        <w:rPr>
          <w:rFonts w:ascii="Arial" w:cs="Arial" w:eastAsia="Arial" w:hAnsi="Arial"/>
          <w:sz w:val="18"/>
          <w:szCs w:val="18"/>
          <w:i w:val="1"/>
          <w:iCs w:val="1"/>
          <w:color w:val="auto"/>
        </w:rPr>
        <w:t xml:space="preserve"> </w:t>
      </w:r>
      <w:r>
        <w:rPr>
          <w:rFonts w:ascii="Arial" w:cs="Arial" w:eastAsia="Arial" w:hAnsi="Arial"/>
          <w:sz w:val="18"/>
          <w:szCs w:val="18"/>
          <w:color w:val="auto"/>
        </w:rPr>
        <w:t>not expect the borrower to be able to service its debt and other obligations, the Company will place the loan on non-accrual status, and will generally cease recognizing interest income and PIK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The company may elect to cease accruing PIK and continue accruing interest income in cases where a loan is currently paying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44" w:name="page45"/>
    <w:bookmarkEnd w:id="44"/>
    <w:p>
      <w:pPr>
        <w:ind w:right="20" w:firstLine="881"/>
        <w:spacing w:after="0" w:line="293" w:lineRule="auto"/>
        <w:rPr>
          <w:sz w:val="20"/>
          <w:szCs w:val="20"/>
          <w:color w:val="auto"/>
        </w:rPr>
      </w:pPr>
      <w:r>
        <w:rPr>
          <w:rFonts w:ascii="Arial" w:cs="Arial" w:eastAsia="Arial" w:hAnsi="Arial"/>
          <w:sz w:val="16"/>
          <w:szCs w:val="16"/>
          <w:i w:val="1"/>
          <w:iCs w:val="1"/>
          <w:color w:val="auto"/>
        </w:rPr>
        <w:t xml:space="preserve">Dividend Income and Paid-in-kind Dividends: </w:t>
      </w:r>
      <w:r>
        <w:rPr>
          <w:rFonts w:ascii="Arial" w:cs="Arial" w:eastAsia="Arial" w:hAnsi="Arial"/>
          <w:sz w:val="16"/>
          <w:szCs w:val="16"/>
          <w:color w:val="auto"/>
        </w:rPr>
        <w:t>Dividend income is recognized on the date dividends are declared. The Company holds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collection of PIK dividends are unlikely to be collected. If management determines that a decline in fair value is temporary in nature and the PIK dividends are more likely than not to be collected, management may elect to continue accruing PIK dividends.</w:t>
      </w:r>
    </w:p>
    <w:p>
      <w:pPr>
        <w:spacing w:after="0" w:line="165" w:lineRule="exact"/>
        <w:rPr>
          <w:sz w:val="20"/>
          <w:szCs w:val="20"/>
          <w:color w:val="auto"/>
        </w:rPr>
      </w:pPr>
    </w:p>
    <w:p>
      <w:pPr>
        <w:ind w:right="260" w:firstLine="881"/>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amendment, consent, closing and/or commitment fees associated with investments in portfolio companies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as income when the investment transaction closes. Prepayment penalties received by the Company for debt instruments repaid prior to maturity date are recorded as income upon receipt.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60" w:firstLine="881"/>
        <w:spacing w:after="0" w:line="257" w:lineRule="auto"/>
        <w:rPr>
          <w:sz w:val="20"/>
          <w:szCs w:val="20"/>
          <w:color w:val="auto"/>
        </w:rPr>
      </w:pPr>
      <w:r>
        <w:rPr>
          <w:rFonts w:ascii="Arial" w:cs="Arial" w:eastAsia="Arial" w:hAnsi="Arial"/>
          <w:sz w:val="18"/>
          <w:szCs w:val="18"/>
          <w:color w:val="auto"/>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K-1s in their respective tax or information returns. The Legacy Funds are disregarded entities for tax purposes prior to and post the Formation Transactions.</w:t>
      </w:r>
    </w:p>
    <w:p>
      <w:pPr>
        <w:spacing w:after="0" w:line="188" w:lineRule="exact"/>
        <w:rPr>
          <w:sz w:val="20"/>
          <w:szCs w:val="20"/>
          <w:color w:val="auto"/>
        </w:rPr>
      </w:pPr>
    </w:p>
    <w:p>
      <w:pPr>
        <w:ind w:right="520" w:firstLine="881"/>
        <w:spacing w:after="0" w:line="264" w:lineRule="auto"/>
        <w:rPr>
          <w:sz w:val="20"/>
          <w:szCs w:val="20"/>
          <w:color w:val="auto"/>
        </w:rPr>
      </w:pPr>
      <w:r>
        <w:rPr>
          <w:rFonts w:ascii="Arial" w:cs="Arial" w:eastAsia="Arial" w:hAnsi="Arial"/>
          <w:sz w:val="18"/>
          <w:szCs w:val="18"/>
          <w:color w:val="auto"/>
        </w:rPr>
        <w:t>The Company intends to elect to be treated for federal income tax purposes, and intends to qualify annually thereafter, as a RIC under Subchapter M of the Code and, among other things, intends to make the requisite distributions to its stockholders which will relieve the Company from federal income taxes. Therefore, no provision has been recorded for federal income taxes.</w:t>
      </w:r>
    </w:p>
    <w:p>
      <w:pPr>
        <w:spacing w:after="0" w:line="181"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ind w:right="120" w:firstLine="881"/>
        <w:spacing w:after="0" w:line="279" w:lineRule="auto"/>
        <w:rPr>
          <w:sz w:val="20"/>
          <w:szCs w:val="20"/>
          <w:color w:val="auto"/>
        </w:rPr>
      </w:pPr>
      <w:r>
        <w:rPr>
          <w:rFonts w:ascii="Arial" w:cs="Arial" w:eastAsia="Arial" w:hAnsi="Arial"/>
          <w:sz w:val="17"/>
          <w:szCs w:val="17"/>
          <w:color w:val="auto"/>
        </w:rPr>
        <w:t>Depending on the level of taxable income earned in a tax year, the Company may choose to carry forward taxable income in excess of current year dividend distributions into the next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171"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178" w:lineRule="exact"/>
        <w:rPr>
          <w:sz w:val="20"/>
          <w:szCs w:val="20"/>
          <w:color w:val="auto"/>
        </w:rPr>
      </w:pPr>
    </w:p>
    <w:p>
      <w:pPr>
        <w:ind w:right="80" w:firstLine="881"/>
        <w:spacing w:after="0" w:line="255" w:lineRule="auto"/>
        <w:rPr>
          <w:sz w:val="20"/>
          <w:szCs w:val="20"/>
          <w:color w:val="auto"/>
        </w:rPr>
      </w:pPr>
      <w:r>
        <w:rPr>
          <w:rFonts w:ascii="Arial" w:cs="Arial" w:eastAsia="Arial" w:hAnsi="Arial"/>
          <w:sz w:val="18"/>
          <w:szCs w:val="18"/>
          <w:color w:val="auto"/>
        </w:rPr>
        <w:t xml:space="preserve">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June 30, 2014 and December 31, 2013, there were no uncertain tax positions.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5" w:name="page46"/>
    <w:bookmarkEnd w:id="45"/>
    <w:p>
      <w:pPr>
        <w:ind w:right="60" w:firstLine="881"/>
        <w:spacing w:after="0" w:line="302" w:lineRule="auto"/>
        <w:rPr>
          <w:sz w:val="20"/>
          <w:szCs w:val="20"/>
          <w:color w:val="auto"/>
        </w:rPr>
      </w:pPr>
      <w:r>
        <w:rPr>
          <w:rFonts w:ascii="Arial" w:cs="Arial" w:eastAsia="Arial" w:hAnsi="Arial"/>
          <w:sz w:val="16"/>
          <w:szCs w:val="16"/>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have a negative impact the Company’s net assets.</w:t>
      </w:r>
    </w:p>
    <w:p>
      <w:pPr>
        <w:spacing w:after="0" w:line="154" w:lineRule="exact"/>
        <w:rPr>
          <w:sz w:val="20"/>
          <w:szCs w:val="20"/>
          <w:color w:val="auto"/>
        </w:rPr>
      </w:pPr>
    </w:p>
    <w:p>
      <w:pPr>
        <w:ind w:right="200" w:firstLine="881"/>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70" w:lineRule="exact"/>
        <w:rPr>
          <w:sz w:val="20"/>
          <w:szCs w:val="20"/>
          <w:color w:val="auto"/>
        </w:rPr>
      </w:pPr>
    </w:p>
    <w:p>
      <w:pPr>
        <w:jc w:val="both"/>
        <w:ind w:right="40" w:firstLine="881"/>
        <w:spacing w:after="0" w:line="264" w:lineRule="auto"/>
        <w:rPr>
          <w:sz w:val="20"/>
          <w:szCs w:val="20"/>
          <w:color w:val="auto"/>
        </w:rPr>
      </w:pPr>
      <w:r>
        <w:rPr>
          <w:rFonts w:ascii="Arial" w:cs="Arial" w:eastAsia="Arial" w:hAnsi="Arial"/>
          <w:sz w:val="18"/>
          <w:szCs w:val="18"/>
          <w:color w:val="auto"/>
        </w:rPr>
        <w:t>The Company has concluded that it was not necessary to record a liability for any such tax positions as of June 30, 2014 and December 31, 2013.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181"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The Company’s activities from commencement of operations remain subject to examination by U.S. federal, state, and local tax authorities. No interest expense or penalties have been assessed for the three and six month periods ended June 30, 2014 and June 30, 2013. If the Company were required to recognize interest and penalties, if any, related to unrecognized tax benefits this would be recognized as income tax expense in the consolidated statement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As of June 30, 2014, our portfolio consisted of investments in 45 portfolio companies with a fair value of approximately $405.6 million.</w:t>
      </w:r>
    </w:p>
    <w:p>
      <w:pPr>
        <w:spacing w:after="0" w:line="237" w:lineRule="exact"/>
        <w:rPr>
          <w:sz w:val="20"/>
          <w:szCs w:val="20"/>
          <w:color w:val="auto"/>
        </w:rPr>
      </w:pPr>
    </w:p>
    <w:p>
      <w:pPr>
        <w:jc w:val="both"/>
        <w:ind w:right="160" w:firstLine="881"/>
        <w:spacing w:after="0" w:line="279" w:lineRule="auto"/>
        <w:rPr>
          <w:sz w:val="20"/>
          <w:szCs w:val="20"/>
          <w:color w:val="auto"/>
        </w:rPr>
      </w:pPr>
      <w:r>
        <w:rPr>
          <w:rFonts w:ascii="Arial" w:cs="Arial" w:eastAsia="Arial" w:hAnsi="Arial"/>
          <w:sz w:val="17"/>
          <w:szCs w:val="17"/>
          <w:color w:val="auto"/>
        </w:rPr>
        <w:t>During the three months ended June 30, 2014, we made approximately $22.6 million of investments in new or existing portfolio companies and had approximately $9.4 million in exits and repayments resulting in net investments of approximately $13.2 million for the period. During the three months ended June 30, 2013, we made approximately $20.2 million of investments in new or existing portfolio companies and had approximately $15.7 million in exits and repayments resulting in net investments of approximately $4.5 million for the period.</w:t>
      </w:r>
    </w:p>
    <w:p>
      <w:pPr>
        <w:spacing w:after="0" w:line="171" w:lineRule="exact"/>
        <w:rPr>
          <w:sz w:val="20"/>
          <w:szCs w:val="20"/>
          <w:color w:val="auto"/>
        </w:rPr>
      </w:pPr>
    </w:p>
    <w:p>
      <w:pPr>
        <w:jc w:val="both"/>
        <w:ind w:firstLine="881"/>
        <w:spacing w:after="0" w:line="279" w:lineRule="auto"/>
        <w:rPr>
          <w:sz w:val="20"/>
          <w:szCs w:val="20"/>
          <w:color w:val="auto"/>
        </w:rPr>
      </w:pPr>
      <w:r>
        <w:rPr>
          <w:rFonts w:ascii="Arial" w:cs="Arial" w:eastAsia="Arial" w:hAnsi="Arial"/>
          <w:sz w:val="17"/>
          <w:szCs w:val="17"/>
          <w:color w:val="auto"/>
        </w:rPr>
        <w:t>During the six months ended June 30, 2014, we made approximately $63.6 million of investments in new or existing portfolio companies and had approximately $20.2 million in exits and repayments resulting in net investments of approximately $43.4 million for the period. During the six months ended June 30, 2013, we made approximately $41.4 million of investments in new or existing portfolio companies and had approximately $28.7 million in exits and repayments resulting in net investments of approximately $12.7 million for the period.</w:t>
      </w:r>
    </w:p>
    <w:p>
      <w:pPr>
        <w:spacing w:after="0" w:line="171" w:lineRule="exact"/>
        <w:rPr>
          <w:sz w:val="20"/>
          <w:szCs w:val="20"/>
          <w:color w:val="auto"/>
        </w:rPr>
      </w:pPr>
    </w:p>
    <w:p>
      <w:pPr>
        <w:ind w:right="200" w:firstLine="971"/>
        <w:spacing w:after="0" w:line="257" w:lineRule="auto"/>
        <w:rPr>
          <w:sz w:val="20"/>
          <w:szCs w:val="20"/>
          <w:color w:val="auto"/>
        </w:rPr>
      </w:pPr>
      <w:r>
        <w:rPr>
          <w:rFonts w:ascii="Arial" w:cs="Arial" w:eastAsia="Arial" w:hAnsi="Arial"/>
          <w:sz w:val="18"/>
          <w:szCs w:val="18"/>
          <w:color w:val="auto"/>
        </w:rPr>
        <w:t>As of June 30, 2014, our average portfolio company investment and our largest portfolio company investment at amortized cost and fair value was approximately $7.7 million and $9.0 million, and $25.5 million and $25.5 million, respectively. As of June 30, 2014, the Company had approximately $166.5 million of cash and cash equivalents. As of December 31, 2013, our average portfolio company investment and our largest portfolio company investment at amortized cost and fair value was approximately $7.3 million and $8.9 million, and $25.3 million and $25.3 million, respectively. As of December 31, 2013, the Company had $101.6 million of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6" w:name="page47"/>
    <w:bookmarkEnd w:id="46"/>
    <w:p>
      <w:pPr>
        <w:spacing w:after="0" w:line="6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summarizes the amortized cost and the fair value of investments and cash and cash equivalents as of June 30, 2014 (dollars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1"/>
              </w:rPr>
              <w:t>Amortized Cost</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Investments at</w:t>
            </w:r>
          </w:p>
        </w:tc>
        <w:tc>
          <w:tcPr>
            <w:tcW w:w="100" w:type="dxa"/>
            <w:vAlign w:val="bottom"/>
          </w:tcPr>
          <w:p>
            <w:pPr>
              <w:spacing w:after="0"/>
              <w:rPr>
                <w:sz w:val="18"/>
                <w:szCs w:val="18"/>
                <w:color w:val="auto"/>
              </w:rPr>
            </w:pPr>
          </w:p>
        </w:tc>
        <w:tc>
          <w:tcPr>
            <w:tcW w:w="148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87"/>
              </w:rPr>
              <w:t>Percentage of</w:t>
            </w: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Investments at</w:t>
            </w:r>
          </w:p>
        </w:tc>
        <w:tc>
          <w:tcPr>
            <w:tcW w:w="136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2920" w:type="dxa"/>
            <w:vAlign w:val="bottom"/>
            <w:gridSpan w:val="4"/>
          </w:tcPr>
          <w:p>
            <w:pPr>
              <w:ind w:left="1600"/>
              <w:spacing w:after="0"/>
              <w:rPr>
                <w:sz w:val="20"/>
                <w:szCs w:val="20"/>
                <w:color w:val="auto"/>
              </w:rPr>
            </w:pPr>
            <w:r>
              <w:rPr>
                <w:rFonts w:ascii="Arial" w:cs="Arial" w:eastAsia="Arial" w:hAnsi="Arial"/>
                <w:sz w:val="18"/>
                <w:szCs w:val="18"/>
                <w:b w:val="1"/>
                <w:bCs w:val="1"/>
                <w:color w:val="auto"/>
                <w:w w:val="97"/>
              </w:rPr>
              <w:t>Amortized Cost</w:t>
            </w:r>
          </w:p>
        </w:tc>
        <w:tc>
          <w:tcPr>
            <w:tcW w:w="100" w:type="dxa"/>
            <w:vAlign w:val="bottom"/>
          </w:tcPr>
          <w:p>
            <w:pPr>
              <w:spacing w:after="0"/>
              <w:rPr>
                <w:sz w:val="20"/>
                <w:szCs w:val="20"/>
                <w:color w:val="auto"/>
              </w:rPr>
            </w:pPr>
          </w:p>
        </w:tc>
        <w:tc>
          <w:tcPr>
            <w:tcW w:w="148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1"/>
              </w:rPr>
              <w:t>Total Portfolio</w:t>
            </w:r>
          </w:p>
        </w:tc>
        <w:tc>
          <w:tcPr>
            <w:tcW w:w="14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136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1"/>
              </w:rPr>
              <w:t>Total Portfolio</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Senior Secured Debt</w:t>
            </w:r>
          </w:p>
        </w:tc>
        <w:tc>
          <w:tcPr>
            <w:tcW w:w="162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vMerge w:val="continue"/>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127,026</w:t>
            </w: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128,913</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Subordinated Debt</w:t>
            </w: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156,534</w:t>
            </w:r>
          </w:p>
        </w:tc>
        <w:tc>
          <w:tcPr>
            <w:tcW w:w="100" w:type="dxa"/>
            <w:vAlign w:val="bottom"/>
          </w:tcPr>
          <w:p>
            <w:pPr>
              <w:spacing w:after="0"/>
              <w:rPr>
                <w:sz w:val="18"/>
                <w:szCs w:val="18"/>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8"/>
                <w:szCs w:val="18"/>
                <w:color w:val="auto"/>
              </w:rPr>
              <w:t>30.4%</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151,683</w:t>
            </w:r>
          </w:p>
        </w:tc>
        <w:tc>
          <w:tcPr>
            <w:tcW w:w="2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64,186</w:t>
            </w:r>
          </w:p>
        </w:tc>
        <w:tc>
          <w:tcPr>
            <w:tcW w:w="10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124,963</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166,503</w:t>
            </w:r>
          </w:p>
        </w:tc>
        <w:tc>
          <w:tcPr>
            <w:tcW w:w="100" w:type="dxa"/>
            <w:vAlign w:val="bottom"/>
          </w:tcPr>
          <w:p>
            <w:pPr>
              <w:spacing w:after="0"/>
              <w:rPr>
                <w:sz w:val="19"/>
                <w:szCs w:val="19"/>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166,503</w:t>
            </w:r>
          </w:p>
        </w:tc>
        <w:tc>
          <w:tcPr>
            <w:tcW w:w="2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514,249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572,062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881"/>
        <w:spacing w:after="0" w:line="277" w:lineRule="auto"/>
        <w:rPr>
          <w:sz w:val="20"/>
          <w:szCs w:val="20"/>
          <w:color w:val="auto"/>
        </w:rPr>
      </w:pPr>
      <w:r>
        <w:rPr>
          <w:rFonts w:ascii="Arial" w:cs="Arial" w:eastAsia="Arial" w:hAnsi="Arial"/>
          <w:sz w:val="18"/>
          <w:szCs w:val="18"/>
          <w:color w:val="auto"/>
        </w:rPr>
        <w:t>The following table summarizes the amortized cost and the fair value of investments and cash and cash equivalents as of December 31, 2013 (dollars in thousands):</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1"/>
              </w:rPr>
              <w:t>Amortized Cost</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Investments at</w:t>
            </w:r>
          </w:p>
        </w:tc>
        <w:tc>
          <w:tcPr>
            <w:tcW w:w="100" w:type="dxa"/>
            <w:vAlign w:val="bottom"/>
          </w:tcPr>
          <w:p>
            <w:pPr>
              <w:spacing w:after="0"/>
              <w:rPr>
                <w:sz w:val="18"/>
                <w:szCs w:val="18"/>
                <w:color w:val="auto"/>
              </w:rPr>
            </w:pPr>
          </w:p>
        </w:tc>
        <w:tc>
          <w:tcPr>
            <w:tcW w:w="148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87"/>
              </w:rPr>
              <w:t>Percentage of</w:t>
            </w: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Investments at</w:t>
            </w:r>
          </w:p>
        </w:tc>
        <w:tc>
          <w:tcPr>
            <w:tcW w:w="136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2920" w:type="dxa"/>
            <w:vAlign w:val="bottom"/>
            <w:gridSpan w:val="4"/>
          </w:tcPr>
          <w:p>
            <w:pPr>
              <w:ind w:left="1600"/>
              <w:spacing w:after="0"/>
              <w:rPr>
                <w:sz w:val="20"/>
                <w:szCs w:val="20"/>
                <w:color w:val="auto"/>
              </w:rPr>
            </w:pPr>
            <w:r>
              <w:rPr>
                <w:rFonts w:ascii="Arial" w:cs="Arial" w:eastAsia="Arial" w:hAnsi="Arial"/>
                <w:sz w:val="18"/>
                <w:szCs w:val="18"/>
                <w:b w:val="1"/>
                <w:bCs w:val="1"/>
                <w:color w:val="auto"/>
                <w:w w:val="97"/>
              </w:rPr>
              <w:t>Amortized Cost</w:t>
            </w:r>
          </w:p>
        </w:tc>
        <w:tc>
          <w:tcPr>
            <w:tcW w:w="100" w:type="dxa"/>
            <w:vAlign w:val="bottom"/>
          </w:tcPr>
          <w:p>
            <w:pPr>
              <w:spacing w:after="0"/>
              <w:rPr>
                <w:sz w:val="20"/>
                <w:szCs w:val="20"/>
                <w:color w:val="auto"/>
              </w:rPr>
            </w:pPr>
          </w:p>
        </w:tc>
        <w:tc>
          <w:tcPr>
            <w:tcW w:w="148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1"/>
              </w:rPr>
              <w:t>Total Portfolio</w:t>
            </w:r>
          </w:p>
        </w:tc>
        <w:tc>
          <w:tcPr>
            <w:tcW w:w="14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136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1"/>
              </w:rPr>
              <w:t>Total Portfolio</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Senior Secured Debt</w:t>
            </w:r>
          </w:p>
        </w:tc>
        <w:tc>
          <w:tcPr>
            <w:tcW w:w="162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vMerge w:val="continue"/>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103,457</w:t>
            </w: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102,071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Subordinated Debt</w:t>
            </w: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136,638</w:t>
            </w:r>
          </w:p>
        </w:tc>
        <w:tc>
          <w:tcPr>
            <w:tcW w:w="100" w:type="dxa"/>
            <w:vAlign w:val="bottom"/>
          </w:tcPr>
          <w:p>
            <w:pPr>
              <w:spacing w:after="0"/>
              <w:rPr>
                <w:sz w:val="18"/>
                <w:szCs w:val="18"/>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133,710</w:t>
            </w:r>
          </w:p>
        </w:tc>
        <w:tc>
          <w:tcPr>
            <w:tcW w:w="2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Equity and Warrants</w:t>
            </w:r>
          </w:p>
        </w:tc>
        <w:tc>
          <w:tcPr>
            <w:tcW w:w="1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61,204</w:t>
            </w:r>
          </w:p>
        </w:tc>
        <w:tc>
          <w:tcPr>
            <w:tcW w:w="10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128,938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101,622</w:t>
            </w:r>
          </w:p>
        </w:tc>
        <w:tc>
          <w:tcPr>
            <w:tcW w:w="100" w:type="dxa"/>
            <w:vAlign w:val="bottom"/>
          </w:tcPr>
          <w:p>
            <w:pPr>
              <w:spacing w:after="0"/>
              <w:rPr>
                <w:sz w:val="19"/>
                <w:szCs w:val="19"/>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101,622</w:t>
            </w:r>
          </w:p>
        </w:tc>
        <w:tc>
          <w:tcPr>
            <w:tcW w:w="2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402,921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466,341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As of June 30, 2014, our income-bearing investment portfolio, which represented nearly 69% of our total portfolio, had a weighted average yield of approximately 13.4%. As of June 30, 2014, 95% of our income-bearing investment portfolio was bearing a fixed rate of interest. As of December 31, 2013, our income-bearing investment portfolio, which represented nearly 65% of our total portfolio, had a weighted average yield of approximately 13.7% all bearing a fixed rate of interest.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portfolio composition by industry grouping at fair value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June 30, 2014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December 31, 2013</w:t>
            </w:r>
          </w:p>
        </w:tc>
      </w:tr>
      <w:tr>
        <w:trPr>
          <w:trHeight w:val="191"/>
        </w:trPr>
        <w:tc>
          <w:tcPr>
            <w:tcW w:w="55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6"/>
                <w:szCs w:val="16"/>
                <w:color w:val="auto"/>
              </w:rPr>
            </w:pPr>
          </w:p>
        </w:tc>
      </w:t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Investments</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2"/>
              </w:rPr>
              <w:t>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of</w:t>
            </w:r>
          </w:p>
        </w:tc>
      </w:t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at</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55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Portfolio</w:t>
            </w:r>
          </w:p>
        </w:tc>
        <w:tc>
          <w:tcPr>
            <w:tcW w:w="160" w:type="dxa"/>
            <w:vAlign w:val="bottom"/>
            <w:tcBorders>
              <w:bottom w:val="single" w:sz="8" w:color="CCEEFF"/>
            </w:tcBorders>
          </w:tcPr>
          <w:p>
            <w:pPr>
              <w:spacing w:after="0"/>
              <w:rPr>
                <w:sz w:val="20"/>
                <w:szCs w:val="20"/>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Oil &amp; Gas Services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29,916</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25,321</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Transportation</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24,482</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6,000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QSR Franchisee</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24,099</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24,787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Sales &amp; Marketing Services</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22,865</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22,753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Professional Employer Organization</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21,369</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22,677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Printing Services</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20,543</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16,448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Personal Product Manufacturer</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18,157</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14,073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Footwear Retail</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15,542</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14,807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Oil &amp; Gas Engineering and Consulting Services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15,491</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Industrial Equipment Rental</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13,333</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22,500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Medical Device Distributor</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12,432</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11,121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Specialty Clothing</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12,374</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12,724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Retail Display &amp; Security Services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11,910</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10,823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QSR Franchisor</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11,188</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14,622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Culinary Products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10,642</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10,302</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Computer Supply Retail</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10,606</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6,673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Restaurant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Aerospace Parts Manufacturer</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9,934</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10,064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Textile Equipment Manufacturer</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9,786</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9,031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Dental Practice Management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9,004</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9,273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8,300</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Energy Services</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8,025</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8,783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Fuel Transportation Services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7,622</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10,274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Conglomerate</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7,225</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7,630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Western Wear Retail</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7,177</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Produce Distribution</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6,109</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6,631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Environmental Services Products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5,230</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Advertising &amp; Marketing Services</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5,156</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4,911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 &amp; Digital Marketing</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5,061</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Replacement Window Manufacturer</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5,042</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6,284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Metal Recycler</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3,950</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Automotive Chemicals &amp; Lubricants</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3,817</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3,886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Petroleum Equipment Supplier</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3,680</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Industrial Manufacturing</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3,469</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3,440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Building Supplies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2,886</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r>
      <w:tr>
        <w:trPr>
          <w:trHeight w:val="216"/>
        </w:trPr>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Specialty Defense Contractor</w:t>
            </w: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2,541</w:t>
            </w:r>
          </w:p>
        </w:tc>
        <w:tc>
          <w:tcPr>
            <w:tcW w:w="14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0.6%</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2,799</w:t>
            </w:r>
          </w:p>
        </w:tc>
        <w:tc>
          <w:tcPr>
            <w:tcW w:w="140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0.8%</w:t>
            </w:r>
          </w:p>
        </w:tc>
      </w:tr>
    </w:tbl>
    <w:p>
      <w:pPr>
        <w:sectPr>
          <w:pgSz w:w="11900" w:h="16900" w:orient="portrait"/>
          <w:cols w:equalWidth="0" w:num="1">
            <w:col w:w="11420"/>
          </w:cols>
          <w:pgMar w:left="240" w:top="882" w:right="239" w:bottom="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Quick Lube Services</w:t>
            </w:r>
          </w:p>
        </w:tc>
        <w:tc>
          <w:tcPr>
            <w:tcW w:w="1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2,047</w:t>
            </w:r>
          </w:p>
        </w:tc>
        <w:tc>
          <w:tcPr>
            <w:tcW w:w="1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Industrial Boiler Manufacturer</w:t>
            </w: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1,915</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0.5%</w:t>
            </w:r>
          </w:p>
        </w:tc>
        <w:tc>
          <w:tcPr>
            <w:tcW w:w="3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1,536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Online Travel Sales &amp; Marketing</w:t>
            </w:r>
          </w:p>
        </w:tc>
        <w:tc>
          <w:tcPr>
            <w:tcW w:w="1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1,610</w:t>
            </w:r>
          </w:p>
        </w:tc>
        <w:tc>
          <w:tcPr>
            <w:tcW w:w="1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In-Home Healthcare Services</w:t>
            </w: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609</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748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IT Hosting Services</w:t>
            </w:r>
          </w:p>
        </w:tc>
        <w:tc>
          <w:tcPr>
            <w:tcW w:w="1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w:t>
            </w:r>
          </w:p>
        </w:tc>
        <w:tc>
          <w:tcPr>
            <w:tcW w:w="1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Total</w:t>
            </w:r>
          </w:p>
        </w:tc>
        <w:tc>
          <w:tcPr>
            <w:tcW w:w="15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405,559</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364,719</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40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43</w:t>
            </w: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48" w:name="page49"/>
    <w:bookmarkEnd w:id="48"/>
    <w:p>
      <w:pPr>
        <w:ind w:right="20" w:firstLine="881"/>
        <w:spacing w:after="0" w:line="302" w:lineRule="auto"/>
        <w:rPr>
          <w:sz w:val="20"/>
          <w:szCs w:val="20"/>
          <w:color w:val="auto"/>
        </w:rPr>
      </w:pPr>
      <w:r>
        <w:rPr>
          <w:rFonts w:ascii="Arial" w:cs="Arial" w:eastAsia="Arial" w:hAnsi="Arial"/>
          <w:sz w:val="16"/>
          <w:szCs w:val="16"/>
          <w:color w:val="auto"/>
        </w:rPr>
        <w:t>With the exception of an $8.3 million investment in an internationally headquartered company, all investments made by the Company as of June 30, 2014 and December 31, 2013 were made in portfolio companies located in the United States. The geographic composition is determined by the location of the corporate headquarters of the portfolio company, which may not be indicative of the primary source of the portfolio company’s business. The following table shows the portfolio composition by geographic region at fair value as of June 30, 2014 and December 31, 2013 (dollars in thousands):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June 30, 2014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gridSpan w:val="5"/>
          </w:tcPr>
          <w:p>
            <w:pPr>
              <w:jc w:val="right"/>
              <w:ind w:right="650"/>
              <w:spacing w:after="0"/>
              <w:rPr>
                <w:sz w:val="20"/>
                <w:szCs w:val="20"/>
                <w:color w:val="auto"/>
              </w:rPr>
            </w:pPr>
            <w:r>
              <w:rPr>
                <w:rFonts w:ascii="Arial" w:cs="Arial" w:eastAsia="Arial" w:hAnsi="Arial"/>
                <w:sz w:val="18"/>
                <w:szCs w:val="18"/>
                <w:b w:val="1"/>
                <w:bCs w:val="1"/>
                <w:color w:val="auto"/>
              </w:rPr>
              <w:t>December 31, 2013</w:t>
            </w:r>
          </w:p>
        </w:tc>
      </w:tr>
      <w:tr>
        <w:trPr>
          <w:trHeight w:val="191"/>
        </w:trPr>
        <w:tc>
          <w:tcPr>
            <w:tcW w:w="5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Percentage</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6"/>
                <w:szCs w:val="16"/>
                <w:color w:val="auto"/>
              </w:rPr>
            </w:pPr>
          </w:p>
        </w:tc>
      </w:tr>
      <w:tr>
        <w:trPr>
          <w:trHeight w:val="216"/>
        </w:trPr>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Investments</w:t>
            </w:r>
          </w:p>
        </w:tc>
        <w:tc>
          <w:tcPr>
            <w:tcW w:w="140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2"/>
              </w:rPr>
              <w:t>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Investments</w:t>
            </w:r>
          </w:p>
        </w:tc>
        <w:tc>
          <w:tcPr>
            <w:tcW w:w="136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82"/>
              </w:rPr>
              <w:t>of</w:t>
            </w:r>
          </w:p>
        </w:tc>
      </w:tr>
      <w:tr>
        <w:trPr>
          <w:trHeight w:val="216"/>
        </w:trPr>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at</w:t>
            </w:r>
          </w:p>
        </w:tc>
        <w:tc>
          <w:tcPr>
            <w:tcW w:w="140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8"/>
              </w:rPr>
              <w:t>Total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at</w:t>
            </w:r>
          </w:p>
        </w:tc>
        <w:tc>
          <w:tcPr>
            <w:tcW w:w="136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5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Portfolio</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Portfolio</w:t>
            </w:r>
          </w:p>
        </w:tc>
        <w:tc>
          <w:tcPr>
            <w:tcW w:w="160" w:type="dxa"/>
            <w:vAlign w:val="bottom"/>
            <w:tcBorders>
              <w:bottom w:val="single" w:sz="8" w:color="CCEEFF"/>
            </w:tcBorders>
          </w:tcPr>
          <w:p>
            <w:pPr>
              <w:spacing w:after="0"/>
              <w:rPr>
                <w:sz w:val="20"/>
                <w:szCs w:val="20"/>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South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265,277</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254,143</w:t>
            </w: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69.7%</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West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87,580</w:t>
            </w:r>
          </w:p>
        </w:tc>
        <w:tc>
          <w:tcPr>
            <w:tcW w:w="2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66,637</w:t>
            </w:r>
          </w:p>
        </w:tc>
        <w:tc>
          <w:tcPr>
            <w:tcW w:w="2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24,327</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23,436</w:t>
            </w: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Midwest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20,075</w:t>
            </w:r>
          </w:p>
        </w:tc>
        <w:tc>
          <w:tcPr>
            <w:tcW w:w="2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20,503</w:t>
            </w:r>
          </w:p>
        </w:tc>
        <w:tc>
          <w:tcPr>
            <w:tcW w:w="2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405,559</w:t>
            </w:r>
          </w:p>
        </w:tc>
        <w:tc>
          <w:tcPr>
            <w:tcW w:w="22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364,719</w:t>
            </w:r>
          </w:p>
        </w:tc>
        <w:tc>
          <w:tcPr>
            <w:tcW w:w="220" w:type="dxa"/>
            <w:vAlign w:val="bottom"/>
          </w:tcPr>
          <w:p>
            <w:pPr>
              <w:spacing w:after="0"/>
              <w:rPr>
                <w:sz w:val="19"/>
                <w:szCs w:val="19"/>
                <w:color w:val="auto"/>
              </w:rPr>
            </w:pPr>
          </w:p>
        </w:tc>
        <w:tc>
          <w:tcPr>
            <w:tcW w:w="12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The Investment Advisor regularly assesses the risk profile of each of our investments and rates each of them based on the following categories, which we refer to as the Investment Advisor’s investment credit rating: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Credit Rating</w:t>
            </w:r>
          </w:p>
        </w:tc>
        <w:tc>
          <w:tcPr>
            <w:tcW w:w="9580" w:type="dxa"/>
            <w:vAlign w:val="bottom"/>
          </w:tcPr>
          <w:p>
            <w:pPr>
              <w:spacing w:after="0"/>
              <w:rPr>
                <w:sz w:val="20"/>
                <w:szCs w:val="20"/>
                <w:color w:val="auto"/>
              </w:rPr>
            </w:pPr>
            <w:r>
              <w:rPr>
                <w:rFonts w:ascii="Arial" w:cs="Arial" w:eastAsia="Arial" w:hAnsi="Arial"/>
                <w:sz w:val="18"/>
                <w:szCs w:val="18"/>
                <w:b w:val="1"/>
                <w:bCs w:val="1"/>
                <w:color w:val="auto"/>
              </w:rPr>
              <w:t>Definition</w:t>
            </w:r>
          </w:p>
        </w:tc>
      </w:tr>
      <w:tr>
        <w:trPr>
          <w:trHeight w:val="426"/>
        </w:trPr>
        <w:tc>
          <w:tcPr>
            <w:tcW w:w="1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9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Investments that are performing above expectations.</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97"/>
              </w:rPr>
              <w:t>Investments that are performing within expectations, with risks that are neutral or favorable compared to risks at the time of</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origination.</w:t>
            </w:r>
          </w:p>
        </w:tc>
      </w:tr>
      <w:tr>
        <w:trPr>
          <w:trHeight w:val="432"/>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All new loans are rated ‘2’.</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93"/>
              </w:rPr>
              <w:t>Investments that are performing below expectations and that require closer monitoring, but where no loss of interest, dividend or</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principal is expected.</w:t>
            </w:r>
          </w:p>
        </w:tc>
      </w:tr>
      <w:tr>
        <w:trPr>
          <w:trHeight w:val="432"/>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96"/>
              </w:rPr>
              <w:t>Companies rated ‘3’ may be out of compliance with financial covenants, however, loan payments are generally not past due.</w:t>
            </w:r>
          </w:p>
        </w:tc>
      </w:tr>
      <w:tr>
        <w:trPr>
          <w:trHeight w:val="459"/>
        </w:trPr>
        <w:tc>
          <w:tcPr>
            <w:tcW w:w="1720" w:type="dxa"/>
            <w:vAlign w:val="bottom"/>
          </w:tcPr>
          <w:p>
            <w:pPr>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Investments that are performing below expectations and for which risk has increased materially since origination.</w:t>
            </w:r>
          </w:p>
        </w:tc>
      </w:tr>
      <w:tr>
        <w:trPr>
          <w:trHeight w:val="432"/>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Some loss of interest or dividend is expected but no loss of principal.</w:t>
            </w:r>
          </w:p>
        </w:tc>
      </w:tr>
      <w:tr>
        <w:trPr>
          <w:trHeight w:val="418"/>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93"/>
              </w:rPr>
              <w:t>In addition to the borrower being generally out of compliance with debt covenants, loan payments may be past due (but generally</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not more than 180 days past due).</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93"/>
              </w:rPr>
              <w:t>Investments that are performing substantially below expectations and whose risks have increased substantially since origination.</w:t>
            </w:r>
          </w:p>
        </w:tc>
      </w:tr>
      <w:tr>
        <w:trPr>
          <w:trHeight w:val="432"/>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Most or all of the debt covenants are out of compliance and payments are substantially delinquent.</w:t>
            </w:r>
          </w:p>
        </w:tc>
      </w:tr>
      <w:tr>
        <w:trPr>
          <w:trHeight w:val="432"/>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Some loss of principal is expected.</w:t>
            </w:r>
          </w:p>
        </w:tc>
      </w:tr>
      <w:tr>
        <w:trPr>
          <w:trHeight w:val="918"/>
        </w:trPr>
        <w:tc>
          <w:tcPr>
            <w:tcW w:w="1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ind w:left="3780"/>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420"/>
          </w:cols>
          <w:pgMar w:left="240" w:top="881" w:right="239" w:bottom="1440" w:gutter="0" w:footer="0" w:header="0"/>
        </w:sectPr>
      </w:pPr>
    </w:p>
    <w:bookmarkStart w:id="49" w:name="page50"/>
    <w:bookmarkEnd w:id="49"/>
    <w:p>
      <w:pPr>
        <w:ind w:right="60" w:firstLine="881"/>
        <w:spacing w:after="0" w:line="277"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June 30, 2014 (dollars in thousands):</w:t>
      </w:r>
    </w:p>
    <w:p>
      <w:pPr>
        <w:spacing w:after="0" w:line="166"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6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Investments</w:t>
            </w: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6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at Fair</w:t>
            </w: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of Total</w:t>
            </w:r>
          </w:p>
        </w:tc>
      </w:tr>
      <w:tr>
        <w:trPr>
          <w:trHeight w:val="234"/>
        </w:trPr>
        <w:tc>
          <w:tcPr>
            <w:tcW w:w="6840" w:type="dxa"/>
            <w:vAlign w:val="bottom"/>
          </w:tcPr>
          <w:p>
            <w:pPr>
              <w:spacing w:after="0"/>
              <w:rPr>
                <w:sz w:val="20"/>
                <w:szCs w:val="20"/>
                <w:color w:val="auto"/>
              </w:rPr>
            </w:pPr>
            <w:r>
              <w:rPr>
                <w:rFonts w:ascii="Arial" w:cs="Arial" w:eastAsia="Arial" w:hAnsi="Arial"/>
                <w:sz w:val="18"/>
                <w:szCs w:val="18"/>
                <w:b w:val="1"/>
                <w:bCs w:val="1"/>
                <w:color w:val="auto"/>
              </w:rPr>
              <w:t>Investment Performance Rating</w:t>
            </w:r>
          </w:p>
        </w:tc>
        <w:tc>
          <w:tcPr>
            <w:tcW w:w="12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Value</w:t>
            </w: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Investments</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199,687</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49.2%</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122,857</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30.3%</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77,455</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5,560</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405,559</w:t>
            </w:r>
          </w:p>
        </w:tc>
        <w:tc>
          <w:tcPr>
            <w:tcW w:w="18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6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December 31, 2013 (dollars in thousands):</w:t>
      </w:r>
    </w:p>
    <w:p>
      <w:pPr>
        <w:spacing w:after="0" w:line="166"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6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Investments</w:t>
            </w: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6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at Fair</w:t>
            </w: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of Total</w:t>
            </w:r>
          </w:p>
        </w:tc>
      </w:tr>
      <w:tr>
        <w:trPr>
          <w:trHeight w:val="234"/>
        </w:trPr>
        <w:tc>
          <w:tcPr>
            <w:tcW w:w="6840" w:type="dxa"/>
            <w:vAlign w:val="bottom"/>
          </w:tcPr>
          <w:p>
            <w:pPr>
              <w:spacing w:after="0"/>
              <w:rPr>
                <w:sz w:val="20"/>
                <w:szCs w:val="20"/>
                <w:color w:val="auto"/>
              </w:rPr>
            </w:pPr>
            <w:r>
              <w:rPr>
                <w:rFonts w:ascii="Arial" w:cs="Arial" w:eastAsia="Arial" w:hAnsi="Arial"/>
                <w:sz w:val="18"/>
                <w:szCs w:val="18"/>
                <w:b w:val="1"/>
                <w:bCs w:val="1"/>
                <w:color w:val="auto"/>
              </w:rPr>
              <w:t>Investment Performance Rating</w:t>
            </w:r>
          </w:p>
        </w:tc>
        <w:tc>
          <w:tcPr>
            <w:tcW w:w="12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Value</w:t>
            </w: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Investments</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183,194</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129,721</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35.5%</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44,680</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7,124</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364,719</w:t>
            </w:r>
          </w:p>
        </w:tc>
        <w:tc>
          <w:tcPr>
            <w:tcW w:w="18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6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81"/>
        <w:spacing w:after="0" w:line="279" w:lineRule="auto"/>
        <w:rPr>
          <w:sz w:val="20"/>
          <w:szCs w:val="20"/>
          <w:color w:val="auto"/>
        </w:rPr>
      </w:pPr>
      <w:r>
        <w:rPr>
          <w:rFonts w:ascii="Arial" w:cs="Arial" w:eastAsia="Arial" w:hAnsi="Arial"/>
          <w:sz w:val="17"/>
          <w:szCs w:val="17"/>
          <w:color w:val="auto"/>
        </w:rPr>
        <w:t>As of June 30, 2014, the Company had four portfolio investments on non-accrual status with a total principal amount of $10.3 million, amortized cost of $8.6 million and a fair value of $5.6 million, which represented 3.2%, 2.5% and 1.4% of the investment portfolio, respectively. As of December 31, 2013 the Company had four portfolio investments on non-accrual status with a total principal amount of $12.1 million, amortized cost of $10.3 million and a fair value of $6.5 million representing 3.3%, 2.8% and 1.8% of the investment portfolio,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Operating results for the three and six months ended June 30, 2014 and June 30, 2013 are as follows (dollars in thousands):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80" w:type="dxa"/>
            <w:vAlign w:val="bottom"/>
            <w:gridSpan w:val="6"/>
          </w:tcPr>
          <w:p>
            <w:pPr>
              <w:ind w:left="120"/>
              <w:spacing w:after="0"/>
              <w:rPr>
                <w:sz w:val="20"/>
                <w:szCs w:val="20"/>
                <w:color w:val="auto"/>
              </w:rPr>
            </w:pPr>
            <w:r>
              <w:rPr>
                <w:rFonts w:ascii="Arial" w:cs="Arial" w:eastAsia="Arial" w:hAnsi="Arial"/>
                <w:sz w:val="18"/>
                <w:szCs w:val="18"/>
                <w:b w:val="1"/>
                <w:bCs w:val="1"/>
                <w:color w:val="auto"/>
              </w:rPr>
              <w:t>For the three months ended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7"/>
          </w:tcPr>
          <w:p>
            <w:pPr>
              <w:ind w:left="200"/>
              <w:spacing w:after="0"/>
              <w:rPr>
                <w:sz w:val="20"/>
                <w:szCs w:val="20"/>
                <w:color w:val="auto"/>
              </w:rPr>
            </w:pPr>
            <w:r>
              <w:rPr>
                <w:rFonts w:ascii="Arial" w:cs="Arial" w:eastAsia="Arial" w:hAnsi="Arial"/>
                <w:sz w:val="18"/>
                <w:szCs w:val="18"/>
                <w:b w:val="1"/>
                <w:bCs w:val="1"/>
                <w:color w:val="auto"/>
              </w:rPr>
              <w:t>For the six months ended</w:t>
            </w:r>
          </w:p>
        </w:tc>
      </w:tr>
      <w:tr>
        <w:trPr>
          <w:trHeight w:val="191"/>
        </w:trPr>
        <w:tc>
          <w:tcPr>
            <w:tcW w:w="56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9"/>
              </w:rPr>
              <w:t>June 30,</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June 30,</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rPr>
              <w:t>June 30,</w:t>
            </w:r>
          </w:p>
        </w:tc>
        <w:tc>
          <w:tcPr>
            <w:tcW w:w="100" w:type="dxa"/>
            <w:vAlign w:val="bottom"/>
            <w:gridSpan w:val="2"/>
          </w:tcPr>
          <w:p>
            <w:pPr>
              <w:spacing w:after="0"/>
              <w:rPr>
                <w:sz w:val="16"/>
                <w:szCs w:val="16"/>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Total expenses, net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3,558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13,546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6,539</w:t>
            </w:r>
          </w:p>
        </w:tc>
        <w:tc>
          <w:tcPr>
            <w:tcW w:w="8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realized gain from investments</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1,682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unrealized appreciation</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(5,607)</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5,839</w:t>
            </w:r>
          </w:p>
        </w:tc>
        <w:tc>
          <w:tcPr>
            <w:tcW w:w="80" w:type="dxa"/>
            <w:vAlign w:val="bottom"/>
            <w:shd w:val="clear" w:color="auto" w:fill="CCEEFF"/>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14,152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composition of our investment income for the three and six months ended June 30, 2014 and June 30, 2013 was as follows (dollars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80" w:type="dxa"/>
            <w:vAlign w:val="bottom"/>
            <w:gridSpan w:val="6"/>
          </w:tcPr>
          <w:p>
            <w:pPr>
              <w:ind w:left="120"/>
              <w:spacing w:after="0"/>
              <w:rPr>
                <w:sz w:val="20"/>
                <w:szCs w:val="20"/>
                <w:color w:val="auto"/>
              </w:rPr>
            </w:pPr>
            <w:r>
              <w:rPr>
                <w:rFonts w:ascii="Arial" w:cs="Arial" w:eastAsia="Arial" w:hAnsi="Arial"/>
                <w:sz w:val="18"/>
                <w:szCs w:val="18"/>
                <w:b w:val="1"/>
                <w:bCs w:val="1"/>
                <w:color w:val="auto"/>
              </w:rPr>
              <w:t>For the three months ended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7"/>
          </w:tcPr>
          <w:p>
            <w:pPr>
              <w:ind w:left="200"/>
              <w:spacing w:after="0"/>
              <w:rPr>
                <w:sz w:val="20"/>
                <w:szCs w:val="20"/>
                <w:color w:val="auto"/>
              </w:rPr>
            </w:pPr>
            <w:r>
              <w:rPr>
                <w:rFonts w:ascii="Arial" w:cs="Arial" w:eastAsia="Arial" w:hAnsi="Arial"/>
                <w:sz w:val="18"/>
                <w:szCs w:val="18"/>
                <w:b w:val="1"/>
                <w:bCs w:val="1"/>
                <w:color w:val="auto"/>
              </w:rPr>
              <w:t>For the six months ended</w:t>
            </w:r>
          </w:p>
        </w:tc>
      </w:tr>
      <w:tr>
        <w:trPr>
          <w:trHeight w:val="191"/>
        </w:trPr>
        <w:tc>
          <w:tcPr>
            <w:tcW w:w="56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9"/>
              </w:rPr>
              <w:t>June 30,</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120"/>
              <w:spacing w:after="0" w:line="191" w:lineRule="exact"/>
              <w:rPr>
                <w:sz w:val="20"/>
                <w:szCs w:val="20"/>
                <w:color w:val="auto"/>
              </w:rPr>
            </w:pPr>
            <w:r>
              <w:rPr>
                <w:rFonts w:ascii="Arial" w:cs="Arial" w:eastAsia="Arial" w:hAnsi="Arial"/>
                <w:sz w:val="18"/>
                <w:szCs w:val="18"/>
                <w:b w:val="1"/>
                <w:bCs w:val="1"/>
                <w:color w:val="auto"/>
              </w:rPr>
              <w:t>June 30,</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rPr>
              <w:t>June 30,</w:t>
            </w:r>
          </w:p>
        </w:tc>
        <w:tc>
          <w:tcPr>
            <w:tcW w:w="100" w:type="dxa"/>
            <w:vAlign w:val="bottom"/>
            <w:gridSpan w:val="2"/>
          </w:tcPr>
          <w:p>
            <w:pPr>
              <w:spacing w:after="0"/>
              <w:rPr>
                <w:sz w:val="16"/>
                <w:szCs w:val="16"/>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and fee income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Dividend income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7,025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517</w:t>
            </w: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w:t>
            </w: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Interest from cash and cash equivalents</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1,361</w:t>
            </w:r>
          </w:p>
        </w:tc>
        <w:tc>
          <w:tcPr>
            <w:tcW w:w="80" w:type="dxa"/>
            <w:vAlign w:val="bottom"/>
            <w:shd w:val="clear" w:color="auto" w:fill="CCEEFF"/>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881"/>
        <w:spacing w:after="0" w:line="259" w:lineRule="auto"/>
        <w:rPr>
          <w:sz w:val="20"/>
          <w:szCs w:val="20"/>
          <w:color w:val="auto"/>
        </w:rPr>
      </w:pPr>
      <w:r>
        <w:rPr>
          <w:rFonts w:ascii="Arial" w:cs="Arial" w:eastAsia="Arial" w:hAnsi="Arial"/>
          <w:sz w:val="18"/>
          <w:szCs w:val="18"/>
          <w:color w:val="auto"/>
        </w:rPr>
        <w:t>For the three months ended June 30, 2014, total investment income increased $4.3 million, or 52.5% compared to the three months ended June 30, 2013. For the six months ended June 30, 2014, total investment income increased $10.4 million, or 71.9% compared to the six months ended June 30, 2013. The increase from the prior period relates to higher dividend income mostly from recapitalizations of control investments, and higher loan interest and fee income resulting from an increasing investment portfolio.</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composition of our expenses for the three and six months ended June 30, 2014 and June 30, 2013 was as follows (dollars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80" w:type="dxa"/>
            <w:vAlign w:val="bottom"/>
            <w:gridSpan w:val="6"/>
          </w:tcPr>
          <w:p>
            <w:pPr>
              <w:ind w:left="120"/>
              <w:spacing w:after="0"/>
              <w:rPr>
                <w:sz w:val="20"/>
                <w:szCs w:val="20"/>
                <w:color w:val="auto"/>
              </w:rPr>
            </w:pPr>
            <w:r>
              <w:rPr>
                <w:rFonts w:ascii="Arial" w:cs="Arial" w:eastAsia="Arial" w:hAnsi="Arial"/>
                <w:sz w:val="18"/>
                <w:szCs w:val="18"/>
                <w:b w:val="1"/>
                <w:bCs w:val="1"/>
                <w:color w:val="auto"/>
              </w:rPr>
              <w:t>For the three months ended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5"/>
          </w:tcPr>
          <w:p>
            <w:pPr>
              <w:ind w:left="200"/>
              <w:spacing w:after="0"/>
              <w:rPr>
                <w:sz w:val="20"/>
                <w:szCs w:val="20"/>
                <w:color w:val="auto"/>
              </w:rPr>
            </w:pPr>
            <w:r>
              <w:rPr>
                <w:rFonts w:ascii="Arial" w:cs="Arial" w:eastAsia="Arial" w:hAnsi="Arial"/>
                <w:sz w:val="18"/>
                <w:szCs w:val="18"/>
                <w:b w:val="1"/>
                <w:bCs w:val="1"/>
                <w:color w:val="auto"/>
              </w:rPr>
              <w:t>For the six months ended</w:t>
            </w:r>
          </w:p>
        </w:tc>
      </w:tr>
      <w:tr>
        <w:trPr>
          <w:trHeight w:val="191"/>
        </w:trPr>
        <w:tc>
          <w:tcPr>
            <w:tcW w:w="56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9"/>
              </w:rPr>
              <w:t>June 30,</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120"/>
              <w:spacing w:after="0" w:line="191" w:lineRule="exact"/>
              <w:rPr>
                <w:sz w:val="20"/>
                <w:szCs w:val="20"/>
                <w:color w:val="auto"/>
              </w:rPr>
            </w:pPr>
            <w:r>
              <w:rPr>
                <w:rFonts w:ascii="Arial" w:cs="Arial" w:eastAsia="Arial" w:hAnsi="Arial"/>
                <w:sz w:val="18"/>
                <w:szCs w:val="18"/>
                <w:b w:val="1"/>
                <w:bCs w:val="1"/>
                <w:color w:val="auto"/>
              </w:rPr>
              <w:t>June 30,</w:t>
            </w: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6"/>
                <w:szCs w:val="16"/>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0"/>
                <w:szCs w:val="20"/>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amortization of deferred financing fees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Management fees, net of management fee waiver</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4,094</w:t>
            </w: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2,014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881"/>
        <w:spacing w:after="0" w:line="276" w:lineRule="auto"/>
        <w:rPr>
          <w:sz w:val="20"/>
          <w:szCs w:val="20"/>
          <w:color w:val="auto"/>
        </w:rPr>
      </w:pPr>
      <w:r>
        <w:rPr>
          <w:rFonts w:ascii="Arial" w:cs="Arial" w:eastAsia="Arial" w:hAnsi="Arial"/>
          <w:sz w:val="17"/>
          <w:szCs w:val="17"/>
          <w:color w:val="auto"/>
        </w:rPr>
        <w:t>For the three months ended June 30, 2014, operating expenses increased $3.3 million, or 93.7% compared to the three months ended June 30, 2013. For the six months ended June 30, 2014, operating expenses increased $7.0 million, or 107.2% compared to the six months ended June 30, 2013. The increase from the prior period is attributable to incentive and management fees under the new advisory agreement along with increased general and administrative expenses due to regulatory and reporting costs subsequent to our IPO on September 30, 2013, and an increase in interest expense as a result of our June 2014 $113.4 million offering of 7.125% fixed rate notes due 2021.</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51" w:name="page52"/>
    <w:bookmarkEnd w:id="51"/>
    <w:p>
      <w:pPr>
        <w:ind w:left="880"/>
        <w:spacing w:after="0"/>
        <w:rPr>
          <w:sz w:val="20"/>
          <w:szCs w:val="20"/>
          <w:color w:val="auto"/>
        </w:rPr>
      </w:pPr>
      <w:r>
        <w:rPr>
          <w:rFonts w:ascii="Arial" w:cs="Arial" w:eastAsia="Arial" w:hAnsi="Arial"/>
          <w:sz w:val="18"/>
          <w:szCs w:val="18"/>
          <w:b w:val="1"/>
          <w:bCs w:val="1"/>
          <w:i w:val="1"/>
          <w:iCs w:val="1"/>
          <w:color w:val="auto"/>
        </w:rPr>
        <w:t>Net realized gains/losses on sales of investments</w:t>
      </w:r>
    </w:p>
    <w:p>
      <w:pPr>
        <w:spacing w:after="0" w:line="225" w:lineRule="exact"/>
        <w:rPr>
          <w:sz w:val="20"/>
          <w:szCs w:val="20"/>
          <w:color w:val="auto"/>
        </w:rPr>
      </w:pPr>
    </w:p>
    <w:p>
      <w:pPr>
        <w:ind w:right="120" w:firstLine="881"/>
        <w:spacing w:after="0" w:line="264" w:lineRule="auto"/>
        <w:rPr>
          <w:sz w:val="20"/>
          <w:szCs w:val="20"/>
          <w:color w:val="auto"/>
        </w:rPr>
      </w:pPr>
      <w:r>
        <w:rPr>
          <w:rFonts w:ascii="Arial" w:cs="Arial" w:eastAsia="Arial" w:hAnsi="Arial"/>
          <w:sz w:val="18"/>
          <w:szCs w:val="18"/>
          <w:color w:val="auto"/>
        </w:rPr>
        <w:t>During the three and six months ended June 30, 2014, we recognized $0.5 million and $1.7 million, respectively, of net realized gains on our portfolio investments. During the three and six months ended June 30, 2013, we recognized $0.4 million and $0.4 million, respectively, of net realized gains on portfolio investments.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Net unrealized appreciation/depreciation on investments</w:t>
      </w:r>
    </w:p>
    <w:p>
      <w:pPr>
        <w:spacing w:after="0" w:line="225" w:lineRule="exact"/>
        <w:rPr>
          <w:sz w:val="20"/>
          <w:szCs w:val="20"/>
          <w:color w:val="auto"/>
        </w:rPr>
      </w:pPr>
    </w:p>
    <w:p>
      <w:pPr>
        <w:jc w:val="both"/>
        <w:ind w:right="120" w:firstLine="881"/>
        <w:spacing w:after="0" w:line="259" w:lineRule="auto"/>
        <w:rPr>
          <w:sz w:val="20"/>
          <w:szCs w:val="20"/>
          <w:color w:val="auto"/>
        </w:rPr>
      </w:pPr>
      <w:r>
        <w:rPr>
          <w:rFonts w:ascii="Arial" w:cs="Arial" w:eastAsia="Arial" w:hAnsi="Arial"/>
          <w:sz w:val="18"/>
          <w:szCs w:val="18"/>
          <w:color w:val="auto"/>
        </w:rPr>
        <w:t>Net change in unrealized appreciation on investments reflects the net change in the fair value of our investment portfolio. For the three months ended June 30, 2014, we had a $0.1 million increase in unrealized appreciation on portfolio investments. For the six months ended June 30, 2014, we had a $5.6 million decrease in unrealized appreciation on portfolio investments. For the three and six months ended June 30, 2013, we had a $6.6 million and $5.8 million, respectively, increase in unrealized appreciation on portfolio investments.</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225" w:lineRule="exact"/>
        <w:rPr>
          <w:sz w:val="20"/>
          <w:szCs w:val="20"/>
          <w:color w:val="auto"/>
        </w:rPr>
      </w:pPr>
    </w:p>
    <w:p>
      <w:pPr>
        <w:ind w:right="60" w:firstLine="881"/>
        <w:spacing w:after="0" w:line="279" w:lineRule="auto"/>
        <w:rPr>
          <w:sz w:val="20"/>
          <w:szCs w:val="20"/>
          <w:color w:val="auto"/>
        </w:rPr>
      </w:pPr>
      <w:r>
        <w:rPr>
          <w:rFonts w:ascii="Arial" w:cs="Arial" w:eastAsia="Arial" w:hAnsi="Arial"/>
          <w:sz w:val="17"/>
          <w:szCs w:val="17"/>
          <w:color w:val="auto"/>
        </w:rPr>
        <w:t>For the three and six months ended June 30, 2014, we recorded a net increase in net assets resulting from operations of $6.2 million and $7.4 million, respectively. Based on the weighted average shares of common stock outstanding for the three and six months ended June 30, 2014 our per share net increase in net assets resulting from operations was $0.48 and $0.57, respectively. For the three and six months ended June 30, 2013, we recorded a net increase in net assets resulting from operations of $11.6 million and $14.2 million,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addition to the $74.25 million of net proceeds from our IPO, we intend to continue to generate cash from future offerings of securities and cash flows from operations, including earnings on investments in our portfolio and future investments, as well as interest earned from the temporary investment of cash in U.S. government securities and other high-quality debt investments that mature in one year or less. In addition to our existing SBA-guaranteed debentures, we may, if permitted by regulation, seek to issue additional SBA-guaranteed debentures as well as other forms of leverage and borrow funds to make investments. On June 10, 2014, we received an exemptive order from the SEC exempting us,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 We intend to comply with the conditions of the order.</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June 30, 2014, we had $166.5 million in cash and cash equivalents, and our net assets totaled $263.9 million.</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June 2014, we issued $113.4 million in aggregate principal amount of 7.125% fixed-rate notes due 2021 (the “Notes”). The Notes will mature on June 16, 2021, and may be redeemed in whole or in part at any time or from time to time at the Company’s option on or after June 17, 2017 at a redemption price equal to 100% of the outstanding principal, plus accrued and unpaid interest. The notes will bear interest at a rate of 7.125% per year payable quarterly on March 16, June 16, September 16, and December 16 of each year, beginning September 16, 2014. The Notes are listed on the NYSE under the trading symbol “CLA” with a par value of $25.00 per share.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40" w:firstLine="881"/>
        <w:spacing w:after="0" w:line="276" w:lineRule="auto"/>
        <w:rPr>
          <w:sz w:val="20"/>
          <w:szCs w:val="20"/>
          <w:color w:val="auto"/>
        </w:rPr>
      </w:pPr>
      <w:r>
        <w:rPr>
          <w:rFonts w:ascii="Arial" w:cs="Arial" w:eastAsia="Arial" w:hAnsi="Arial"/>
          <w:sz w:val="17"/>
          <w:szCs w:val="17"/>
          <w:color w:val="auto"/>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52" w:name="page53"/>
    <w:bookmarkEnd w:id="52"/>
    <w:p>
      <w:pPr>
        <w:ind w:right="40" w:firstLine="881"/>
        <w:spacing w:after="0" w:line="279" w:lineRule="auto"/>
        <w:rPr>
          <w:sz w:val="20"/>
          <w:szCs w:val="20"/>
          <w:color w:val="auto"/>
        </w:rPr>
      </w:pPr>
      <w:r>
        <w:rPr>
          <w:rFonts w:ascii="Arial" w:cs="Arial" w:eastAsia="Arial" w:hAnsi="Arial"/>
          <w:sz w:val="17"/>
          <w:szCs w:val="17"/>
          <w:color w:val="auto"/>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summary of the Company’s significant contractual payment obligations as of June 30, 2014 is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9"/>
          </w:tcPr>
          <w:p>
            <w:pPr>
              <w:ind w:left="40"/>
              <w:spacing w:after="0"/>
              <w:rPr>
                <w:sz w:val="20"/>
                <w:szCs w:val="20"/>
                <w:color w:val="auto"/>
              </w:rPr>
            </w:pPr>
            <w:r>
              <w:rPr>
                <w:rFonts w:ascii="Arial" w:cs="Arial" w:eastAsia="Arial" w:hAnsi="Arial"/>
                <w:sz w:val="18"/>
                <w:szCs w:val="18"/>
                <w:b w:val="1"/>
                <w:bCs w:val="1"/>
                <w:color w:val="auto"/>
                <w:w w:val="98"/>
              </w:rPr>
              <w:t>Contractual Obligations Payments Due by Period</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12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Less Than</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90"/>
              <w:spacing w:after="0" w:line="191" w:lineRule="exact"/>
              <w:rPr>
                <w:sz w:val="20"/>
                <w:szCs w:val="20"/>
                <w:color w:val="auto"/>
              </w:rPr>
            </w:pPr>
            <w:r>
              <w:rPr>
                <w:rFonts w:ascii="Arial" w:cs="Arial" w:eastAsia="Arial" w:hAnsi="Arial"/>
                <w:sz w:val="18"/>
                <w:szCs w:val="18"/>
                <w:b w:val="1"/>
                <w:bCs w:val="1"/>
                <w:color w:val="auto"/>
              </w:rPr>
              <w:t>1 - 3</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90"/>
              <w:spacing w:after="0" w:line="191" w:lineRule="exact"/>
              <w:rPr>
                <w:sz w:val="20"/>
                <w:szCs w:val="20"/>
                <w:color w:val="auto"/>
              </w:rPr>
            </w:pPr>
            <w:r>
              <w:rPr>
                <w:rFonts w:ascii="Arial" w:cs="Arial" w:eastAsia="Arial" w:hAnsi="Arial"/>
                <w:sz w:val="18"/>
                <w:szCs w:val="18"/>
                <w:b w:val="1"/>
                <w:bCs w:val="1"/>
                <w:color w:val="auto"/>
              </w:rPr>
              <w:t>3 - 5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4"/>
              </w:rPr>
              <w:t>More Than</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12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1 Year</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Years</w:t>
            </w:r>
          </w:p>
        </w:tc>
        <w:tc>
          <w:tcPr>
            <w:tcW w:w="24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Years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5 Years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SBA-Guaranteed Debentures</w:t>
            </w: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Note Obligations</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113,438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113,438</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right="20" w:firstLine="881"/>
        <w:spacing w:after="0" w:line="271" w:lineRule="auto"/>
        <w:rPr>
          <w:sz w:val="20"/>
          <w:szCs w:val="20"/>
          <w:color w:val="auto"/>
        </w:rPr>
      </w:pPr>
      <w:r>
        <w:rPr>
          <w:rFonts w:ascii="Arial" w:cs="Arial" w:eastAsia="Arial" w:hAnsi="Arial"/>
          <w:sz w:val="17"/>
          <w:szCs w:val="17"/>
          <w:color w:val="auto"/>
        </w:rPr>
        <w:t>In order to qualify as a RIC and to avoid U.S. federal corporate level income tax on the income we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for preceding years that were not distributed during such years and on which we paid no U.S. federal income tax to avoid a U.S. federal excise tax. To the extent that we have income available, we intend to make quarterly distributions to our stockholders for the first four full quarters subsequent to our IPO and then make monthly distributions thereafter. Our monthly stockholder distributions, if any, will be determined by our Board on a quarterly basis. Any distribution to our stockholders will be declared out of assets legally available for distribution.</w:t>
      </w:r>
    </w:p>
    <w:p>
      <w:pPr>
        <w:spacing w:after="0" w:line="179"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our distributions from time to time.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187" w:lineRule="exact"/>
        <w:rPr>
          <w:sz w:val="20"/>
          <w:szCs w:val="20"/>
          <w:color w:val="auto"/>
        </w:rPr>
      </w:pPr>
    </w:p>
    <w:p>
      <w:pPr>
        <w:ind w:right="80" w:firstLine="881"/>
        <w:spacing w:after="0" w:line="279" w:lineRule="auto"/>
        <w:rPr>
          <w:sz w:val="20"/>
          <w:szCs w:val="20"/>
          <w:color w:val="auto"/>
        </w:rPr>
      </w:pPr>
      <w:r>
        <w:rPr>
          <w:rFonts w:ascii="Arial" w:cs="Arial" w:eastAsia="Arial" w:hAnsi="Arial"/>
          <w:sz w:val="17"/>
          <w:szCs w:val="17"/>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171" w:lineRule="exact"/>
        <w:rPr>
          <w:sz w:val="20"/>
          <w:szCs w:val="20"/>
          <w:color w:val="auto"/>
        </w:rPr>
      </w:pPr>
    </w:p>
    <w:p>
      <w:pPr>
        <w:ind w:right="40" w:firstLine="881"/>
        <w:spacing w:after="0" w:line="297" w:lineRule="auto"/>
        <w:rPr>
          <w:sz w:val="20"/>
          <w:szCs w:val="20"/>
          <w:color w:val="auto"/>
        </w:rPr>
      </w:pPr>
      <w:r>
        <w:rPr>
          <w:rFonts w:ascii="Arial" w:cs="Arial" w:eastAsia="Arial" w:hAnsi="Arial"/>
          <w:sz w:val="16"/>
          <w:szCs w:val="16"/>
          <w:color w:val="auto"/>
        </w:rPr>
        <w:t>We have adopted an “opt out” dividend reinvestment plan for our common stockholders. As a result, if we declare a distribution, then stockholders’ cash distributions will be automatically reinvested in additional shares of our common stock unless a stockholder specifically “opts out” of our dividend reinvestment plan.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dividend reinvestment plan will not receive any corresponding cash distributions with which to pay any such applicable taxes.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Related Parties</w:t>
      </w:r>
    </w:p>
    <w:p>
      <w:pPr>
        <w:spacing w:after="0" w:line="229" w:lineRule="exact"/>
        <w:rPr>
          <w:sz w:val="20"/>
          <w:szCs w:val="20"/>
          <w:color w:val="auto"/>
        </w:rPr>
      </w:pPr>
    </w:p>
    <w:p>
      <w:pPr>
        <w:jc w:val="both"/>
        <w:ind w:right="380" w:firstLine="881"/>
        <w:spacing w:after="0" w:line="264" w:lineRule="auto"/>
        <w:rPr>
          <w:sz w:val="20"/>
          <w:szCs w:val="20"/>
          <w:color w:val="auto"/>
        </w:rPr>
      </w:pPr>
      <w:r>
        <w:rPr>
          <w:rFonts w:ascii="Arial" w:cs="Arial" w:eastAsia="Arial" w:hAnsi="Arial"/>
          <w:sz w:val="18"/>
          <w:szCs w:val="18"/>
          <w:color w:val="auto"/>
        </w:rPr>
        <w:t>We have entered into the Investment Advisory Agreement with the Investment Advisor. Mr. Alala, our chief executive officer, president and chairman of our Board, is the managing partner and chief investment officer of our Investment Advisor, and Mr. Broyhill, a member of our Board, has an indirect controlling interest in the Investment Advisor.</w:t>
      </w:r>
    </w:p>
    <w:p>
      <w:pPr>
        <w:spacing w:after="0" w:line="181" w:lineRule="exact"/>
        <w:rPr>
          <w:sz w:val="20"/>
          <w:szCs w:val="20"/>
          <w:color w:val="auto"/>
        </w:rPr>
      </w:pPr>
    </w:p>
    <w:p>
      <w:pPr>
        <w:ind w:right="40" w:firstLine="881"/>
        <w:spacing w:after="0" w:line="270" w:lineRule="auto"/>
        <w:rPr>
          <w:sz w:val="20"/>
          <w:szCs w:val="20"/>
          <w:color w:val="auto"/>
        </w:rPr>
      </w:pPr>
      <w:r>
        <w:rPr>
          <w:rFonts w:ascii="Arial" w:cs="Arial" w:eastAsia="Arial" w:hAnsi="Arial"/>
          <w:sz w:val="17"/>
          <w:szCs w:val="17"/>
          <w:color w:val="auto"/>
        </w:rPr>
        <w:t>In addition, the Investment Advisor’s investment team also manages Fund IV, a private investment limited partnership providing financing solutions to smaller and lower middle-market companies that had its first closing in March 2013 and obtained SBA approval for its SBIC license in April 2013. In addition to Fund IV, affiliates of the Investment Advisor may manage several affiliated funds whereby institutional limited partners in Fund IV, have had the opportunity to co-invest with Fund IV in portfolio investments. The Investment Advisor and its affiliates may also manage other funds in the future that may have investment mandates that are similar, in whole and in part, with ours.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 We do not expect to make co-investments, or otherwise compete for investment opportunities, with Fund IV because its focus and investment strategy differ from our own.</w:t>
      </w:r>
    </w:p>
    <w:p>
      <w:pPr>
        <w:spacing w:after="0" w:line="178"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We have entered into a license agreement with the Investment Advisor, pursuant to which the Investment Advisor has agreed to grant us a non-exclusive, royalty-free license to use the name “Capitala.”</w:t>
      </w:r>
    </w:p>
    <w:p>
      <w:pPr>
        <w:spacing w:after="0" w:line="170" w:lineRule="exact"/>
        <w:rPr>
          <w:sz w:val="20"/>
          <w:szCs w:val="20"/>
          <w:color w:val="auto"/>
        </w:rPr>
      </w:pPr>
    </w:p>
    <w:p>
      <w:pPr>
        <w:ind w:right="80" w:firstLine="881"/>
        <w:spacing w:after="0" w:line="259" w:lineRule="auto"/>
        <w:rPr>
          <w:sz w:val="20"/>
          <w:szCs w:val="20"/>
          <w:color w:val="auto"/>
        </w:rPr>
      </w:pPr>
      <w:r>
        <w:rPr>
          <w:rFonts w:ascii="Arial" w:cs="Arial" w:eastAsia="Arial" w:hAnsi="Arial"/>
          <w:sz w:val="18"/>
          <w:szCs w:val="18"/>
          <w:color w:val="auto"/>
        </w:rPr>
        <w:t>We have entered into the Administration Agreement with our Administrator. Pursuant to the terms of the Administration Agreement, our Administrator provides us with the office facilities and administrative services necessary to conduct our day-to-day operations. Mr. Alala, our chief executive officer, president and chairman of our Board, is the chief executive officer, president and a director of our Administrator, and Mr. Broyhill, a member of our Board, is the trustee of a trust that has a controlling interest in our Adminstrator.</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740" w:firstLine="881"/>
        <w:spacing w:after="0" w:line="277" w:lineRule="auto"/>
        <w:rPr>
          <w:sz w:val="20"/>
          <w:szCs w:val="20"/>
          <w:color w:val="auto"/>
        </w:rPr>
      </w:pPr>
      <w:r>
        <w:rPr>
          <w:rFonts w:ascii="Arial" w:cs="Arial" w:eastAsia="Arial" w:hAnsi="Arial"/>
          <w:sz w:val="18"/>
          <w:szCs w:val="18"/>
          <w:color w:val="auto"/>
        </w:rPr>
        <w:t>On July 15, 2014, we invested approximately $7.2 million in the junior subordinated debt (12% cash interest), $5.0 million in the senior subordinated debt (14% cash interest), and $1.8 million in the common equity of Burgaflex Holdings, LLC.</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On July 17, 2014, we invested approximately $12.5 million in the senior secured debt (12% cash, 4% PIK) of Sequoia Healthcare Management,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right="20" w:firstLine="881"/>
        <w:spacing w:after="0" w:line="277" w:lineRule="auto"/>
        <w:rPr>
          <w:sz w:val="20"/>
          <w:szCs w:val="20"/>
          <w:color w:val="auto"/>
        </w:rPr>
      </w:pPr>
      <w:r>
        <w:rPr>
          <w:rFonts w:ascii="Arial" w:cs="Arial" w:eastAsia="Arial" w:hAnsi="Arial"/>
          <w:sz w:val="18"/>
          <w:szCs w:val="18"/>
          <w:color w:val="auto"/>
        </w:rPr>
        <w:t>On July 25, 2014, we invested approximately $3.0 million in the subordinated debt (cash interest of LIBOR + 9.0%, 1% floor) of Meritas Schools Holdings, LLC.</w:t>
      </w:r>
    </w:p>
    <w:p>
      <w:pPr>
        <w:spacing w:after="0" w:line="170" w:lineRule="exact"/>
        <w:rPr>
          <w:sz w:val="20"/>
          <w:szCs w:val="20"/>
          <w:color w:val="auto"/>
        </w:rPr>
      </w:pPr>
    </w:p>
    <w:p>
      <w:pPr>
        <w:ind w:right="260" w:firstLine="881"/>
        <w:spacing w:after="0" w:line="264" w:lineRule="auto"/>
        <w:rPr>
          <w:sz w:val="20"/>
          <w:szCs w:val="20"/>
          <w:color w:val="auto"/>
        </w:rPr>
      </w:pPr>
      <w:r>
        <w:rPr>
          <w:rFonts w:ascii="Arial" w:cs="Arial" w:eastAsia="Arial" w:hAnsi="Arial"/>
          <w:sz w:val="18"/>
          <w:szCs w:val="18"/>
          <w:color w:val="auto"/>
        </w:rPr>
        <w:t>On August 1, 2014, we invested $5.3 million in senior revolving debt (current contractual rate of LIBOR plus 6.75% cash interest, .25% floor) and $3.4 million in senior term debt (current contractual rate of LIBOR plus 7.75% cash interest, .25% floor) of Impresa Aerospace Holdings, LLC, an existing portfolio company.</w:t>
      </w:r>
    </w:p>
    <w:p>
      <w:pPr>
        <w:spacing w:after="0" w:line="181" w:lineRule="exact"/>
        <w:rPr>
          <w:sz w:val="20"/>
          <w:szCs w:val="20"/>
          <w:color w:val="auto"/>
        </w:rPr>
      </w:pPr>
    </w:p>
    <w:p>
      <w:pPr>
        <w:ind w:right="640" w:firstLine="881"/>
        <w:spacing w:after="0" w:line="277" w:lineRule="auto"/>
        <w:rPr>
          <w:sz w:val="20"/>
          <w:szCs w:val="20"/>
          <w:color w:val="auto"/>
        </w:rPr>
      </w:pPr>
      <w:r>
        <w:rPr>
          <w:rFonts w:ascii="Arial" w:cs="Arial" w:eastAsia="Arial" w:hAnsi="Arial"/>
          <w:sz w:val="18"/>
          <w:szCs w:val="18"/>
          <w:color w:val="auto"/>
        </w:rPr>
        <w:t>On August 5, 2014, we invested $4.0 million in the senior secured debt (12% cash interest, 2% PIK) of Sparus Holdings, Inc., an existing portfolio company.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4" w:name="page55"/>
    <w:bookmarkEnd w:id="54"/>
    <w:p>
      <w:pPr>
        <w:ind w:left="880"/>
        <w:spacing w:after="0"/>
        <w:rPr>
          <w:sz w:val="20"/>
          <w:szCs w:val="20"/>
          <w:color w:val="auto"/>
        </w:rPr>
      </w:pPr>
      <w:r>
        <w:rPr>
          <w:rFonts w:ascii="Arial" w:cs="Arial" w:eastAsia="Arial" w:hAnsi="Arial"/>
          <w:sz w:val="16"/>
          <w:szCs w:val="16"/>
          <w:color w:val="auto"/>
        </w:rPr>
        <w:t>On August 7, 2014, we declared a quarterly dividend of $0.47 per share payable on September 26, 2014 to holders of record as of September 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80" w:firstLine="881"/>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Changes in interest rates may affect both our cost of funding and our interest income from portfolio investments and cash and cash equivalents. We may hedge against interest rate fluctuations by using standard hedging instruments such as futures, options and forward contracts subject to the requirements of the 1940 Act. For the three and six months ended June 30, 2014, we did not engage in hedging activities.</w:t>
      </w:r>
    </w:p>
    <w:p>
      <w:pPr>
        <w:spacing w:after="0" w:line="187" w:lineRule="exact"/>
        <w:rPr>
          <w:sz w:val="20"/>
          <w:szCs w:val="20"/>
          <w:color w:val="auto"/>
        </w:rPr>
      </w:pPr>
    </w:p>
    <w:p>
      <w:pPr>
        <w:ind w:right="360" w:firstLine="881"/>
        <w:spacing w:after="0" w:line="276" w:lineRule="auto"/>
        <w:rPr>
          <w:sz w:val="20"/>
          <w:szCs w:val="20"/>
          <w:color w:val="auto"/>
        </w:rPr>
      </w:pPr>
      <w:r>
        <w:rPr>
          <w:rFonts w:ascii="Arial" w:cs="Arial" w:eastAsia="Arial" w:hAnsi="Arial"/>
          <w:sz w:val="17"/>
          <w:szCs w:val="17"/>
          <w:color w:val="auto"/>
        </w:rPr>
        <w:t>As of June 30, 2014, the Company held 2 securities at a cost of $14.4 million bearing a variable rate of interest. The Company’s variable rate investments represent approximately 5% of the fair market value of total interest earning investments. All variable rate securities are London Interbank Offered Rate-based (“LIBOR”) and are subject to interest rate floors. As of and for the three and six month periods ended June 30, 2014, all variable rate securities are yielding interest at a rate equal to the established interest rate floor. As of June 30, 2014, all of our interest paying liabilities, consisting of $192.2 million in SBA-guaranteed debentures and $113.4 million in notes payable, bear interest at a fixed rate.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1160" w:hanging="571"/>
        <w:spacing w:after="0"/>
        <w:tabs>
          <w:tab w:leader="none" w:pos="11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881"/>
        <w:spacing w:after="0" w:line="270" w:lineRule="auto"/>
        <w:rPr>
          <w:sz w:val="20"/>
          <w:szCs w:val="20"/>
          <w:color w:val="auto"/>
        </w:rPr>
      </w:pPr>
      <w:r>
        <w:rPr>
          <w:rFonts w:ascii="Arial" w:cs="Arial" w:eastAsia="Arial" w:hAnsi="Arial"/>
          <w:sz w:val="17"/>
          <w:szCs w:val="17"/>
          <w:color w:val="auto"/>
        </w:rPr>
        <w:t>As of June 30, 2014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82"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ind w:right="100" w:firstLine="881"/>
        <w:spacing w:after="0" w:line="308" w:lineRule="auto"/>
        <w:rPr>
          <w:sz w:val="20"/>
          <w:szCs w:val="20"/>
          <w:color w:val="auto"/>
        </w:rPr>
      </w:pPr>
      <w:r>
        <w:rPr>
          <w:rFonts w:ascii="Arial" w:cs="Arial" w:eastAsia="Arial" w:hAnsi="Arial"/>
          <w:sz w:val="17"/>
          <w:szCs w:val="17"/>
          <w:color w:val="auto"/>
        </w:rPr>
        <w:t>Management has not identified any change in the Company’s internal control over financing reporting that occurred during the second quarter of 2014 that has materially affected, or is reasonably likely to materially affect, the Company’s internal control over financial reporting.</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0" w:firstLine="881"/>
        <w:spacing w:after="0" w:line="297" w:lineRule="auto"/>
        <w:rPr>
          <w:sz w:val="20"/>
          <w:szCs w:val="20"/>
          <w:color w:val="auto"/>
        </w:rPr>
      </w:pPr>
      <w:r>
        <w:rPr>
          <w:rFonts w:ascii="Arial" w:cs="Arial" w:eastAsia="Arial" w:hAnsi="Arial"/>
          <w:sz w:val="16"/>
          <w:szCs w:val="16"/>
          <w:color w:val="auto"/>
        </w:rPr>
        <w:t>None of us, our Investment Advisor or Administrator or any of the Legacy Funds, is currently subject to any material legal proceedings, nor, to our knowledge, is any material legal proceeding threatened against us, or against our Investment Advisor or Administrator. From time to time, we, our Investment Advisor or Administrator, or any of the Legacy Funds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In addition to the other information set forth in this report, you should carefully consider the factors discussed in Part I, “Item 1A. Risk Factors” in our Annual Report on Form 10-K for the fiscal year ended December 31, 2013, which could materially affect our business, financial condition and/or operating results. The risks described in our Annual Report on Form 10-K are not the only risks we face. Additional risks and uncertainties are not currently known to us or that we currently deem to be immaterial also may materially adversely affect our business, financial condition and/or operating results. There have been no material changes from the risk factors set forth in our Annual Report on Form 10-K for the year ended December 31, 2013.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During the quarter ended June 30, 2014, we issued 11,812 shares of common stock under our dividend reinvestment plan. The issuances were not subject to the registration requirements under the Securities Act. The cash paid for shares of common stock issued under our dividend reinvestment plan during the quarter ended June 30, 2014 was approximately $227 thousand. Other than the shares issued under our dividend reinvestment plan during the quarter ended June 30, 2014, we did not sell any unregistered equity securities and we did not repurchase any of our equity securities.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exhibits are filed as part of this report or hereby incorporated by reference to exhibits previously filed with the SEC: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gridSpan w:val="3"/>
          </w:tcPr>
          <w:p>
            <w:pPr>
              <w:ind w:left="860"/>
              <w:spacing w:after="0"/>
              <w:rPr>
                <w:sz w:val="20"/>
                <w:szCs w:val="20"/>
                <w:color w:val="auto"/>
              </w:rPr>
            </w:pPr>
            <w:r>
              <w:rPr>
                <w:rFonts w:ascii="Arial" w:cs="Arial" w:eastAsia="Arial" w:hAnsi="Arial"/>
                <w:sz w:val="18"/>
                <w:szCs w:val="18"/>
                <w:b w:val="1"/>
                <w:bCs w:val="1"/>
                <w:color w:val="auto"/>
              </w:rPr>
              <w:t>Exhibit</w:t>
            </w:r>
          </w:p>
        </w:tc>
        <w:tc>
          <w:tcPr>
            <w:tcW w:w="85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1"/>
        </w:trPr>
        <w:tc>
          <w:tcPr>
            <w:tcW w:w="2040" w:type="dxa"/>
            <w:vAlign w:val="bottom"/>
            <w:gridSpan w:val="3"/>
          </w:tcPr>
          <w:p>
            <w:pPr>
              <w:ind w:left="860"/>
              <w:spacing w:after="0"/>
              <w:rPr>
                <w:sz w:val="20"/>
                <w:szCs w:val="20"/>
                <w:color w:val="auto"/>
              </w:rPr>
            </w:pPr>
            <w:r>
              <w:rPr>
                <w:rFonts w:ascii="Arial" w:cs="Arial" w:eastAsia="Arial" w:hAnsi="Arial"/>
                <w:sz w:val="18"/>
                <w:szCs w:val="18"/>
                <w:b w:val="1"/>
                <w:bCs w:val="1"/>
                <w:color w:val="auto"/>
              </w:rPr>
              <w:t>Number</w:t>
            </w:r>
          </w:p>
        </w:tc>
        <w:tc>
          <w:tcPr>
            <w:tcW w:w="8520" w:type="dxa"/>
            <w:vAlign w:val="bottom"/>
          </w:tcPr>
          <w:p>
            <w:pPr>
              <w:spacing w:after="0"/>
              <w:rPr>
                <w:sz w:val="20"/>
                <w:szCs w:val="20"/>
                <w:color w:val="auto"/>
              </w:rPr>
            </w:pPr>
            <w:r>
              <w:rPr>
                <w:rFonts w:ascii="Arial" w:cs="Arial" w:eastAsia="Arial" w:hAnsi="Arial"/>
                <w:sz w:val="18"/>
                <w:szCs w:val="18"/>
                <w:b w:val="1"/>
                <w:bCs w:val="1"/>
                <w:color w:val="auto"/>
              </w:rPr>
              <w:t>Description of Document</w:t>
            </w:r>
          </w:p>
        </w:tc>
        <w:tc>
          <w:tcPr>
            <w:tcW w:w="860" w:type="dxa"/>
            <w:vAlign w:val="bottom"/>
          </w:tcPr>
          <w:p>
            <w:pPr>
              <w:spacing w:after="0"/>
              <w:rPr>
                <w:sz w:val="20"/>
                <w:szCs w:val="20"/>
                <w:color w:val="auto"/>
              </w:rPr>
            </w:pPr>
          </w:p>
        </w:tc>
      </w:tr>
      <w:tr>
        <w:trPr>
          <w:trHeight w:val="202"/>
        </w:trPr>
        <w:tc>
          <w:tcPr>
            <w:tcW w:w="880" w:type="dxa"/>
            <w:vAlign w:val="bottom"/>
          </w:tcPr>
          <w:p>
            <w:pPr>
              <w:spacing w:after="0"/>
              <w:rPr>
                <w:sz w:val="17"/>
                <w:szCs w:val="17"/>
                <w:color w:val="auto"/>
              </w:rPr>
            </w:pPr>
          </w:p>
        </w:tc>
        <w:tc>
          <w:tcPr>
            <w:tcW w:w="1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85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Articles of Amendment and Restatement(1)</w:t>
            </w:r>
          </w:p>
        </w:tc>
        <w:tc>
          <w:tcPr>
            <w:tcW w:w="860" w:type="dxa"/>
            <w:vAlign w:val="bottom"/>
          </w:tcPr>
          <w:p>
            <w:pPr>
              <w:spacing w:after="0"/>
              <w:rPr>
                <w:sz w:val="17"/>
                <w:szCs w:val="17"/>
                <w:color w:val="auto"/>
              </w:rPr>
            </w:pPr>
          </w:p>
        </w:tc>
      </w:tr>
      <w:tr>
        <w:trPr>
          <w:trHeight w:val="216"/>
        </w:trPr>
        <w:tc>
          <w:tcPr>
            <w:tcW w:w="1940" w:type="dxa"/>
            <w:vAlign w:val="bottom"/>
            <w:gridSpan w:val="2"/>
          </w:tcPr>
          <w:p>
            <w:pPr>
              <w:ind w:left="86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Bylaws(1)</w:t>
            </w:r>
          </w:p>
        </w:tc>
        <w:tc>
          <w:tcPr>
            <w:tcW w:w="860" w:type="dxa"/>
            <w:vAlign w:val="bottom"/>
          </w:tcPr>
          <w:p>
            <w:pPr>
              <w:spacing w:after="0"/>
              <w:rPr>
                <w:sz w:val="18"/>
                <w:szCs w:val="18"/>
                <w:color w:val="auto"/>
              </w:rPr>
            </w:pPr>
          </w:p>
        </w:tc>
      </w:tr>
      <w:tr>
        <w:trPr>
          <w:trHeight w:val="216"/>
        </w:trPr>
        <w:tc>
          <w:tcPr>
            <w:tcW w:w="1940" w:type="dxa"/>
            <w:vAlign w:val="bottom"/>
            <w:gridSpan w:val="2"/>
          </w:tcPr>
          <w:p>
            <w:pPr>
              <w:ind w:left="86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Form of Common Stock Certificate(1)</w:t>
            </w:r>
          </w:p>
        </w:tc>
        <w:tc>
          <w:tcPr>
            <w:tcW w:w="860" w:type="dxa"/>
            <w:vAlign w:val="bottom"/>
          </w:tcPr>
          <w:p>
            <w:pPr>
              <w:spacing w:after="0"/>
              <w:rPr>
                <w:sz w:val="18"/>
                <w:szCs w:val="18"/>
                <w:color w:val="auto"/>
              </w:rPr>
            </w:pPr>
          </w:p>
        </w:tc>
      </w:tr>
      <w:tr>
        <w:trPr>
          <w:trHeight w:val="216"/>
        </w:trPr>
        <w:tc>
          <w:tcPr>
            <w:tcW w:w="1940" w:type="dxa"/>
            <w:vAlign w:val="bottom"/>
            <w:gridSpan w:val="2"/>
          </w:tcPr>
          <w:p>
            <w:pPr>
              <w:ind w:left="86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Form of Base Indenture(2)</w:t>
            </w:r>
          </w:p>
        </w:tc>
        <w:tc>
          <w:tcPr>
            <w:tcW w:w="860" w:type="dxa"/>
            <w:vAlign w:val="bottom"/>
          </w:tcPr>
          <w:p>
            <w:pPr>
              <w:spacing w:after="0"/>
              <w:rPr>
                <w:sz w:val="18"/>
                <w:szCs w:val="18"/>
                <w:color w:val="auto"/>
              </w:rPr>
            </w:pPr>
          </w:p>
        </w:tc>
      </w:tr>
      <w:tr>
        <w:trPr>
          <w:trHeight w:val="216"/>
        </w:trPr>
        <w:tc>
          <w:tcPr>
            <w:tcW w:w="1940" w:type="dxa"/>
            <w:vAlign w:val="bottom"/>
            <w:gridSpan w:val="2"/>
          </w:tcPr>
          <w:p>
            <w:pPr>
              <w:ind w:left="86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Form of First Supplemental Indenture(2)</w:t>
            </w:r>
          </w:p>
        </w:tc>
        <w:tc>
          <w:tcPr>
            <w:tcW w:w="860" w:type="dxa"/>
            <w:vAlign w:val="bottom"/>
          </w:tcPr>
          <w:p>
            <w:pPr>
              <w:spacing w:after="0"/>
              <w:rPr>
                <w:sz w:val="18"/>
                <w:szCs w:val="18"/>
                <w:color w:val="auto"/>
              </w:rPr>
            </w:pPr>
          </w:p>
        </w:tc>
      </w:tr>
      <w:tr>
        <w:trPr>
          <w:trHeight w:val="216"/>
        </w:trPr>
        <w:tc>
          <w:tcPr>
            <w:tcW w:w="1940" w:type="dxa"/>
            <w:vAlign w:val="bottom"/>
            <w:gridSpan w:val="2"/>
          </w:tcPr>
          <w:p>
            <w:pPr>
              <w:ind w:left="86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Form of Global Note (included as Exhibit A to the Form of First Supplemental Indenture)(2)</w:t>
            </w:r>
          </w:p>
        </w:tc>
        <w:tc>
          <w:tcPr>
            <w:tcW w:w="860" w:type="dxa"/>
            <w:vAlign w:val="bottom"/>
          </w:tcPr>
          <w:p>
            <w:pPr>
              <w:spacing w:after="0"/>
              <w:rPr>
                <w:sz w:val="18"/>
                <w:szCs w:val="18"/>
                <w:color w:val="auto"/>
              </w:rPr>
            </w:pPr>
          </w:p>
        </w:tc>
      </w:tr>
      <w:tr>
        <w:trPr>
          <w:trHeight w:val="216"/>
        </w:trPr>
        <w:tc>
          <w:tcPr>
            <w:tcW w:w="1940" w:type="dxa"/>
            <w:vAlign w:val="bottom"/>
            <w:gridSpan w:val="2"/>
          </w:tcPr>
          <w:p>
            <w:pPr>
              <w:ind w:left="86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Form of Dividend Reinvestment Plan(1)</w:t>
            </w:r>
          </w:p>
        </w:tc>
        <w:tc>
          <w:tcPr>
            <w:tcW w:w="860" w:type="dxa"/>
            <w:vAlign w:val="bottom"/>
          </w:tcPr>
          <w:p>
            <w:pPr>
              <w:spacing w:after="0"/>
              <w:rPr>
                <w:sz w:val="18"/>
                <w:szCs w:val="18"/>
                <w:color w:val="auto"/>
              </w:rPr>
            </w:pPr>
          </w:p>
        </w:tc>
      </w:tr>
      <w:tr>
        <w:trPr>
          <w:trHeight w:val="216"/>
        </w:trPr>
        <w:tc>
          <w:tcPr>
            <w:tcW w:w="1940" w:type="dxa"/>
            <w:vAlign w:val="bottom"/>
            <w:gridSpan w:val="2"/>
          </w:tcPr>
          <w:p>
            <w:pPr>
              <w:ind w:left="86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w w:val="96"/>
              </w:rPr>
              <w:t>Form of Investment Advisory Agreement by and between Registrant and Capitala Investment Advisors, LLC(1)</w:t>
            </w:r>
          </w:p>
        </w:tc>
        <w:tc>
          <w:tcPr>
            <w:tcW w:w="860" w:type="dxa"/>
            <w:vAlign w:val="bottom"/>
          </w:tcPr>
          <w:p>
            <w:pPr>
              <w:spacing w:after="0"/>
              <w:rPr>
                <w:sz w:val="18"/>
                <w:szCs w:val="18"/>
                <w:color w:val="auto"/>
              </w:rPr>
            </w:pPr>
          </w:p>
        </w:tc>
      </w:tr>
      <w:tr>
        <w:trPr>
          <w:trHeight w:val="216"/>
        </w:trPr>
        <w:tc>
          <w:tcPr>
            <w:tcW w:w="1940" w:type="dxa"/>
            <w:vAlign w:val="bottom"/>
            <w:gridSpan w:val="2"/>
          </w:tcPr>
          <w:p>
            <w:pPr>
              <w:ind w:left="86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Form of Custodian Agreement(1)</w:t>
            </w:r>
          </w:p>
        </w:tc>
        <w:tc>
          <w:tcPr>
            <w:tcW w:w="860" w:type="dxa"/>
            <w:vAlign w:val="bottom"/>
          </w:tcPr>
          <w:p>
            <w:pPr>
              <w:spacing w:after="0"/>
              <w:rPr>
                <w:sz w:val="18"/>
                <w:szCs w:val="18"/>
                <w:color w:val="auto"/>
              </w:rPr>
            </w:pPr>
          </w:p>
        </w:tc>
      </w:tr>
      <w:tr>
        <w:trPr>
          <w:trHeight w:val="216"/>
        </w:trPr>
        <w:tc>
          <w:tcPr>
            <w:tcW w:w="1940" w:type="dxa"/>
            <w:vAlign w:val="bottom"/>
            <w:gridSpan w:val="2"/>
          </w:tcPr>
          <w:p>
            <w:pPr>
              <w:ind w:left="86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Form of Administration Agreement by and between Registrant and Capitala Advisors Corp.(1)</w:t>
            </w:r>
          </w:p>
        </w:tc>
        <w:tc>
          <w:tcPr>
            <w:tcW w:w="860" w:type="dxa"/>
            <w:vAlign w:val="bottom"/>
          </w:tcPr>
          <w:p>
            <w:pPr>
              <w:spacing w:after="0"/>
              <w:rPr>
                <w:sz w:val="18"/>
                <w:szCs w:val="18"/>
                <w:color w:val="auto"/>
              </w:rPr>
            </w:pPr>
          </w:p>
        </w:tc>
      </w:tr>
      <w:tr>
        <w:trPr>
          <w:trHeight w:val="216"/>
        </w:trPr>
        <w:tc>
          <w:tcPr>
            <w:tcW w:w="1940" w:type="dxa"/>
            <w:vAlign w:val="bottom"/>
            <w:gridSpan w:val="2"/>
          </w:tcPr>
          <w:p>
            <w:pPr>
              <w:ind w:left="86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Form of Indemnification Agreement by and between Registrant and each of its directors(1)</w:t>
            </w:r>
          </w:p>
        </w:tc>
        <w:tc>
          <w:tcPr>
            <w:tcW w:w="860" w:type="dxa"/>
            <w:vAlign w:val="bottom"/>
          </w:tcPr>
          <w:p>
            <w:pPr>
              <w:spacing w:after="0"/>
              <w:rPr>
                <w:sz w:val="18"/>
                <w:szCs w:val="18"/>
                <w:color w:val="auto"/>
              </w:rPr>
            </w:pPr>
          </w:p>
        </w:tc>
      </w:tr>
      <w:tr>
        <w:trPr>
          <w:trHeight w:val="216"/>
        </w:trPr>
        <w:tc>
          <w:tcPr>
            <w:tcW w:w="1940" w:type="dxa"/>
            <w:vAlign w:val="bottom"/>
            <w:gridSpan w:val="2"/>
          </w:tcPr>
          <w:p>
            <w:pPr>
              <w:ind w:left="86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w w:val="97"/>
              </w:rPr>
              <w:t>Form of Trademark License Agreement by and between Registrant and Capitala Investment Advisors, LLC(1)</w:t>
            </w:r>
          </w:p>
        </w:tc>
        <w:tc>
          <w:tcPr>
            <w:tcW w:w="860" w:type="dxa"/>
            <w:vAlign w:val="bottom"/>
          </w:tcPr>
          <w:p>
            <w:pPr>
              <w:spacing w:after="0"/>
              <w:rPr>
                <w:sz w:val="18"/>
                <w:szCs w:val="18"/>
                <w:color w:val="auto"/>
              </w:rPr>
            </w:pPr>
          </w:p>
        </w:tc>
      </w:tr>
      <w:tr>
        <w:trPr>
          <w:trHeight w:val="216"/>
        </w:trPr>
        <w:tc>
          <w:tcPr>
            <w:tcW w:w="1940" w:type="dxa"/>
            <w:vAlign w:val="bottom"/>
            <w:gridSpan w:val="2"/>
          </w:tcPr>
          <w:p>
            <w:pPr>
              <w:ind w:left="86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w w:val="92"/>
              </w:rPr>
              <w:t>Computation of Per Share Earnings (included in the notes to the consolidated financial statements contained in this</w:t>
            </w:r>
          </w:p>
        </w:tc>
        <w:tc>
          <w:tcPr>
            <w:tcW w:w="86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report)</w:t>
            </w:r>
          </w:p>
        </w:tc>
        <w:tc>
          <w:tcPr>
            <w:tcW w:w="860" w:type="dxa"/>
            <w:vAlign w:val="bottom"/>
          </w:tcPr>
          <w:p>
            <w:pPr>
              <w:spacing w:after="0"/>
              <w:rPr>
                <w:sz w:val="20"/>
                <w:szCs w:val="20"/>
                <w:color w:val="auto"/>
              </w:rPr>
            </w:pPr>
          </w:p>
        </w:tc>
      </w:tr>
      <w:tr>
        <w:trPr>
          <w:trHeight w:val="648"/>
        </w:trPr>
        <w:tc>
          <w:tcPr>
            <w:tcW w:w="8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ind w:left="3580"/>
              <w:spacing w:after="0"/>
              <w:rPr>
                <w:sz w:val="20"/>
                <w:szCs w:val="20"/>
                <w:color w:val="auto"/>
              </w:rPr>
            </w:pPr>
            <w:r>
              <w:rPr>
                <w:rFonts w:ascii="Arial" w:cs="Arial" w:eastAsia="Arial" w:hAnsi="Arial"/>
                <w:sz w:val="18"/>
                <w:szCs w:val="18"/>
                <w:color w:val="auto"/>
              </w:rPr>
              <w:t>51</w:t>
            </w: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jc w:val="right"/>
              <w:ind w:right="350"/>
              <w:spacing w:after="0"/>
              <w:rPr>
                <w:sz w:val="20"/>
                <w:szCs w:val="20"/>
                <w:color w:val="auto"/>
              </w:rPr>
            </w:pPr>
            <w:r>
              <w:rPr>
                <w:rFonts w:ascii="Arial" w:cs="Arial" w:eastAsia="Arial" w:hAnsi="Arial"/>
                <w:sz w:val="18"/>
                <w:szCs w:val="18"/>
                <w:color w:val="auto"/>
                <w:w w:val="85"/>
              </w:rPr>
              <w:t>31.1</w:t>
            </w:r>
          </w:p>
        </w:tc>
        <w:tc>
          <w:tcPr>
            <w:tcW w:w="8840" w:type="dxa"/>
            <w:vAlign w:val="bottom"/>
          </w:tcPr>
          <w:p>
            <w:pPr>
              <w:ind w:left="420"/>
              <w:spacing w:after="0"/>
              <w:rPr>
                <w:sz w:val="20"/>
                <w:szCs w:val="20"/>
                <w:color w:val="auto"/>
              </w:rPr>
            </w:pPr>
            <w:r>
              <w:rPr>
                <w:rFonts w:ascii="Arial" w:cs="Arial" w:eastAsia="Arial" w:hAnsi="Arial"/>
                <w:sz w:val="18"/>
                <w:szCs w:val="18"/>
                <w:color w:val="auto"/>
                <w:w w:val="91"/>
              </w:rPr>
              <w:t>Certification of Chief Executive Officer pursuant to Rule 13a-14 of the Securities Exchange Act of 1934, as adopted</w:t>
            </w:r>
          </w:p>
        </w:tc>
      </w:tr>
      <w:tr>
        <w:trPr>
          <w:trHeight w:val="216"/>
        </w:trPr>
        <w:tc>
          <w:tcPr>
            <w:tcW w:w="76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pursuant to Section 302 of the Sarbanes-Oxley Act of 2002 (filed herewith)</w:t>
            </w:r>
          </w:p>
        </w:tc>
      </w:tr>
      <w:tr>
        <w:trPr>
          <w:trHeight w:val="216"/>
        </w:trPr>
        <w:tc>
          <w:tcPr>
            <w:tcW w:w="760" w:type="dxa"/>
            <w:vAlign w:val="bottom"/>
          </w:tcPr>
          <w:p>
            <w:pPr>
              <w:jc w:val="right"/>
              <w:ind w:right="350"/>
              <w:spacing w:after="0"/>
              <w:rPr>
                <w:sz w:val="20"/>
                <w:szCs w:val="20"/>
                <w:color w:val="auto"/>
              </w:rPr>
            </w:pPr>
            <w:r>
              <w:rPr>
                <w:rFonts w:ascii="Arial" w:cs="Arial" w:eastAsia="Arial" w:hAnsi="Arial"/>
                <w:sz w:val="18"/>
                <w:szCs w:val="18"/>
                <w:color w:val="auto"/>
                <w:w w:val="85"/>
              </w:rPr>
              <w:t>31.2</w:t>
            </w:r>
          </w:p>
        </w:tc>
        <w:tc>
          <w:tcPr>
            <w:tcW w:w="8840" w:type="dxa"/>
            <w:vAlign w:val="bottom"/>
          </w:tcPr>
          <w:p>
            <w:pPr>
              <w:ind w:left="420"/>
              <w:spacing w:after="0"/>
              <w:rPr>
                <w:sz w:val="20"/>
                <w:szCs w:val="20"/>
                <w:color w:val="auto"/>
              </w:rPr>
            </w:pPr>
            <w:r>
              <w:rPr>
                <w:rFonts w:ascii="Arial" w:cs="Arial" w:eastAsia="Arial" w:hAnsi="Arial"/>
                <w:sz w:val="18"/>
                <w:szCs w:val="18"/>
                <w:color w:val="auto"/>
                <w:w w:val="92"/>
              </w:rPr>
              <w:t>Certification of Chief Financial Officer pursuant to Rule 13a-14 of the Securities Exchange Act of 1934, as adopted</w:t>
            </w:r>
          </w:p>
        </w:tc>
      </w:tr>
      <w:tr>
        <w:trPr>
          <w:trHeight w:val="216"/>
        </w:trPr>
        <w:tc>
          <w:tcPr>
            <w:tcW w:w="76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pursuant to Section 302 of the Sarbanes-Oxley Act of 2002 (filed herewith)</w:t>
            </w:r>
          </w:p>
        </w:tc>
      </w:tr>
      <w:tr>
        <w:trPr>
          <w:trHeight w:val="216"/>
        </w:trPr>
        <w:tc>
          <w:tcPr>
            <w:tcW w:w="760" w:type="dxa"/>
            <w:vAlign w:val="bottom"/>
          </w:tcPr>
          <w:p>
            <w:pPr>
              <w:jc w:val="right"/>
              <w:ind w:right="350"/>
              <w:spacing w:after="0"/>
              <w:rPr>
                <w:sz w:val="20"/>
                <w:szCs w:val="20"/>
                <w:color w:val="auto"/>
              </w:rPr>
            </w:pPr>
            <w:r>
              <w:rPr>
                <w:rFonts w:ascii="Arial" w:cs="Arial" w:eastAsia="Arial" w:hAnsi="Arial"/>
                <w:sz w:val="18"/>
                <w:szCs w:val="18"/>
                <w:color w:val="auto"/>
                <w:w w:val="85"/>
              </w:rPr>
              <w:t>32.1</w:t>
            </w:r>
          </w:p>
        </w:tc>
        <w:tc>
          <w:tcPr>
            <w:tcW w:w="8840" w:type="dxa"/>
            <w:vAlign w:val="bottom"/>
          </w:tcPr>
          <w:p>
            <w:pPr>
              <w:ind w:left="420"/>
              <w:spacing w:after="0"/>
              <w:rPr>
                <w:sz w:val="20"/>
                <w:szCs w:val="20"/>
                <w:color w:val="auto"/>
              </w:rPr>
            </w:pPr>
            <w:r>
              <w:rPr>
                <w:rFonts w:ascii="Arial" w:cs="Arial" w:eastAsia="Arial" w:hAnsi="Arial"/>
                <w:sz w:val="18"/>
                <w:szCs w:val="18"/>
                <w:color w:val="auto"/>
                <w:w w:val="90"/>
              </w:rPr>
              <w:t>Certification of Chief Executive Officer 18 U.S.C. Section 1350, as adopted pursuant to section 906 of the Sarbanes-</w:t>
            </w:r>
          </w:p>
        </w:tc>
      </w:tr>
      <w:tr>
        <w:trPr>
          <w:trHeight w:val="216"/>
        </w:trPr>
        <w:tc>
          <w:tcPr>
            <w:tcW w:w="76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Oxley Act of 2002 (filed herewith)</w:t>
            </w:r>
          </w:p>
        </w:tc>
      </w:tr>
      <w:tr>
        <w:trPr>
          <w:trHeight w:val="216"/>
        </w:trPr>
        <w:tc>
          <w:tcPr>
            <w:tcW w:w="760" w:type="dxa"/>
            <w:vAlign w:val="bottom"/>
          </w:tcPr>
          <w:p>
            <w:pPr>
              <w:jc w:val="right"/>
              <w:ind w:right="350"/>
              <w:spacing w:after="0"/>
              <w:rPr>
                <w:sz w:val="20"/>
                <w:szCs w:val="20"/>
                <w:color w:val="auto"/>
              </w:rPr>
            </w:pPr>
            <w:r>
              <w:rPr>
                <w:rFonts w:ascii="Arial" w:cs="Arial" w:eastAsia="Arial" w:hAnsi="Arial"/>
                <w:sz w:val="18"/>
                <w:szCs w:val="18"/>
                <w:color w:val="auto"/>
                <w:w w:val="85"/>
              </w:rPr>
              <w:t>32.2</w:t>
            </w:r>
          </w:p>
        </w:tc>
        <w:tc>
          <w:tcPr>
            <w:tcW w:w="8840" w:type="dxa"/>
            <w:vAlign w:val="bottom"/>
          </w:tcPr>
          <w:p>
            <w:pPr>
              <w:ind w:left="420"/>
              <w:spacing w:after="0"/>
              <w:rPr>
                <w:sz w:val="20"/>
                <w:szCs w:val="20"/>
                <w:color w:val="auto"/>
              </w:rPr>
            </w:pPr>
            <w:r>
              <w:rPr>
                <w:rFonts w:ascii="Arial" w:cs="Arial" w:eastAsia="Arial" w:hAnsi="Arial"/>
                <w:sz w:val="18"/>
                <w:szCs w:val="18"/>
                <w:color w:val="auto"/>
                <w:w w:val="91"/>
              </w:rPr>
              <w:t>Certification of Chief Financial Officer 18 U.S.C. Section 1350, as adopted pursuant to section 906 of the Sarbanes-</w:t>
            </w:r>
          </w:p>
        </w:tc>
      </w:tr>
      <w:tr>
        <w:trPr>
          <w:trHeight w:val="230"/>
        </w:trPr>
        <w:tc>
          <w:tcPr>
            <w:tcW w:w="760" w:type="dxa"/>
            <w:vAlign w:val="bottom"/>
          </w:tcPr>
          <w:p>
            <w:pPr>
              <w:spacing w:after="0"/>
              <w:rPr>
                <w:sz w:val="20"/>
                <w:szCs w:val="20"/>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Oxley Act of 2002 (filed herewith)</w:t>
            </w:r>
          </w:p>
        </w:tc>
      </w:tr>
    </w:tbl>
    <w:p>
      <w:pPr>
        <w:ind w:left="1180" w:right="360" w:hanging="1174"/>
        <w:spacing w:after="0" w:line="258"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in connection with the Pre-Effective Amendment No. 1 to Capitala Finance Corp.’s registration statement on Form N-2 (File No. 333-188956) filed on September 9, 2013.</w:t>
      </w:r>
    </w:p>
    <w:p>
      <w:pPr>
        <w:ind w:left="1180" w:right="620" w:hanging="1174"/>
        <w:spacing w:after="0" w:line="261"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Capitala Finance Corp.’s registration statement on Form N-2 (File No. 333-193374) filed on May 21,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-568325</wp:posOffset>
            </wp:positionV>
            <wp:extent cx="61575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3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00"/>
          </w:cols>
          <w:pgMar w:left="1100" w:top="881" w:right="119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60" w:firstLine="88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August 12, 2014</w:t>
            </w:r>
          </w:p>
        </w:tc>
        <w:tc>
          <w:tcPr>
            <w:tcW w:w="2420" w:type="dxa"/>
            <w:vAlign w:val="bottom"/>
          </w:tcPr>
          <w:p>
            <w:pPr>
              <w:ind w:left="208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B. Alala III</w:t>
            </w:r>
          </w:p>
        </w:tc>
      </w:tr>
      <w:tr>
        <w:trPr>
          <w:trHeight w:val="195"/>
        </w:trPr>
        <w:tc>
          <w:tcPr>
            <w:tcW w:w="36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Joseph B. Alala III</w:t>
            </w:r>
          </w:p>
        </w:tc>
      </w:tr>
      <w:tr>
        <w:trPr>
          <w:trHeight w:val="216"/>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230"/>
        </w:trPr>
        <w:tc>
          <w:tcPr>
            <w:tcW w:w="36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12, 2014</w:t>
            </w:r>
          </w:p>
        </w:tc>
        <w:tc>
          <w:tcPr>
            <w:tcW w:w="2420" w:type="dxa"/>
            <w:vAlign w:val="bottom"/>
          </w:tcPr>
          <w:p>
            <w:pPr>
              <w:ind w:left="208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A. Arnall</w:t>
            </w:r>
          </w:p>
        </w:tc>
      </w:tr>
      <w:tr>
        <w:trPr>
          <w:trHeight w:val="195"/>
        </w:trPr>
        <w:tc>
          <w:tcPr>
            <w:tcW w:w="36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Stephen A. Arnall</w:t>
            </w:r>
          </w:p>
        </w:tc>
      </w:tr>
      <w:tr>
        <w:trPr>
          <w:trHeight w:val="216"/>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230"/>
        </w:trPr>
        <w:tc>
          <w:tcPr>
            <w:tcW w:w="36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648"/>
        </w:trPr>
        <w:tc>
          <w:tcPr>
            <w:tcW w:w="36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53</w:t>
            </w: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8"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Joseph B. Alala III, certify that:</w:t>
      </w:r>
    </w:p>
    <w:p>
      <w:pPr>
        <w:spacing w:after="0" w:line="225"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25" w:lineRule="exact"/>
        <w:rPr>
          <w:rFonts w:ascii="Arial" w:cs="Arial" w:eastAsia="Arial" w:hAnsi="Arial"/>
          <w:sz w:val="18"/>
          <w:szCs w:val="18"/>
          <w:color w:val="auto"/>
        </w:rPr>
      </w:pPr>
    </w:p>
    <w:p>
      <w:pPr>
        <w:jc w:val="both"/>
        <w:ind w:left="580" w:right="380" w:hanging="572"/>
        <w:spacing w:after="0" w:line="264"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340" w:hanging="572"/>
        <w:spacing w:after="0" w:line="308" w:lineRule="auto"/>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380" w:hanging="572"/>
        <w:spacing w:after="0" w:line="277"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840" w:right="460" w:hanging="576"/>
        <w:spacing w:after="0" w:line="264" w:lineRule="auto"/>
        <w:tabs>
          <w:tab w:leader="none" w:pos="18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840" w:right="140" w:hanging="576"/>
        <w:spacing w:after="0" w:line="264" w:lineRule="auto"/>
        <w:tabs>
          <w:tab w:leader="none" w:pos="18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840" w:right="240" w:hanging="576"/>
        <w:spacing w:after="0" w:line="286" w:lineRule="auto"/>
        <w:tabs>
          <w:tab w:leader="none" w:pos="18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580" w:right="80" w:hanging="572"/>
        <w:spacing w:after="0" w:line="308" w:lineRule="auto"/>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840" w:right="80" w:hanging="576"/>
        <w:spacing w:after="0" w:line="342" w:lineRule="auto"/>
        <w:tabs>
          <w:tab w:leader="none" w:pos="18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840" w:hanging="576"/>
        <w:spacing w:after="0" w:line="277" w:lineRule="auto"/>
        <w:tabs>
          <w:tab w:leader="none" w:pos="18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B. Alala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A. Arnall, certify that:</w:t>
      </w:r>
    </w:p>
    <w:p>
      <w:pPr>
        <w:spacing w:after="0" w:line="225" w:lineRule="exact"/>
        <w:rPr>
          <w:sz w:val="20"/>
          <w:szCs w:val="20"/>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25" w:lineRule="exact"/>
        <w:rPr>
          <w:rFonts w:ascii="Arial" w:cs="Arial" w:eastAsia="Arial" w:hAnsi="Arial"/>
          <w:sz w:val="18"/>
          <w:szCs w:val="18"/>
          <w:color w:val="auto"/>
        </w:rPr>
      </w:pPr>
    </w:p>
    <w:p>
      <w:pPr>
        <w:jc w:val="both"/>
        <w:ind w:left="580" w:right="380" w:hanging="572"/>
        <w:spacing w:after="0" w:line="264"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340" w:hanging="572"/>
        <w:spacing w:after="0" w:line="308" w:lineRule="auto"/>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380" w:hanging="572"/>
        <w:spacing w:after="0" w:line="277"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840" w:right="460" w:hanging="576"/>
        <w:spacing w:after="0" w:line="264" w:lineRule="auto"/>
        <w:tabs>
          <w:tab w:leader="none" w:pos="18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840" w:right="140" w:hanging="576"/>
        <w:spacing w:after="0" w:line="264" w:lineRule="auto"/>
        <w:tabs>
          <w:tab w:leader="none" w:pos="18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840" w:right="240" w:hanging="576"/>
        <w:spacing w:after="0" w:line="286" w:lineRule="auto"/>
        <w:tabs>
          <w:tab w:leader="none" w:pos="18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580" w:right="80" w:hanging="572"/>
        <w:spacing w:after="0" w:line="308" w:lineRule="auto"/>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840" w:right="80" w:hanging="576"/>
        <w:spacing w:after="0" w:line="342" w:lineRule="auto"/>
        <w:tabs>
          <w:tab w:leader="none" w:pos="18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840" w:right="380" w:hanging="576"/>
        <w:spacing w:after="0" w:line="277" w:lineRule="auto"/>
        <w:tabs>
          <w:tab w:leader="none" w:pos="18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Arnall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I, Joseph B. Alala III, Chief Executive Officer, in connection with the Quarterly Report of Capitala Finance Corp. (the “Company”) on Form 10-Q for the quarterly period ended June 30, 2014, as filed with the U.S. Securities and Exchange Commission on the date hereof (the “Quarterly Report”), certify, pursuant to Section 906 of the Sarbanes-Oxley Act of 2002, that:</w:t>
      </w:r>
    </w:p>
    <w:p>
      <w:pPr>
        <w:spacing w:after="0" w:line="181" w:lineRule="exact"/>
        <w:rPr>
          <w:sz w:val="20"/>
          <w:szCs w:val="20"/>
          <w:color w:val="auto"/>
        </w:rPr>
      </w:pPr>
    </w:p>
    <w:p>
      <w:pPr>
        <w:ind w:left="1840" w:right="380" w:hanging="576"/>
        <w:spacing w:after="0" w:line="277" w:lineRule="auto"/>
        <w:tabs>
          <w:tab w:leader="none" w:pos="1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840" w:right="420" w:hanging="576"/>
        <w:spacing w:after="0" w:line="277" w:lineRule="auto"/>
        <w:tabs>
          <w:tab w:leader="none" w:pos="1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B. Alala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 Stephen A. Arnall, Chief Financial Officer, in connection with the Quarterly Report of Capitala Finance Corp. (the “Company”) on Form 10-Q for the quarterly period ended June 30, 2014, as filed with the U.S. Securities and Exchange Commission on the date hereof (the “Quarterly Report”), certify, pursuant to Section 906 of the Sarbanes-Oxley Act of 2002, that:</w:t>
      </w:r>
    </w:p>
    <w:p>
      <w:pPr>
        <w:spacing w:after="0" w:line="181" w:lineRule="exact"/>
        <w:rPr>
          <w:sz w:val="20"/>
          <w:szCs w:val="20"/>
          <w:color w:val="auto"/>
        </w:rPr>
      </w:pPr>
    </w:p>
    <w:p>
      <w:pPr>
        <w:ind w:left="1840" w:right="380" w:hanging="576"/>
        <w:spacing w:after="0" w:line="277" w:lineRule="auto"/>
        <w:tabs>
          <w:tab w:leader="none" w:pos="1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840" w:hanging="576"/>
        <w:spacing w:after="0" w:line="277" w:lineRule="auto"/>
        <w:tabs>
          <w:tab w:leader="none" w:pos="1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Arnall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upperLetter"/>
      <w:start w:val="35"/>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2"/>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2019-12-08T06:53:44Z</dcterms:created>
  <dcterms:modified xsi:type="dcterms:W3CDTF">2019-12-08T06:53:44Z</dcterms:modified>
</cp:coreProperties>
</file>